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 2</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Copia de trabajo · solo Bloque 2</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16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pPr>
        <w:pStyle w:val="Normal"/>
        <w:jc w:val="left"/>
        <w:tabs>
          <w:tab w:val="right" w:leader="dot" w:pos="9062"/>
        </w:tabs>
      </w:pPr>
      <w:r>
        <w:fldChar w:fldCharType="begin"/>
      </w:r>
      <w:r>
        <w:instrText> TOC \o "1-1" \h \z \u </w:instrText>
      </w:r>
      <w:r>
        <w:fldChar w:fldCharType="separate"/>
      </w:r>
      <w:r>
        <w:rPr>
          <w:sz w:val="24"/>
        </w:rPr>
        <w:t>Respuesta a la revisión anterior</w:t>
        <w:tab/>
        <w:t>2</w:t>
      </w:r>
    </w:p>
    <w:p>
      <w:pPr>
        <w:pStyle w:val="Normal"/>
        <w:jc w:val="left"/>
        <w:tabs>
          <w:tab w:val="right" w:leader="dot" w:pos="9062"/>
        </w:tabs>
      </w:pPr>
      <w:r>
        <w:rPr>
          <w:sz w:val="24"/>
        </w:rPr>
        <w:t>Reparto del trabajo</w:t>
        <w:tab/>
        <w:t>2</w:t>
      </w:r>
    </w:p>
    <w:p>
      <w:pPr>
        <w:pStyle w:val="Normal"/>
        <w:jc w:val="left"/>
        <w:tabs>
          <w:tab w:val="right" w:leader="dot" w:pos="9062"/>
        </w:tabs>
      </w:pPr>
      <w:r>
        <w:rPr>
          <w:sz w:val="24"/>
        </w:rPr>
        <w:t>Índice</w:t>
        <w:tab/>
        <w:t>3</w:t>
      </w:r>
    </w:p>
    <w:p>
      <w:pPr>
        <w:pStyle w:val="Normal"/>
        <w:jc w:val="left"/>
        <w:tabs>
          <w:tab w:val="right" w:leader="dot" w:pos="9062"/>
        </w:tabs>
      </w:pPr>
      <w:r>
        <w:rPr>
          <w:sz w:val="24"/>
        </w:rPr>
        <w:t>7. El pipeline de entrenamiento</w:t>
        <w:tab/>
        <w:t>4</w:t>
      </w:r>
    </w:p>
    <w:p>
      <w:pPr>
        <w:pStyle w:val="Normal"/>
        <w:jc w:val="left"/>
        <w:tabs>
          <w:tab w:val="right" w:leader="dot" w:pos="9062"/>
        </w:tabs>
      </w:pPr>
      <w:r>
        <w:rPr>
          <w:sz w:val="24"/>
        </w:rPr>
        <w:t>8. Modelos</w:t>
        <w:tab/>
        <w:t>4</w:t>
      </w:r>
    </w:p>
    <w:p>
      <w:pPr>
        <w:pStyle w:val="Normal"/>
        <w:jc w:val="left"/>
        <w:tabs>
          <w:tab w:val="right" w:leader="dot" w:pos="9062"/>
        </w:tabs>
      </w:pPr>
      <w:r>
        <w:rPr>
          <w:sz w:val="24"/>
        </w:rPr>
        <w:t>9. Hiperparámetros</w:t>
        <w:tab/>
        <w:t>5</w:t>
      </w:r>
    </w:p>
    <w:p>
      <w:pPr>
        <w:pStyle w:val="Normal"/>
        <w:jc w:val="left"/>
        <w:tabs>
          <w:tab w:val="right" w:leader="dot" w:pos="9062"/>
        </w:tabs>
      </w:pPr>
      <w:r>
        <w:rPr>
          <w:sz w:val="24"/>
        </w:rPr>
        <w:t>10. Métricas</w:t>
        <w:tab/>
        <w:t>5</w:t>
      </w:r>
    </w:p>
    <w:p>
      <w:pPr>
        <w:pStyle w:val="Normal"/>
        <w:jc w:val="left"/>
        <w:tabs>
          <w:tab w:val="right" w:leader="dot" w:pos="9062"/>
        </w:tabs>
      </w:pPr>
      <w:r>
        <w:rPr>
          <w:sz w:val="24"/>
        </w:rPr>
        <w:t>11. Experimentos</w:t>
        <w:tab/>
        <w:t>6</w:t>
      </w:r>
    </w:p>
    <w:p>
      <w:pPr>
        <w:pStyle w:val="Normal"/>
        <w:jc w:val="left"/>
        <w:tabs>
          <w:tab w:val="right" w:leader="dot" w:pos="9062"/>
        </w:tabs>
      </w:pPr>
      <w:r>
        <w:rPr>
          <w:sz w:val="24"/>
        </w:rPr>
        <w:t>12. Análisis cualitativo</w:t>
        <w:tab/>
        <w:t>12</w:t>
      </w:r>
    </w:p>
    <w:p>
      <w:pPr>
        <w:pStyle w:val="Normal"/>
        <w:jc w:val="left"/>
        <w:tabs>
          <w:tab w:val="right" w:leader="dot" w:pos="9062"/>
        </w:tabs>
      </w:pPr>
      <w:r>
        <w:rPr>
          <w:sz w:val="24"/>
        </w:rPr>
        <w:t>Referencias</w:t>
        <w:tab/>
        <w:t>14</w:t>
      </w:r>
      <w:r>
        <w:fldChar w:fldCharType="end"/>
      </w:r>
    </w:p>
    <w:p>
      <w:pPr>
        <w:pStyle w:val="Heading1"/>
        <w:pageBreakBefore/>
      </w:pPr>
      <w:r>
        <w:t>7. El pipeline de entrenamiento</w:t>
      </w:r>
    </w:p>
    <w:p>
      <w:r>
        <w:t>Se entrena sobre 3184 imágenes con aumento base o sobre las 796 originales. Validación contiene 672 imágenes de 11 secuencias externas, con 1561 robots, 255 difficult y ningún negativo. Test contiene 718 imágenes y se reserva para evaluar el modelo definitivo una sola vez; no hay resultados de test en este informe.</w:t>
      </w:r>
    </w:p>
    <w:p>
      <w:pPr>
        <w:keepNext/>
        <w:jc w:val="center"/>
      </w:pPr>
      <w:r>
        <w:drawing>
          <wp:inline xmlns:a="http://schemas.openxmlformats.org/drawingml/2006/main" xmlns:pic="http://schemas.openxmlformats.org/drawingml/2006/picture">
            <wp:extent cx="5372852" cy="2880000"/>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372852" cy="2880000"/>
                    </a:xfrm>
                    <a:prstGeom prst="rect"/>
                  </pic:spPr>
                </pic:pic>
              </a:graphicData>
            </a:graphic>
          </wp:inline>
        </w:drawing>
      </w:r>
    </w:p>
    <w:p>
      <w:pPr>
        <w:pStyle w:val="Caption"/>
        <w:keepNext w:val="0"/>
        <w:keepLines/>
      </w:pPr>
      <w:r>
        <w:t>Figura 1. Flujo realmente usado para ajustar pesos y seleccionar el checkpoint con validación.</w:t>
      </w:r>
    </w:p>
    <w:p>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pPr>
        <w:pStyle w:val="Heading1"/>
      </w:pPr>
      <w:r>
        <w:t>8. Modelos</w:t>
      </w:r>
    </w:p>
    <w:p>
      <w:r>
        <w:t>Se ha probado Faster R-CNN ResNet-50 con FPN [3,4], una red de dos etapas: el RPN propone regiones y la cabeza clasifica y ajusta sus cajas. Se inicializa con COCO y se sustituye la cabeza por fondo y robot. FPN combina escalas, relevante para objetivos a distancias diferentes. No se ha realizado todavía una comparación de arquitecturas.</w:t>
      </w:r>
    </w:p>
    <w:p>
      <w:r>
        <w:t>El código contempla Faster R-CNN v2 y una variante MobileNet, entre otras. Los resultados de COCO no predicen la ganancia en nuestros datos. Cualquier comparación futura debe medir precisión y latencia para el uso en el robot.</w:t>
      </w:r>
    </w:p>
    <w:p>
      <w:pPr>
        <w:pStyle w:val="Heading1"/>
        <w:pageBreakBefore/>
      </w:pPr>
      <w:r>
        <w:t>9. Hiperparámetros</w:t>
      </w:r>
    </w:p>
    <w:tbl>
      <w:tblPr>
        <w:tblW w:type="auto" w:w="0"/>
        <w:tblLayout w:type="fixed"/>
        <w:tblLook w:firstColumn="1" w:firstRow="1" w:lastColumn="0" w:lastRow="0" w:noHBand="0" w:noVBand="1" w:val="04A0"/>
      </w:tblPr>
      <w:tblGrid>
        <w:gridCol w:w="3231"/>
        <w:gridCol w:w="5839"/>
      </w:tblGrid>
      <w:tr>
        <w:trPr>
          <w:cantSplit/>
          <w:tblHeader/>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Parámetro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 aplicado</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Épocas / lote efectivo / semilla</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30 / 8 / 0; res1024: microbatch 4 × 2</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Optimizador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SGD; momentum 0,9; weight decay 0,0005</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Tasa inicial</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0,0001 en originales; 0,001 en lr001 y res1024</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Programador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ReduceLROnPlateau con pérdida de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Bajada / paciencia / mínimo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×0,1 / 5 épocas / 1e−10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Resolución del detector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800/1333; res1024: 1024/1820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Datos aumentados</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Originales y 3 copias; mismo aumento base</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Checkpoint seleccionado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Mayor AP@0,5 en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Entorno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PyTorch 2.4.1; torchvision 0.19.1; RTX 3060 12 GB</w:t>
            </w:r>
          </w:p>
        </w:tc>
      </w:tr>
    </w:tbl>
    <w:p>
      <w:pPr>
        <w:pStyle w:val="Caption"/>
        <w:keepNext w:val="0"/>
        <w:keepLines/>
      </w:pPr>
      <w:r>
        <w:t>Tabla 2. Configuración común de los experimentos medidos.</w:t>
      </w:r>
    </w:p>
    <w:p>
      <w:r>
        <w:t>La tasa 0,001 se ensayó como salto de diez veces manteniendo los otros parámetros. No se añadieron warmup, otra arquitectura ni los perfiles nuevos de aumento. Cambiar una variable facilita interpretar el resultado, aunque una sola semilla no mide su variabilidad.</w:t>
      </w:r>
    </w:p>
    <w:p>
      <w:pPr>
        <w:pStyle w:val="Heading1"/>
      </w:pPr>
      <w:r>
        <w:t>10. Métricas</w:t>
      </w:r>
    </w:p>
    <w:p>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pPr>
        <w:pStyle w:val="Heading1"/>
        <w:pageBreakBefore/>
      </w:pPr>
      <w:r>
        <w:t>11. Experimentos</w:t>
      </w:r>
    </w:p>
    <w:p>
      <w:pPr>
        <w:pStyle w:val="Heading2"/>
      </w:pPr>
      <w:r>
        <w:t>11.1. Comparación del aumento y de la tasa</w:t>
      </w:r>
    </w:p>
    <w:tbl>
      <w:tblPr>
        <w:tblW w:type="auto" w:w="0"/>
        <w:tblLayout w:type="fixed"/>
        <w:tblLook w:firstColumn="1" w:firstRow="1" w:lastColumn="0" w:lastRow="0" w:noHBand="0" w:noVBand="1" w:val="04A0"/>
      </w:tblPr>
      <w:tblGrid>
        <w:gridCol w:w="3061"/>
        <w:gridCol w:w="1247"/>
        <w:gridCol w:w="1587"/>
        <w:gridCol w:w="1587"/>
        <w:gridCol w:w="1587"/>
      </w:tblGrid>
      <w:tr>
        <w:trPr>
          <w:cantSplit/>
          <w:tblHeader/>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Experimento</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historial</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evaluación</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evaluación</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Sin aumento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0,5809</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Aumento base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0,9416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Aumento base lr 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0,6302</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lr 0,001 res1024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r>
    </w:tbl>
    <w:p>
      <w:pPr>
        <w:pStyle w:val="Caption"/>
        <w:keepNext w:val="0"/>
        <w:keepLines/>
      </w:pPr>
      <w:r>
        <w:t>Tabla 3. Mejor checkpoint por AP50. AP sin sufijo es AP 0,50:0,95. El historial y la evaluación final se mantienen separados.</w:t>
      </w:r>
    </w:p>
    <w:p>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pPr>
        <w:keepNext/>
        <w:jc w:val="center"/>
      </w:pPr>
      <w:r>
        <w:drawing>
          <wp:inline xmlns:a="http://schemas.openxmlformats.org/drawingml/2006/main" xmlns:pic="http://schemas.openxmlformats.org/drawingml/2006/picture">
            <wp:extent cx="5760000" cy="3702857"/>
            <wp:docPr id="2" name="Picture 2"/>
            <wp:cNvGraphicFramePr>
              <a:graphicFrameLocks noChangeAspect="1"/>
            </wp:cNvGraphicFramePr>
            <a:graphic>
              <a:graphicData uri="http://schemas.openxmlformats.org/drawingml/2006/picture">
                <pic:pic>
                  <pic:nvPicPr>
                    <pic:cNvPr id="0" name="curvas_comparadas.png"/>
                    <pic:cNvPicPr/>
                  </pic:nvPicPr>
                  <pic:blipFill>
                    <a:blip r:embed="rId12"/>
                    <a:stretch>
                      <a:fillRect/>
                    </a:stretch>
                  </pic:blipFill>
                  <pic:spPr>
                    <a:xfrm>
                      <a:off x="0" y="0"/>
                      <a:ext cx="5760000" cy="3702857"/>
                    </a:xfrm>
                    <a:prstGeom prst="rect"/>
                  </pic:spPr>
                </pic:pic>
              </a:graphicData>
            </a:graphic>
          </wp:inline>
        </w:drawing>
      </w:r>
    </w:p>
    <w:p>
      <w:pPr>
        <w:pStyle w:val="Caption"/>
        <w:keepNext w:val="0"/>
        <w:keepLines/>
      </w:pPr>
      <w:r>
        <w:t>Figura 2. Pérdidas y AP por época. Los puntos señalan los checkpoints elegidos por AP50.</w:t>
      </w:r>
    </w:p>
    <w:p>
      <w:r>
        <w:t>Con lr001 se alcanza AP50=0,943169 en la época 5; la referencia llega a 0,942506 en la 29. Es aprendizaje más rápido y solo +0,066 puntos en el mejor AP50 del historial. La ejecución completa terminó el 15/10 a las 22:13, incluida la validación, con salida 0.</w:t>
      </w:r>
    </w:p>
    <w:p>
      <w:pPr>
        <w:pStyle w:val="Heading2"/>
        <w:pageBreakBefore/>
      </w:pPr>
      <w:r>
        <w:t>11.2. Curvas y resultado del cambio de tasa</w:t>
      </w:r>
    </w:p>
    <w:p>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pPr>
        <w:keepNext/>
        <w:jc w:val="center"/>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lr_comparado.png"/>
                    <pic:cNvPicPr/>
                  </pic:nvPicPr>
                  <pic:blipFill>
                    <a:blip r:embed="rId13"/>
                    <a:stretch>
                      <a:fillRect/>
                    </a:stretch>
                  </pic:blipFill>
                  <pic:spPr>
                    <a:xfrm>
                      <a:off x="0" y="0"/>
                      <a:ext cx="5760000" cy="2048000"/>
                    </a:xfrm>
                    <a:prstGeom prst="rect"/>
                  </pic:spPr>
                </pic:pic>
              </a:graphicData>
            </a:graphic>
          </wp:inline>
        </w:drawing>
      </w:r>
    </w:p>
    <w:p>
      <w:pPr>
        <w:pStyle w:val="Caption"/>
        <w:keepNext w:val="0"/>
        <w:keepLines/>
      </w:pPr>
      <w:r>
        <w:t>Figura 3. Tasa usada en cada época. Las bajadas de ReduceLROnPlateau no recuperan el óptimo temprano.</w:t>
      </w:r>
    </w:p>
    <w:p>
      <w:r>
        <w:t>En lr001 se usa 0,001 en épocas 1–10, 0,0001 en 11–16, 0,00001 en 17–22, 0,000001 en 23–28 y 0,0000001 en 29–30. La tasa del experimento con aumento original no bajó. Más épocas con esta ejecución no solucionaron la pérdida de validación.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Métrica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0,9416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+0,17</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0,7146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+3,14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normales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0,9664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0,9740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+0,76</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0,6341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0,1074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+1,08</w:t>
            </w:r>
          </w:p>
        </w:tc>
      </w:tr>
    </w:tbl>
    <w:p>
      <w:pPr>
        <w:pStyle w:val="Caption"/>
        <w:keepNext w:val="0"/>
        <w:keepLines/>
      </w:pPr>
      <w:r>
        <w:t>Tabla 4. Evaluación final de los mejores checkpoints con el mismo procedimiento y conjunto.</w:t>
      </w:r>
    </w:p>
    <w:p>
      <w:r>
        <w:t>El cambio de tasa mejora sobre todo el ajuste de cajas. AP50 ya era alto y su incremento es pequeño. La ganancia modesta en objetos pequeños motivó el experimento de resolución de los apartados 11.5 y 11.6.</w:t>
      </w:r>
    </w:p>
    <w:p>
      <w:pPr>
        <w:pStyle w:val="Heading2"/>
        <w:pageBreakBefore/>
      </w:pPr>
      <w:r>
        <w:t>11.3. Errores umbral y coste de inferencia</w:t>
      </w:r>
    </w:p>
    <w:tbl>
      <w:tblPr>
        <w:tblW w:type="auto" w:w="0"/>
        <w:tblLayout w:type="fixed"/>
        <w:tblLook w:firstColumn="1" w:firstRow="1" w:lastColumn="0" w:lastRow="0" w:noHBand="0" w:noVBand="1" w:val="04A0"/>
      </w:tblPr>
      <w:tblGrid>
        <w:gridCol w:w="3628"/>
        <w:gridCol w:w="1814"/>
        <w:gridCol w:w="1814"/>
        <w:gridCol w:w="1814"/>
      </w:tblGrid>
      <w:tr>
        <w:trPr>
          <w:cantSplit/>
          <w:tblHeader/>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Confianza e IoU ≥0,5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res1024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TP / FN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1493 / 68</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FN normales /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 / 63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 / 65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 / 56</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FP frente a etiquetas</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210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Precisión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0,8756</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0,8861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0,8217</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Recall total</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0,9564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Recall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0,7529</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0,7451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0,7804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0,9098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0,9155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0,8840</w:t>
            </w:r>
          </w:p>
        </w:tc>
      </w:tr>
    </w:tbl>
    <w:p>
      <w:pPr>
        <w:pStyle w:val="Caption"/>
        <w:keepNext w:val="0"/>
        <w:keepLines/>
      </w:pPr>
      <w:r>
        <w:t>Tabla 5. Recuento a un umbral fijo; no debe confundirse con el AP.</w:t>
      </w:r>
    </w:p>
    <w:p>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pPr>
        <w:keepNext/>
        <w:jc w:val="center"/>
      </w:pPr>
      <w:r>
        <w:drawing>
          <wp:inline xmlns:a="http://schemas.openxmlformats.org/drawingml/2006/main" xmlns:pic="http://schemas.openxmlformats.org/drawingml/2006/picture">
            <wp:extent cx="5484381" cy="3060000"/>
            <wp:docPr id="4" name="Picture 4"/>
            <wp:cNvGraphicFramePr>
              <a:graphicFrameLocks noChangeAspect="1"/>
            </wp:cNvGraphicFramePr>
            <a:graphic>
              <a:graphicData uri="http://schemas.openxmlformats.org/drawingml/2006/picture">
                <pic:pic>
                  <pic:nvPicPr>
                    <pic:cNvPr id="0" name="umbral_confianza.png"/>
                    <pic:cNvPicPr/>
                  </pic:nvPicPr>
                  <pic:blipFill>
                    <a:blip r:embed="rId14"/>
                    <a:stretch>
                      <a:fillRect/>
                    </a:stretch>
                  </pic:blipFill>
                  <pic:spPr>
                    <a:xfrm>
                      <a:off x="0" y="0"/>
                      <a:ext cx="5484381" cy="3060000"/>
                    </a:xfrm>
                    <a:prstGeom prst="rect"/>
                  </pic:spPr>
                </pic:pic>
              </a:graphicData>
            </a:graphic>
          </wp:inline>
        </w:drawing>
      </w:r>
    </w:p>
    <w:p>
      <w:pPr>
        <w:pStyle w:val="Caption"/>
        <w:keepNext w:val="0"/>
        <w:keepLines/>
      </w:pPr>
      <w:r>
        <w:t>Figura 4. Precisión exhaustividad y F1 de lr001 en la rejilla de confianzas de validación.</w:t>
      </w:r>
    </w:p>
    <w:p>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pPr>
        <w:pStyle w:val="Heading2"/>
        <w:pageBreakBefore/>
      </w:pPr>
      <w:r>
        <w:t>11.4. Comparación por secuencia</w:t>
      </w:r>
    </w:p>
    <w:tbl>
      <w:tblPr>
        <w:tblW w:type="auto" w:w="0"/>
        <w:tblLayout w:type="fixed"/>
        <w:tblLook w:firstColumn="1" w:firstRow="1" w:lastColumn="0" w:lastRow="0" w:noHBand="0" w:noVBand="1" w:val="04A0"/>
      </w:tblPr>
      <w:tblGrid>
        <w:gridCol w:w="2891"/>
        <w:gridCol w:w="1701"/>
        <w:gridCol w:w="1701"/>
        <w:gridCol w:w="2778"/>
      </w:tblGrid>
      <w:tr>
        <w:trPr>
          <w:cantSplit/>
          <w:tblHeader/>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Secuencia</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antes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lr001</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FN antes → después</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2023 GR04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0,9886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2</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0,9393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0,9380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GR02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0,9864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0,9782</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GR04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0,9817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0,9844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GR04 0003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0,8131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0,8096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 → 6</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GR01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0,9775</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3</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GR01 0010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0,9049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0,9404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GR03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0,9661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0,9678</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 → 9</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GR03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30 → 28</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GR04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0,9280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0,9290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29 → 33</w:t>
            </w:r>
          </w:p>
        </w:tc>
      </w:tr>
    </w:tbl>
    <w:p>
      <w:pPr>
        <w:pStyle w:val="Caption"/>
        <w:keepNext w:val="0"/>
        <w:keepLines/>
      </w:pPr>
      <w:r>
        <w:t>Tabla 6. Secuencias de validación comparadas con las mismas etiquetas.</w:t>
      </w:r>
    </w:p>
    <w:p>
      <w:pPr>
        <w:keepNext/>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secuencias_comparadas.png"/>
                    <pic:cNvPicPr/>
                  </pic:nvPicPr>
                  <pic:blipFill>
                    <a:blip r:embed="rId15"/>
                    <a:stretch>
                      <a:fillRect/>
                    </a:stretch>
                  </pic:blipFill>
                  <pic:spPr>
                    <a:xfrm>
                      <a:off x="0" y="0"/>
                      <a:ext cx="5616000" cy="2808000"/>
                    </a:xfrm>
                    <a:prstGeom prst="rect"/>
                  </pic:spPr>
                </pic:pic>
              </a:graphicData>
            </a:graphic>
          </wp:inline>
        </w:drawing>
      </w:r>
    </w:p>
    <w:p>
      <w:pPr>
        <w:pStyle w:val="Caption"/>
        <w:keepNext w:val="0"/>
        <w:keepLines/>
      </w:pPr>
      <w:r>
        <w:t>Figura 5. Cambio de AP50 por secuencia en puntos porcentuales.</w:t>
      </w:r>
    </w:p>
    <w:p>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pPr>
        <w:pStyle w:val="Heading2"/>
        <w:pageBreakBefore/>
      </w:pPr>
      <w:r>
        <w:t>11.5. Resolución y evolución del entrenamiento</w:t>
      </w:r>
    </w:p>
    <w:p>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pPr>
        <w:keepNext/>
        <w:jc w:val="center"/>
      </w:pPr>
      <w:r>
        <w:drawing>
          <wp:inline xmlns:a="http://schemas.openxmlformats.org/drawingml/2006/main" xmlns:pic="http://schemas.openxmlformats.org/drawingml/2006/picture">
            <wp:extent cx="5600000" cy="3600000"/>
            <wp:docPr id="6" name="Picture 6"/>
            <wp:cNvGraphicFramePr>
              <a:graphicFrameLocks noChangeAspect="1"/>
            </wp:cNvGraphicFramePr>
            <a:graphic>
              <a:graphicData uri="http://schemas.openxmlformats.org/drawingml/2006/picture">
                <pic:pic>
                  <pic:nvPicPr>
                    <pic:cNvPr id="0" name="curvas_comparadas.png"/>
                    <pic:cNvPicPr/>
                  </pic:nvPicPr>
                  <pic:blipFill>
                    <a:blip r:embed="rId16"/>
                    <a:stretch>
                      <a:fillRect/>
                    </a:stretch>
                  </pic:blipFill>
                  <pic:spPr>
                    <a:xfrm>
                      <a:off x="0" y="0"/>
                      <a:ext cx="5600000" cy="3600000"/>
                    </a:xfrm>
                    <a:prstGeom prst="rect"/>
                  </pic:spPr>
                </pic:pic>
              </a:graphicData>
            </a:graphic>
          </wp:inline>
        </w:drawing>
      </w:r>
    </w:p>
    <w:p>
      <w:pPr>
        <w:pStyle w:val="Caption"/>
        <w:keepNext w:val="0"/>
        <w:keepLines/>
      </w:pPr>
      <w:r>
        <w:t>Figura 6. Misma semilla y datos. Los puntos marcan el máximo AP50 de cada historial, no el máximo AP promedio.</w:t>
      </w:r>
    </w:p>
    <w:p>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pPr>
        <w:pStyle w:val="Heading2"/>
        <w:pageBreakBefore/>
      </w:pPr>
      <w:r>
        <w:t>11.6. Resultado y coste de la resolución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por AP50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lr001 800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1024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+0,32</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−2,55</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0,6990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−4,70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0,1886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+7,04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large</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0,6919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0,6459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−4,60</w:t>
            </w:r>
          </w:p>
        </w:tc>
      </w:tr>
    </w:tbl>
    <w:p>
      <w:pPr>
        <w:pStyle w:val="Caption"/>
        <w:keepNext w:val="0"/>
        <w:keepLines/>
      </w:pPr>
      <w:r>
        <w:t>Tabla 7. Evaluación final del checkpoint seleccionado. El historial se presenta por separado.</w:t>
      </w:r>
    </w:p>
    <w:p>
      <w:pPr>
        <w:keepNext/>
        <w:jc w:val="center"/>
      </w:pPr>
      <w:r>
        <w:drawing>
          <wp:inline xmlns:a="http://schemas.openxmlformats.org/drawingml/2006/main" xmlns:pic="http://schemas.openxmlformats.org/drawingml/2006/picture">
            <wp:extent cx="5724000" cy="1908000"/>
            <wp:docPr id="7" name="Picture 7"/>
            <wp:cNvGraphicFramePr>
              <a:graphicFrameLocks noChangeAspect="1"/>
            </wp:cNvGraphicFramePr>
            <a:graphic>
              <a:graphicData uri="http://schemas.openxmlformats.org/drawingml/2006/picture">
                <pic:pic>
                  <pic:nvPicPr>
                    <pic:cNvPr id="0" name="precision_y_coste.png"/>
                    <pic:cNvPicPr/>
                  </pic:nvPicPr>
                  <pic:blipFill>
                    <a:blip r:embed="rId17"/>
                    <a:stretch>
                      <a:fillRect/>
                    </a:stretch>
                  </pic:blipFill>
                  <pic:spPr>
                    <a:xfrm>
                      <a:off x="0" y="0"/>
                      <a:ext cx="5724000" cy="1908000"/>
                    </a:xfrm>
                    <a:prstGeom prst="rect"/>
                  </pic:spPr>
                </pic:pic>
              </a:graphicData>
            </a:graphic>
          </wp:inline>
        </w:drawing>
      </w:r>
    </w:p>
    <w:p>
      <w:pPr>
        <w:pStyle w:val="Caption"/>
        <w:keepNext w:val="0"/>
        <w:keepLines/>
      </w:pPr>
      <w:r>
        <w:t>Figura 7. La mejora de pequeños convive con retrocesos en otras métricas y mayor latencia individual.</w:t>
      </w:r>
    </w:p>
    <w:p>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pPr>
        <w:keepNext/>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secuencias_comparadas.png"/>
                    <pic:cNvPicPr/>
                  </pic:nvPicPr>
                  <pic:blipFill>
                    <a:blip r:embed="rId18"/>
                    <a:stretch>
                      <a:fillRect/>
                    </a:stretch>
                  </pic:blipFill>
                  <pic:spPr>
                    <a:xfrm>
                      <a:off x="0" y="0"/>
                      <a:ext cx="3960000" cy="1980000"/>
                    </a:xfrm>
                    <a:prstGeom prst="rect"/>
                  </pic:spPr>
                </pic:pic>
              </a:graphicData>
            </a:graphic>
          </wp:inline>
        </w:drawing>
      </w:r>
    </w:p>
    <w:p>
      <w:pPr>
        <w:pStyle w:val="Caption"/>
        <w:keepNext w:val="0"/>
        <w:keepLines/>
      </w:pPr>
      <w:r>
        <w:t>Figura 8. Cambio de AP50 frente a lr001 a resolución original; escala en puntos porcentuales.</w:t>
      </w:r>
    </w:p>
    <w:p>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pPr>
        <w:pStyle w:val="Heading1"/>
        <w:pageBreakBefore/>
      </w:pPr>
      <w:r>
        <w:t>12. Análisis cualitativo</w:t>
      </w:r>
    </w:p>
    <w:p>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pPr>
        <w:keepNext/>
        <w:jc w:val="center"/>
      </w:pPr>
      <w:r>
        <w:drawing>
          <wp:inline xmlns:a="http://schemas.openxmlformats.org/drawingml/2006/main" xmlns:pic="http://schemas.openxmlformats.org/drawingml/2006/picture">
            <wp:extent cx="5194613" cy="3131999"/>
            <wp:docPr id="9" name="Picture 9"/>
            <wp:cNvGraphicFramePr>
              <a:graphicFrameLocks noChangeAspect="1"/>
            </wp:cNvGraphicFramePr>
            <a:graphic>
              <a:graphicData uri="http://schemas.openxmlformats.org/drawingml/2006/picture">
                <pic:pic>
                  <pic:nvPicPr>
                    <pic:cNvPr id="0" name="etiqueta_incompleta.png"/>
                    <pic:cNvPicPr/>
                  </pic:nvPicPr>
                  <pic:blipFill>
                    <a:blip r:embed="rId19"/>
                    <a:stretch>
                      <a:fillRect/>
                    </a:stretch>
                  </pic:blipFill>
                  <pic:spPr>
                    <a:xfrm>
                      <a:off x="0" y="0"/>
                      <a:ext cx="5194613" cy="3131999"/>
                    </a:xfrm>
                    <a:prstGeom prst="rect"/>
                  </pic:spPr>
                </pic:pic>
              </a:graphicData>
            </a:graphic>
          </wp:inline>
        </w:drawing>
      </w:r>
    </w:p>
    <w:p>
      <w:pPr>
        <w:pStyle w:val="Caption"/>
        <w:keepNext w:val="0"/>
        <w:keepLines/>
      </w:pPr>
      <w:r>
        <w:t>Figura 9. Caso confirmado de anotación incompleta. La caja azul es la única del XML.</w:t>
      </w:r>
    </w:p>
    <w:p>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pPr>
        <w:keepNext/>
        <w:jc w:val="center"/>
      </w:pPr>
      <w:r>
        <w:drawing>
          <wp:inline xmlns:a="http://schemas.openxmlformats.org/drawingml/2006/main" xmlns:pic="http://schemas.openxmlformats.org/drawingml/2006/picture">
            <wp:extent cx="3857142" cy="2160000"/>
            <wp:docPr id="10" name="Picture 10"/>
            <wp:cNvGraphicFramePr>
              <a:graphicFrameLocks noChangeAspect="1"/>
            </wp:cNvGraphicFramePr>
            <a:graphic>
              <a:graphicData uri="http://schemas.openxmlformats.org/drawingml/2006/picture">
                <pic:pic>
                  <pic:nvPicPr>
                    <pic:cNvPr id="0" name="ejemplo_errores_res1024.png"/>
                    <pic:cNvPicPr/>
                  </pic:nvPicPr>
                  <pic:blipFill>
                    <a:blip r:embed="rId20"/>
                    <a:stretch>
                      <a:fillRect/>
                    </a:stretch>
                  </pic:blipFill>
                  <pic:spPr>
                    <a:xfrm>
                      <a:off x="0" y="0"/>
                      <a:ext cx="3857142" cy="2160000"/>
                    </a:xfrm>
                    <a:prstGeom prst="rect"/>
                  </pic:spPr>
                </pic:pic>
              </a:graphicData>
            </a:graphic>
          </wp:inline>
        </w:drawing>
      </w:r>
    </w:p>
    <w:p>
      <w:pPr>
        <w:pStyle w:val="Caption"/>
        <w:keepNext w:val="0"/>
        <w:keepLines/>
      </w:pPr>
      <w:r>
        <w:t>Figura 10. Res1024 en PIDS2025_GR03_0011/frame_0600: TP 4, FP 4 y FN 1 frente a las etiquetas; rojo indica detección sin pareja.</w:t>
      </w:r>
    </w:p>
    <w:p>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pPr>
        <w:pStyle w:val="Heading2"/>
        <w:pageBreakBefore/>
      </w:pPr>
      <w:r>
        <w:t>12.1. Conclusiones y trabajo pendiente</w:t>
      </w:r>
    </w:p>
    <w:p>
      <w:r>
        <w:t>Se conserva provisionalmente lr=0,001 a resolución 800/1333 y el checkpoint de la época 5 como referencia: mejora AP agregado, ajuste de cajas y FP frente a lr=0,0001, con una latencia similar. La diferencia de +0,17 puntos en AP50 con una única semilla no prueba una mejora estable; tampoco hay mejora uniforme en difficult al umbral fijo.</w:t>
      </w:r>
    </w:p>
    <w:p>
      <w:r>
        <w:t>Se han completado cuatro entrenamientos y su evaluación en validación. La resolución mayor aporta +7,04 puntos de AP small y reduce 15 FN, pero aumenta FP y latencia y baja AP 0,50:0,95 en el checkpoint seleccionado. Se conserva lr001 a resolución original como referencia por su equilibrio; res1024 queda como alternativa si prima detectar pequeños y se acepta ese coste.</w:t>
      </w:r>
    </w:p>
    <w:p>
      <w:r>
        <w:t>La selección por AP50 tiene consecuencias: en res1024 el máximo AP 0,50:0,95 del historial está en la época 5, no en la 2 elegida. No se ha reevaluado otro checkpoint ni se concluye que la resolución empeore siempre el ajuste de cajas. Una semilla y el cambio de microbatch impiden aislar completamente su efecto.</w:t>
      </w:r>
    </w:p>
    <w:p>
      <w:r>
        <w:t>Falta comparar arquitecturas y evaluar el modelo definitivo en test; la fase 2 sigue siendo un avance. Como experimento posterior se plantea una ampliación dirigida a difficult, con los demás parámetros fijos. Los perfiles de sombras, lluvia y oclusión están preparados, pero no participan en estos resultados. Se limita la selección sobre validación y test se reserva para una única evaluación final.</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2</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