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Copia de trabajo · solo Bloque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r>
        <w:fldChar w:fldCharType="begin"/>
        <w:instrText> TOC \o "1-1" \h \z \u </w:instrText>
        <w:fldChar w:fldCharType="separate"/>
        <w:t>El índice se actualiza al abrir el documento en Word.</w:t>
        <w:fldChar w:fldCharType="end"/>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de 13 secuencias externas, con 1721 robots y 270 difficult, y se reservó para evaluar una sola vez cada modelo final, sin usarlo para elegir nada (apartado 11.9).</w:t>
      </w:r>
    </w:p>
    <w:p>
      <w:pPr>
        <w:keepNext/>
        <w:jc w:val="center"/>
      </w:pPr>
      <w:r>
        <w:drawing>
          <wp:inline xmlns:a="http://schemas.openxmlformats.org/drawingml/2006/main" xmlns:pic="http://schemas.openxmlformats.org/drawingml/2006/picture">
            <wp:extent cx="5372852" cy="2880000"/>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372852" cy="2880000"/>
                    </a:xfrm>
                    <a:prstGeom prst="rect"/>
                  </pic:spPr>
                </pic:pic>
              </a:graphicData>
            </a:graphic>
          </wp:inline>
        </w:drawing>
      </w:r>
    </w:p>
    <w:p>
      <w:pPr>
        <w:pStyle w:val="Caption"/>
        <w:keepNext w:val="0"/>
        <w:keepLines/>
      </w:pPr>
      <w:r>
        <w:t>Figura 1. Flujo realmente usado para ajustar pesos y seleccionar el checkpoint con validación.</w:t>
      </w:r>
    </w:p>
    <w:p>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Los apartados 11.7 a 11.9 comparan siete arquitecturas: además de esta, Faster R-CNN v2 y una variante con MobileNet, RetinaNet [6] y SSD [7].</w:t>
      </w:r>
    </w:p>
    <w:p>
      <w:r>
        <w:t>Los resultados de COCO no predicen la ganancia en nuestros datos, por eso la comparación mide precisión y también latencia, que es lo que condiciona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efectivo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 res1024: microbatch 4 × 2</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 y res1024</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800/1333; res1024: 1024/1820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mismo aumento base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2. Configuración común de los experimentos medidos.</w:t>
      </w:r>
    </w:p>
    <w:p>
      <w:r>
        <w:t>La tasa 0,001 se ensayó como salto de diez veces manteniendo los otros parámetros. En estos cuatro experimentos no se añadieron warmup, otra arquitectura ni los perfiles nuevos de aumento: cambiar una variable facilita interpretar el resultado, aunque una sola semilla no mide su variabilidad. La comparación de los apartados 11.7 a 11.9 sí cambia de arquitectura y usa el perfil robusto_v1, con 12 épocas y lote efectivo 8; Faster R-CNN v2 acumula microlotes de 4 por falta de memoria.</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lr 0,001 res1024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r>
    </w:tbl>
    <w:p>
      <w:pPr>
        <w:pStyle w:val="Caption"/>
        <w:keepNext w:val="0"/>
        <w:keepLines/>
      </w:pPr>
      <w:r>
        <w:t>Tabla 3.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2" name="Picture 2"/>
            <wp:cNvGraphicFramePr>
              <a:graphicFrameLocks noChangeAspect="1"/>
            </wp:cNvGraphicFramePr>
            <a:graphic>
              <a:graphicData uri="http://schemas.openxmlformats.org/drawingml/2006/picture">
                <pic:pic>
                  <pic:nvPicPr>
                    <pic:cNvPr id="0" name="curvas_comparadas.png"/>
                    <pic:cNvPicPr/>
                  </pic:nvPicPr>
                  <pic:blipFill>
                    <a:blip r:embed="rId12"/>
                    <a:stretch>
                      <a:fillRect/>
                    </a:stretch>
                  </pic:blipFill>
                  <pic:spPr>
                    <a:xfrm>
                      <a:off x="0" y="0"/>
                      <a:ext cx="5760000" cy="3702857"/>
                    </a:xfrm>
                    <a:prstGeom prst="rect"/>
                  </pic:spPr>
                </pic:pic>
              </a:graphicData>
            </a:graphic>
          </wp:inline>
        </w:drawing>
      </w:r>
    </w:p>
    <w:p>
      <w:pPr>
        <w:pStyle w:val="Caption"/>
        <w:keepNext w:val="0"/>
        <w:keepLines/>
      </w:pPr>
      <w:r>
        <w:t>Figura 2.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lr_comparado.png"/>
                    <pic:cNvPicPr/>
                  </pic:nvPicPr>
                  <pic:blipFill>
                    <a:blip r:embed="rId13"/>
                    <a:stretch>
                      <a:fillRect/>
                    </a:stretch>
                  </pic:blipFill>
                  <pic:spPr>
                    <a:xfrm>
                      <a:off x="0" y="0"/>
                      <a:ext cx="5760000" cy="2048000"/>
                    </a:xfrm>
                    <a:prstGeom prst="rect"/>
                  </pic:spPr>
                </pic:pic>
              </a:graphicData>
            </a:graphic>
          </wp:inline>
        </w:drawing>
      </w:r>
    </w:p>
    <w:p>
      <w:pPr>
        <w:pStyle w:val="Caption"/>
        <w:keepNext w:val="0"/>
        <w:keepLines/>
      </w:pPr>
      <w:r>
        <w:t>Figura 3.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4. Evaluación final de los mejores checkpoints con el mismo procedimiento y conjunto.</w:t>
      </w:r>
    </w:p>
    <w:p>
      <w:r>
        <w:t>El cambio de tasa mejora sobre todo el ajuste de cajas. AP50 ya era alto y su incremento es pequeño. La ganancia modesta en objetos pequeños motivó el experimento de resolución de los apartados 11.5 y 11.6.</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3628"/>
        <w:gridCol w:w="1814"/>
        <w:gridCol w:w="1814"/>
        <w:gridCol w:w="1814"/>
      </w:tblGrid>
      <w:tr>
        <w:trPr>
          <w:cantSplit/>
          <w:tblHeader/>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Confianza e IoU ≥0,5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res1024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TP / FN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1493 / 68</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FN normales /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 / 63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 / 65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 / 56</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FP frente a etiquetas</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210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Precisión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0,8756</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0,8861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0,8217</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Recall total</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0,9564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Recall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0,7529</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0,7451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0,7804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0,9098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0,9155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0,8840</w:t>
            </w:r>
          </w:p>
        </w:tc>
      </w:tr>
    </w:tbl>
    <w:p>
      <w:pPr>
        <w:pStyle w:val="Caption"/>
        <w:keepNext w:val="0"/>
        <w:keepLines/>
      </w:pPr>
      <w:r>
        <w:t>Tabla 5. Recuento a un umbral fijo; no debe confundirse con el AP.</w:t>
      </w:r>
    </w:p>
    <w:p>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4" name="Picture 4"/>
            <wp:cNvGraphicFramePr>
              <a:graphicFrameLocks noChangeAspect="1"/>
            </wp:cNvGraphicFramePr>
            <a:graphic>
              <a:graphicData uri="http://schemas.openxmlformats.org/drawingml/2006/picture">
                <pic:pic>
                  <pic:nvPicPr>
                    <pic:cNvPr id="0" name="umbral_confianza.png"/>
                    <pic:cNvPicPr/>
                  </pic:nvPicPr>
                  <pic:blipFill>
                    <a:blip r:embed="rId14"/>
                    <a:stretch>
                      <a:fillRect/>
                    </a:stretch>
                  </pic:blipFill>
                  <pic:spPr>
                    <a:xfrm>
                      <a:off x="0" y="0"/>
                      <a:ext cx="5484381" cy="3060000"/>
                    </a:xfrm>
                    <a:prstGeom prst="rect"/>
                  </pic:spPr>
                </pic:pic>
              </a:graphicData>
            </a:graphic>
          </wp:inline>
        </w:drawing>
      </w:r>
    </w:p>
    <w:p>
      <w:pPr>
        <w:pStyle w:val="Caption"/>
        <w:keepNext w:val="0"/>
        <w:keepLines/>
      </w:pPr>
      <w:r>
        <w:t>Figura 4. Precisión exhaustividad y F1 de lr001 en la rejilla de confianzas de validación.</w:t>
      </w:r>
    </w:p>
    <w:p>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6. Secuencias de validación comparadas con las mismas etiquetas.</w:t>
      </w:r>
    </w:p>
    <w:p>
      <w:pPr>
        <w:keepNext/>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secuencias_comparadas.png"/>
                    <pic:cNvPicPr/>
                  </pic:nvPicPr>
                  <pic:blipFill>
                    <a:blip r:embed="rId15"/>
                    <a:stretch>
                      <a:fillRect/>
                    </a:stretch>
                  </pic:blipFill>
                  <pic:spPr>
                    <a:xfrm>
                      <a:off x="0" y="0"/>
                      <a:ext cx="5616000" cy="2808000"/>
                    </a:xfrm>
                    <a:prstGeom prst="rect"/>
                  </pic:spPr>
                </pic:pic>
              </a:graphicData>
            </a:graphic>
          </wp:inline>
        </w:drawing>
      </w:r>
    </w:p>
    <w:p>
      <w:pPr>
        <w:pStyle w:val="Caption"/>
        <w:keepNext w:val="0"/>
        <w:keepLines/>
      </w:pPr>
      <w:r>
        <w:t>Figura 5.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2"/>
        <w:pageBreakBefore/>
      </w:pPr>
      <w:r>
        <w:t>11.5. Resolución y evolución del entrenamiento</w:t>
      </w:r>
    </w:p>
    <w:p>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pPr>
        <w:keepNext/>
        <w:jc w:val="center"/>
      </w:pPr>
      <w:r>
        <w:drawing>
          <wp:inline xmlns:a="http://schemas.openxmlformats.org/drawingml/2006/main" xmlns:pic="http://schemas.openxmlformats.org/drawingml/2006/picture">
            <wp:extent cx="5600000" cy="3600000"/>
            <wp:docPr id="6" name="Picture 6"/>
            <wp:cNvGraphicFramePr>
              <a:graphicFrameLocks noChangeAspect="1"/>
            </wp:cNvGraphicFramePr>
            <a:graphic>
              <a:graphicData uri="http://schemas.openxmlformats.org/drawingml/2006/picture">
                <pic:pic>
                  <pic:nvPicPr>
                    <pic:cNvPr id="0" name="curvas_comparadas.png"/>
                    <pic:cNvPicPr/>
                  </pic:nvPicPr>
                  <pic:blipFill>
                    <a:blip r:embed="rId16"/>
                    <a:stretch>
                      <a:fillRect/>
                    </a:stretch>
                  </pic:blipFill>
                  <pic:spPr>
                    <a:xfrm>
                      <a:off x="0" y="0"/>
                      <a:ext cx="5600000" cy="3600000"/>
                    </a:xfrm>
                    <a:prstGeom prst="rect"/>
                  </pic:spPr>
                </pic:pic>
              </a:graphicData>
            </a:graphic>
          </wp:inline>
        </w:drawing>
      </w:r>
    </w:p>
    <w:p>
      <w:pPr>
        <w:pStyle w:val="Caption"/>
        <w:keepNext w:val="0"/>
        <w:keepLines/>
      </w:pPr>
      <w:r>
        <w:t>Figura 6. Misma semilla y datos. Los puntos marcan el máximo AP50 de cada historial, no el máximo AP promedio.</w:t>
      </w:r>
    </w:p>
    <w:p>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pPr>
        <w:pStyle w:val="Heading2"/>
        <w:pageBreakBefore/>
      </w:pPr>
      <w:r>
        <w:t>11.6. Resultado y coste de la resolución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por AP50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lr001 800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1024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+0,32</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−2,55</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0,6990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−4,70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0,1886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+7,04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large</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0,6919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0,6459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−4,60</w:t>
            </w:r>
          </w:p>
        </w:tc>
      </w:tr>
    </w:tbl>
    <w:p>
      <w:pPr>
        <w:pStyle w:val="Caption"/>
        <w:keepNext w:val="0"/>
        <w:keepLines/>
      </w:pPr>
      <w:r>
        <w:t>Tabla 7. Evaluación final del checkpoint seleccionado. El historial se presenta por separado.</w:t>
      </w:r>
    </w:p>
    <w:p>
      <w:pPr>
        <w:keepNext/>
        <w:jc w:val="center"/>
      </w:pPr>
      <w:r>
        <w:drawing>
          <wp:inline xmlns:a="http://schemas.openxmlformats.org/drawingml/2006/main" xmlns:pic="http://schemas.openxmlformats.org/drawingml/2006/picture">
            <wp:extent cx="5724000" cy="1908000"/>
            <wp:docPr id="7" name="Picture 7"/>
            <wp:cNvGraphicFramePr>
              <a:graphicFrameLocks noChangeAspect="1"/>
            </wp:cNvGraphicFramePr>
            <a:graphic>
              <a:graphicData uri="http://schemas.openxmlformats.org/drawingml/2006/picture">
                <pic:pic>
                  <pic:nvPicPr>
                    <pic:cNvPr id="0" name="precision_y_coste.png"/>
                    <pic:cNvPicPr/>
                  </pic:nvPicPr>
                  <pic:blipFill>
                    <a:blip r:embed="rId17"/>
                    <a:stretch>
                      <a:fillRect/>
                    </a:stretch>
                  </pic:blipFill>
                  <pic:spPr>
                    <a:xfrm>
                      <a:off x="0" y="0"/>
                      <a:ext cx="5724000" cy="1908000"/>
                    </a:xfrm>
                    <a:prstGeom prst="rect"/>
                  </pic:spPr>
                </pic:pic>
              </a:graphicData>
            </a:graphic>
          </wp:inline>
        </w:drawing>
      </w:r>
    </w:p>
    <w:p>
      <w:pPr>
        <w:pStyle w:val="Caption"/>
        <w:keepNext w:val="0"/>
        <w:keepLines/>
      </w:pPr>
      <w:r>
        <w:t>Figura 7. La mejora de pequeños convive con retrocesos en otras métricas y mayor latencia individual.</w:t>
      </w:r>
    </w:p>
    <w:p>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pPr>
        <w:keepNext/>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secuencias_comparadas.png"/>
                    <pic:cNvPicPr/>
                  </pic:nvPicPr>
                  <pic:blipFill>
                    <a:blip r:embed="rId18"/>
                    <a:stretch>
                      <a:fillRect/>
                    </a:stretch>
                  </pic:blipFill>
                  <pic:spPr>
                    <a:xfrm>
                      <a:off x="0" y="0"/>
                      <a:ext cx="3960000" cy="1980000"/>
                    </a:xfrm>
                    <a:prstGeom prst="rect"/>
                  </pic:spPr>
                </pic:pic>
              </a:graphicData>
            </a:graphic>
          </wp:inline>
        </w:drawing>
      </w:r>
    </w:p>
    <w:p>
      <w:pPr>
        <w:pStyle w:val="Caption"/>
        <w:keepNext w:val="0"/>
        <w:keepLines/>
      </w:pPr>
      <w:r>
        <w:t>Figura 8. Cambio de AP50 frente a lr001 a resolución original; escala en puntos porcentuales.</w:t>
      </w:r>
    </w:p>
    <w:p>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pPr>
        <w:pStyle w:val="Heading2"/>
        <w:pageBreakBefore/>
      </w:pPr>
      <w:r>
        <w:t>11.7. Comparación de arquitecturas</w:t>
      </w:r>
    </w:p>
    <w:p>
      <w:r>
        <w:t>Se entrenaron las siete arquitecturas del código de partida, todas inicializadas con COCO y con la cabeza sustituida por fondo y robot: Faster R-CNN ResNet-50 FPN en sus versiones v1 y v2 y con MobileNetV3, RetinaNet ResNet-50 FPN (v1 y v2), SSD300 con VGG16 y SSDlite320 con MobileNetV3 [3,4,6,7]. Todas usan el perfil de aumento robusto_v1 (las 796 originales y tres copias por imagen), 12 épocas, SGD con tasa 0,001 y semilla 0, y se conserva el checkpoint con mayor AP@0,5 en validación.</w:t>
      </w:r>
    </w:p>
    <w:tbl>
      <w:tblPr>
        <w:tblW w:type="auto" w:w="0"/>
        <w:tblLayout w:type="fixed"/>
        <w:tblLook w:firstColumn="1" w:firstRow="1" w:lastColumn="0" w:lastRow="0" w:noHBand="0" w:noVBand="1" w:val="04A0"/>
      </w:tblPr>
      <w:tblGrid>
        <w:gridCol w:w="1984"/>
        <w:gridCol w:w="624"/>
        <w:gridCol w:w="850"/>
        <w:gridCol w:w="964"/>
        <w:gridCol w:w="964"/>
        <w:gridCol w:w="964"/>
        <w:gridCol w:w="1247"/>
        <w:gridCol w:w="794"/>
        <w:gridCol w:w="680"/>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Época</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todos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normales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difficult</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0,50:0,95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 máx. (umbral)</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ms/imagen</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Min</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0,9759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0,6192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0,9361 (0,95)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99,5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151</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0,9748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0,9264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67,3</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102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5</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0,6273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0,9305 (0,90)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75,1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106</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0,9687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0,6196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0,9229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72,2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0,9597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0,5789</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0,9167 (0,55)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16,0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0,5144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0,8926 (0,25)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0,7272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0,3943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0,6839 (0,20)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4,2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6</w:t>
            </w:r>
          </w:p>
        </w:tc>
      </w:tr>
    </w:tbl>
    <w:p>
      <w:pPr>
        <w:pStyle w:val="Caption"/>
        <w:keepNext w:val="0"/>
        <w:keepLines/>
      </w:pPr>
      <w:r>
        <w:t>Tabla 8. Siete arquitecturas con lr 0,001 en validación (672 imágenes, 1561 robots, 255 difficult). Época del mejor checkpoint; F1 máximo de la rejilla de umbrales de 0,05; milisegundos por imagen de una en una en la RTX 3060 sin captura ni actuación; minutos de entrenamiento.</w:t>
      </w:r>
    </w:p>
    <w:p>
      <w:pPr>
        <w:keepNext/>
        <w:jc w:val="center"/>
      </w:pPr>
      <w:r>
        <w:drawing>
          <wp:inline xmlns:a="http://schemas.openxmlformats.org/drawingml/2006/main" xmlns:pic="http://schemas.openxmlformats.org/drawingml/2006/picture">
            <wp:extent cx="5760000" cy="2596096"/>
            <wp:docPr id="9" name="Picture 9"/>
            <wp:cNvGraphicFramePr>
              <a:graphicFrameLocks noChangeAspect="1"/>
            </wp:cNvGraphicFramePr>
            <a:graphic>
              <a:graphicData uri="http://schemas.openxmlformats.org/drawingml/2006/picture">
                <pic:pic>
                  <pic:nvPicPr>
                    <pic:cNvPr id="0" name="curvas_arquitecturas.png"/>
                    <pic:cNvPicPr/>
                  </pic:nvPicPr>
                  <pic:blipFill>
                    <a:blip r:embed="rId19"/>
                    <a:stretch>
                      <a:fillRect/>
                    </a:stretch>
                  </pic:blipFill>
                  <pic:spPr>
                    <a:xfrm>
                      <a:off x="0" y="0"/>
                      <a:ext cx="5760000" cy="2596096"/>
                    </a:xfrm>
                    <a:prstGeom prst="rect"/>
                  </pic:spPr>
                </pic:pic>
              </a:graphicData>
            </a:graphic>
          </wp:inline>
        </w:drawing>
      </w:r>
    </w:p>
    <w:p>
      <w:pPr>
        <w:pStyle w:val="Caption"/>
        <w:keepNext w:val="0"/>
        <w:keepLines/>
      </w:pPr>
      <w:r>
        <w:t>Figura 9. AP@0,5 en validación por época. El punto marca el checkpoint elegido. Faster R-CNN llega a su máximo entre las épocas 3 y 5 y después pierde algo; RetinaNet mejora despacio y SSD300 sigue subiendo en la 12.</w:t>
      </w:r>
    </w:p>
    <w:p>
      <w:r>
        <w:t>Faster R-CNN v2 es el más preciso, con AP@0,5 de 0,9513, seguido de RetinaNet v2 (0,9447), Faster R-CNN v1 (0,9426) y RetinaNet v1 (0,9396). La v2 supera a la v1 en 0,87 puntos y a RetinaNet v2 en 0,66: son diferencias pequeñas con una sola semilla, aunque la v2 queda por encima de RetinaNet v2 con las tres tasas ensayadas (apartado 11.8). Las cuatro redes con ResNet-50 quedan a 1,2 puntos entre sí: dentro de esa familia, la arquitectura cambia poco el AP@0,5.</w:t>
      </w:r>
    </w:p>
    <w:p>
      <w:r>
        <w:t>Las redes ligeras pierden precisión. Faster R-CNN con MobileNet baja 2,3 puntos (0,9281), pero tarda 16,0 ms por imagen frente a 99,5 de la v2, unas seis veces menos. SSD300 (0,9008) es más rápida que cualquiera de las de ResNet-50, pero MobileNet le saca 2,7 puntos por 3,5 ms más: no compensa. SSDlite320 (0,6823) no sirve, porque reduce la imagen a 320 × 320 y los robots lejanos casi desaparecen.</w:t>
      </w:r>
    </w:p>
    <w:p>
      <w:pPr>
        <w:keepNext/>
        <w:jc w:val="center"/>
      </w:pPr>
      <w:r>
        <w:drawing>
          <wp:inline xmlns:a="http://schemas.openxmlformats.org/drawingml/2006/main" xmlns:pic="http://schemas.openxmlformats.org/drawingml/2006/picture">
            <wp:extent cx="5288356" cy="2700000"/>
            <wp:docPr id="10" name="Picture 10"/>
            <wp:cNvGraphicFramePr>
              <a:graphicFrameLocks noChangeAspect="1"/>
            </wp:cNvGraphicFramePr>
            <a:graphic>
              <a:graphicData uri="http://schemas.openxmlformats.org/drawingml/2006/picture">
                <pic:pic>
                  <pic:nvPicPr>
                    <pic:cNvPr id="0" name="precision_latencia.png"/>
                    <pic:cNvPicPr/>
                  </pic:nvPicPr>
                  <pic:blipFill>
                    <a:blip r:embed="rId20"/>
                    <a:stretch>
                      <a:fillRect/>
                    </a:stretch>
                  </pic:blipFill>
                  <pic:spPr>
                    <a:xfrm>
                      <a:off x="0" y="0"/>
                      <a:ext cx="5288356" cy="2700000"/>
                    </a:xfrm>
                    <a:prstGeom prst="rect"/>
                  </pic:spPr>
                </pic:pic>
              </a:graphicData>
            </a:graphic>
          </wp:inline>
        </w:drawing>
      </w:r>
    </w:p>
    <w:p>
      <w:pPr>
        <w:pStyle w:val="Caption"/>
        <w:keepNext w:val="0"/>
        <w:keepLines/>
      </w:pPr>
      <w:r>
        <w:t>Figura 10. Precisión frente a tiempo por imagen. Faster R-CNN con MobileNet es el mejor compromiso rápido; los círculos pequeños son las variantes de tasa.</w:t>
      </w:r>
    </w:p>
    <w:p>
      <w:r>
        <w:t>Las curvas muestran dos comportamientos. Faster R-CNN alcanza el máximo en las épocas 3 a 5 y después pierde entre 0,6 y 1 punto mientras su pérdida de entrenamiento sigue bajando: sobreajuste temprano, como en los experimentos anteriores. RetinaNet arranca más despacio (RetinaNet v1 está en 0,48 en la primera época) pero es más estable y llega al máximo en las épocas 6 y 7. SSD300 sigue mejorando en la época 12, por lo que doce épocas pueden ser pocas para ese modelo; no se probó con más.</w:t>
      </w:r>
    </w:p>
    <w:p>
      <w:r>
        <w:t>Los difficult siguen siendo el punto débil de todas las arquitecturas: su AP@0,5 queda entre 0,60 y 0,65, de 33 a 37 puntos por debajo del de los robots normales. Cambiar de arquitectura no cierra esa brecha; Faster R-CNN v1 (0,6471) y v2 (0,6422) son las que mejor los detectan.</w:t>
      </w:r>
    </w:p>
    <w:p>
      <w:pPr>
        <w:pStyle w:val="Heading2"/>
        <w:pageBreakBefore/>
      </w:pPr>
      <w:r>
        <w:t>11.8. Tasa de aprendizaje y perfil de aumento</w:t>
      </w:r>
    </w:p>
    <w:tbl>
      <w:tblPr>
        <w:tblW w:type="auto" w:w="0"/>
        <w:tblLayout w:type="fixed"/>
        <w:tblLook w:firstColumn="1" w:firstRow="1" w:lastColumn="0" w:lastRow="0" w:noHBand="0" w:noVBand="1" w:val="04A0"/>
      </w:tblPr>
      <w:tblGrid>
        <w:gridCol w:w="2324"/>
        <w:gridCol w:w="907"/>
        <w:gridCol w:w="1247"/>
        <w:gridCol w:w="1247"/>
        <w:gridCol w:w="1361"/>
        <w:gridCol w:w="1247"/>
        <w:gridCol w:w="737"/>
      </w:tblGrid>
      <w:tr>
        <w:trPr>
          <w:cantSplit/>
          <w:tblHeader/>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Modelo</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todos</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difficult</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0,50:0,95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Min</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0,9507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0,6361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189</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0,9513</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0,6422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0,6192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0,9497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0,6403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0,9451</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0,6133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0,9447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0,6213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0,6114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0,9469</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0,6246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0,9420</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0,6104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132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0,9426</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0,6471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0,6273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0,9434</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0,6024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105</w:t>
            </w:r>
          </w:p>
        </w:tc>
      </w:tr>
    </w:tbl>
    <w:p>
      <w:pPr>
        <w:pStyle w:val="Caption"/>
        <w:keepNext w:val="0"/>
        <w:keepLines/>
      </w:pPr>
      <w:r>
        <w:t>Tabla 9. Variación de la tasa de aprendizaje en los tres modelos con mejor AP@0,5 en validación. Con 0,0005 se entrenaron 15 épocas; con 0,001 y 0,002, 12.</w:t>
      </w:r>
    </w:p>
    <w:p>
      <w:r>
        <w:t>Con los tres mejores modelos se repitió el entrenamiento con tasas de 0,0005 y 0,002. La tasa casi no cambia el AP@0,5: entre la mejor y la peor variante hay 0,16 puntos en Faster R-CNN v2 (0,9497 a 0,9513), 0,22 en RetinaNet v2 (0,9447 a 0,9469) y 0,14 en Faster R-CNN v1 (0,9420 a 0,9434), lo que cabe esperar de cambiar la semilla. No hay razón para preferir otra tasa que 0,001, que además necesita menos épocas que 0,0005.</w:t>
      </w:r>
    </w:p>
    <w:p>
      <w:r>
        <w:t>Lo que sí cambia es la estabilidad. Con 0,002, Faster R-CNN alcanza su máximo en la primera o la segunda época y después pierde entre 1,1 y 1,4 puntos: de 0,9497 a 0,9355 en la v2 y de 0,9432 a 0,9320 en la v1. Con 0,0005 el máximo llega más tarde (época 5 en la v2) y la caída posterior es de 0,5 puntos. RetinaNet v2 es poco sensible a la tasa. Que el mejor checkpoint con lr 0,002 sea el de una sola época indica que apenas se ha entrenado, y recuerda que cada cifra es el máximo de una curva y por tanto algo optimista.</w:t>
      </w:r>
    </w:p>
    <w:p>
      <w:r>
        <w:t>El perfil robusto_v1 (sombras y llovizna en los exteriores, obstáculos con textura y refuerzo de las imágenes con difficult; apartado 6.1) se comparó con el aumento base repitiendo Faster R-CNN v1 con lr 0,001: AP@0,5 de 0,9426 con robusto_v1 y 0,9433 con el aumento base; 0,6471 y 0,6462 en difficult; 191 y 190 falsos positivos y 84 y 83 robots perdidos con confianza 0,5. No hay diferencia medible, y el mejor checkpoint cae en la época 5 en los dos casos. La comparación no es idéntica (30 épocas con el aumento base y 12 con robusto_v1), pero sí lo es en el checkpoint elegido.</w:t>
      </w:r>
    </w:p>
    <w:p>
      <w:r>
        <w:t>Que no mejore no prueba que no sirva: la lluvia sintética, las sombras locales y los obstáculos con textura no se han podido medir por separado, y no hay una serie de lluvia real que los contraste. Con estos datos el perfil base es suficiente y robusto_v1 no se adopta como mejora.</w:t>
      </w:r>
    </w:p>
    <w:p>
      <w:pPr>
        <w:pStyle w:val="Heading2"/>
        <w:pageBreakBefore/>
      </w:pPr>
      <w:r>
        <w:t>11.9. Evaluación final en test</w:t>
      </w:r>
    </w:p>
    <w:p>
      <w:r>
        <w:t>El criterio se fijó antes de abrir el test y quedó registrado en el repositorio (docs/seleccion_modelo_final.md, 24/10/2026): el modelo final es el de mayor AP@0,5 en validación, el umbral de confianza es el de mejor F1 en validación, y se evalúan en test los siete modelos con lr 0,001, una sola vez cada uno. El test tiene 718 imágenes de 13 secuencias de otros grupos, con 1721 robots (270 difficult). No se ha usado para elegir nada.</w:t>
      </w:r>
    </w:p>
    <w:tbl>
      <w:tblPr>
        <w:tblW w:type="auto" w:w="0"/>
        <w:tblLayout w:type="fixed"/>
        <w:tblLook w:firstColumn="1" w:firstRow="1" w:lastColumn="0" w:lastRow="0" w:noHBand="0" w:noVBand="1" w:val="04A0"/>
      </w:tblPr>
      <w:tblGrid>
        <w:gridCol w:w="1644"/>
        <w:gridCol w:w="737"/>
        <w:gridCol w:w="737"/>
        <w:gridCol w:w="737"/>
        <w:gridCol w:w="737"/>
        <w:gridCol w:w="850"/>
        <w:gridCol w:w="680"/>
        <w:gridCol w:w="737"/>
        <w:gridCol w:w="794"/>
        <w:gridCol w:w="737"/>
        <w:gridCol w:w="794"/>
      </w:tblGrid>
      <w:tr>
        <w:trPr>
          <w:cantSplit/>
          <w:tblHeader/>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test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test</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0,5:0,95 test</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Umbral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Precis.</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Exhaust.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FP / FN</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0,6921</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0,5724</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0,9447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0,9332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0,9389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94 / 115</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0,9457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0,6313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0,5609</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0,9064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0,9233</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 / 161</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0,6057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0,5700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0,9224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0,9250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0,9237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134 / 129</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0,9362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0,6273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0,5711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0,9226</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133 / 136</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0,5744</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0,5335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0,9142</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147 / 148</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0,8797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0,4316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0,4788</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0,25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0,9128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0,8216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0,8648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135 / 307</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0,6412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0,2742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0,3472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0,7284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0,5985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0,6571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384 / 691</w:t>
            </w:r>
          </w:p>
        </w:tc>
      </w:tr>
    </w:tbl>
    <w:p>
      <w:pPr>
        <w:pStyle w:val="Caption"/>
        <w:keepNext w:val="0"/>
        <w:keepLines/>
      </w:pPr>
      <w:r>
        <w:t>Tabla 10. Evaluación final en test, una vez por modelo, con el umbral fijado en validación. Precisión, exhaustividad, F1 y recuento de falsos positivos y robots perdidos a ese umbral; AP50 en todos los robots y en difficult.</w:t>
      </w:r>
    </w:p>
    <w:p>
      <w:pPr>
        <w:keepNext/>
        <w:jc w:val="center"/>
      </w:pPr>
      <w:r>
        <w:drawing>
          <wp:inline xmlns:a="http://schemas.openxmlformats.org/drawingml/2006/main" xmlns:pic="http://schemas.openxmlformats.org/drawingml/2006/picture">
            <wp:extent cx="5274418" cy="2268000"/>
            <wp:docPr id="11" name="Picture 11"/>
            <wp:cNvGraphicFramePr>
              <a:graphicFrameLocks noChangeAspect="1"/>
            </wp:cNvGraphicFramePr>
            <a:graphic>
              <a:graphicData uri="http://schemas.openxmlformats.org/drawingml/2006/picture">
                <pic:pic>
                  <pic:nvPicPr>
                    <pic:cNvPr id="0" name="validacion_vs_test.png"/>
                    <pic:cNvPicPr/>
                  </pic:nvPicPr>
                  <pic:blipFill>
                    <a:blip r:embed="rId21"/>
                    <a:stretch>
                      <a:fillRect/>
                    </a:stretch>
                  </pic:blipFill>
                  <pic:spPr>
                    <a:xfrm>
                      <a:off x="0" y="0"/>
                      <a:ext cx="5274418" cy="2268000"/>
                    </a:xfrm>
                    <a:prstGeom prst="rect"/>
                  </pic:spPr>
                </pic:pic>
              </a:graphicData>
            </a:graphic>
          </wp:inline>
        </w:drawing>
      </w:r>
    </w:p>
    <w:p>
      <w:pPr>
        <w:pStyle w:val="Caption"/>
        <w:keepNext w:val="0"/>
        <w:keepLines/>
      </w:pPr>
      <w:r>
        <w:t>Figura 11. AP@0,5 en validación y en test. El orden de las arquitecturas se mantiene; las de SSD pierden más al pasar a test.</w:t>
      </w:r>
    </w:p>
    <w:p>
      <w:r>
        <w:t>El modelo final, Faster R-CNN v2 con lr 0,001, obtiene en test un AP@0,5 de 0,9523 (0,9513 en validación): 0,9658 en robots normales y 0,6921 en difficult. Con el umbral 0,95 detecta 1606 de los 1721 robots (exhaustividad 0,9332, y 0,7259 en difficult), con 94 falsos positivos (precisión 0,9447) y un F1 de 0,9389. El mejor F1 posible en test sería 0,9413, con umbral 0,90: el umbral elegido en validación queda a 0,24 puntos del óptimo.</w:t>
      </w:r>
    </w:p>
    <w:p>
      <w:r>
        <w:t>Las cifras de test son coherentes con las de validación. El orden se mantiene salvo el intercambio entre RetinaNet v1 y Faster R-CNN v1, a solo 0,07 puntos (0,9362 y 0,9355). Las redes con ResNet-50 varían entre −0,7 y +0,1 puntos al pasar a test, mientras que las de SSD pierden más (2,1 puntos SSD300 y 4,1 SSDlite320). En difficult, el modelo final sube 5,0 puntos (de 0,6422 a 0,6921) y Faster R-CNN v1 y MobileNet bajan 4,1 y 2,8; con 270 robots, cambios de unos pocos puntos no son concluyentes.</w:t>
      </w:r>
    </w:p>
    <w:p>
      <w:r>
        <w:t>Por secuencias, 11 de las 13 superan 0,94 de AP@0,5 con el modelo final. Las excepciones son PIDS2025_GR02_0009 (0,8695, con 40 robots perdidos de 204, 33 de ellos difficult) y PIDS2025_GR04_0000 (0,4967), una secuencia de 13 imágenes y 21 robots en la que se pierden 10, y que pesa poco por su tamaño.</w:t>
      </w:r>
    </w:p>
    <w:p>
      <w:r>
        <w:t>La opción rápida para la demo, Faster R-CNN con MobileNet, obtiene 0,9240 en test (0,5744 en difficult) y un F1 de 0,9143 con el umbral 0,55, a 16,0 ms por imagen frente a 96,3 del modelo final. Los límites son los de siempre: una sola semilla, etiquetas de otros grupos con criterios algo distintos (antenas, robots cortados) y latencias de inferencia en la RTX 3060 sin captura ni actuación. No se ha medido nada en el robot.</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12" name="Picture 12"/>
            <wp:cNvGraphicFramePr>
              <a:graphicFrameLocks noChangeAspect="1"/>
            </wp:cNvGraphicFramePr>
            <a:graphic>
              <a:graphicData uri="http://schemas.openxmlformats.org/drawingml/2006/picture">
                <pic:pic>
                  <pic:nvPicPr>
                    <pic:cNvPr id="0" name="etiqueta_incompleta.png"/>
                    <pic:cNvPicPr/>
                  </pic:nvPicPr>
                  <pic:blipFill>
                    <a:blip r:embed="rId22"/>
                    <a:stretch>
                      <a:fillRect/>
                    </a:stretch>
                  </pic:blipFill>
                  <pic:spPr>
                    <a:xfrm>
                      <a:off x="0" y="0"/>
                      <a:ext cx="5194613" cy="3131999"/>
                    </a:xfrm>
                    <a:prstGeom prst="rect"/>
                  </pic:spPr>
                </pic:pic>
              </a:graphicData>
            </a:graphic>
          </wp:inline>
        </w:drawing>
      </w:r>
    </w:p>
    <w:p>
      <w:pPr>
        <w:pStyle w:val="Caption"/>
        <w:keepNext w:val="0"/>
        <w:keepLines/>
      </w:pPr>
      <w:r>
        <w:t>Figura 12. Caso confirmado de anotación incompleta. La caja azul es la única del XML.</w:t>
      </w:r>
    </w:p>
    <w:p>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pPr>
        <w:keepNext/>
        <w:jc w:val="center"/>
      </w:pPr>
      <w:r>
        <w:drawing>
          <wp:inline xmlns:a="http://schemas.openxmlformats.org/drawingml/2006/main" xmlns:pic="http://schemas.openxmlformats.org/drawingml/2006/picture">
            <wp:extent cx="3857142" cy="2160000"/>
            <wp:docPr id="13" name="Picture 13"/>
            <wp:cNvGraphicFramePr>
              <a:graphicFrameLocks noChangeAspect="1"/>
            </wp:cNvGraphicFramePr>
            <a:graphic>
              <a:graphicData uri="http://schemas.openxmlformats.org/drawingml/2006/picture">
                <pic:pic>
                  <pic:nvPicPr>
                    <pic:cNvPr id="0" name="ejemplo_errores_res1024.png"/>
                    <pic:cNvPicPr/>
                  </pic:nvPicPr>
                  <pic:blipFill>
                    <a:blip r:embed="rId23"/>
                    <a:stretch>
                      <a:fillRect/>
                    </a:stretch>
                  </pic:blipFill>
                  <pic:spPr>
                    <a:xfrm>
                      <a:off x="0" y="0"/>
                      <a:ext cx="3857142" cy="2160000"/>
                    </a:xfrm>
                    <a:prstGeom prst="rect"/>
                  </pic:spPr>
                </pic:pic>
              </a:graphicData>
            </a:graphic>
          </wp:inline>
        </w:drawing>
      </w:r>
    </w:p>
    <w:p>
      <w:pPr>
        <w:pStyle w:val="Caption"/>
        <w:keepNext w:val="0"/>
        <w:keepLines/>
      </w:pPr>
      <w:r>
        <w:t>Figura 13. Res1024 en PIDS2025_GR03_0011/frame_0600: TP 4, FP 4 y FN 1 frente a las etiquetas; rojo indica detección sin pareja.</w:t>
      </w:r>
    </w:p>
    <w:p>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pPr>
        <w:pStyle w:val="Heading2"/>
        <w:pageBreakBefore/>
      </w:pPr>
      <w:r>
        <w:t>12.1. Conclusiones y trabajo pendiente</w:t>
      </w:r>
    </w:p>
    <w:p>
      <w:r>
        <w:t>El modelo final es Faster R-CNN v2 con lr 0,001 y el perfil robusto_v1, checkpoint de la época 3: AP@0,5 de 0,9523 en test (0,9658 en robots normales y 0,6921 en difficult) y F1 de 0,9389 con el umbral 0,95 fijado en validación. La opción rápida es Faster R-CNN con MobileNet, con 0,9240 en test y 16,0 ms por imagen frente a 96,3. Elegir entre las dos depende de la latencia real que admita el robot, que está por medir.</w:t>
      </w:r>
    </w:p>
    <w:p>
      <w:r>
        <w:t>De la comparación salen cuatro conclusiones. La arquitectura importa más que la tasa de aprendizaje y que el aumento: las cuatro redes con ResNet-50 quedan a 1,2 puntos entre sí, la tasa mueve el AP@0,5 menos de 0,25 puntos y el perfil robusto_v1 no mejora al aumento base. Los difficult siguen siendo el punto débil de todas, con un AP@0,5 de test entre 0,57 y 0,69, de 27 a 37 puntos por debajo del de los robots normales. Las redes con entrada pequeña (SSD) no sirven para robots lejanos. Y Faster R-CNN sobreajusta pronto con cualquier tasa, por lo que el checkpoint se elige por validación y no por el final del entrenamiento.</w:t>
      </w:r>
    </w:p>
    <w:p>
      <w:r>
        <w:t>La referencia de los primeros experimentos (Faster R-CNN v1, lr 0,001, resolución 800/1333) queda como línea base. La resolución 1024 se probó solo con Faster R-CNN v1, donde aportó +7,04 puntos de AP small y 15 robots menos perdidos a costa de más falsos positivos y 62 % más de latencia; no se ha probado con Faster R-CNN v2. La selección por AP50 tiene sus consecuencias: en res1024 el máximo AP 0,50:0,95 del historial está en la época 5, no en la 2 elegida, y no se ha reevaluado otro checkpoint.</w:t>
      </w:r>
    </w:p>
    <w:p>
      <w:r>
        <w:t>Queda por hacer: mejorar los difficult, para lo que el aumento dirigido probado aquí no basta (más imágenes reales con movimiento y oclusión, o combinar resolución mayor con Faster R-CNN v2); repetir con varias semillas para acotar la variabilidad; y llevar el modelo al robot, medir la latencia de toda la cadena (captura, detección y actuación) y decidir entonces entre el modelo final y el rápido. Eso corresponde al Bloque 3; esta fase queda como un avance.</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pPr>
        <w:jc w:val="left"/>
      </w:pPr>
      <w:r>
        <w:t>[6] T.-Y. Lin et al. Focal Loss for Dense Object Detection. 2017. https://arxiv.org/abs/1708.02002</w:t>
      </w:r>
    </w:p>
    <w:p>
      <w:pPr>
        <w:jc w:val="left"/>
      </w:pPr>
      <w:r>
        <w:t>[7] W. Liu et al. SSD: Single Shot MultiBox Detector. 2016. https://arxiv.org/abs/1512.02325</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