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8666" w14:textId="77777777" w:rsidR="00D073C4" w:rsidRDefault="00DA003C">
      <w:pPr>
        <w:spacing w:line="480" w:lineRule="auto"/>
        <w:jc w:val="center"/>
      </w:pPr>
      <w:r>
        <w:rPr>
          <w:b/>
          <w:bCs/>
        </w:rPr>
        <w:t>Energy in the Executive: The Case for Broad Presidential Emergency Powers</w:t>
      </w:r>
    </w:p>
    <w:p w14:paraId="496E8667" w14:textId="77777777" w:rsidR="00D073C4" w:rsidRDefault="00DA003C">
      <w:pPr>
        <w:spacing w:line="480" w:lineRule="auto"/>
        <w:ind w:firstLine="720"/>
      </w:pPr>
      <w:r>
        <w:t>The Constitution names no general "emergency power," yet every president has faced crises demanding faster action than Congress can provide (Patterson, 2023). This paper argues that the president should have broad but not unlimited latitude to act decisively in genuine emergencies, because a paralyzed executive is more dangerous than an assertive one, and the system's own correctives keep that power accountable.</w:t>
      </w:r>
    </w:p>
    <w:p w14:paraId="496E8668" w14:textId="77777777" w:rsidR="00D073C4" w:rsidRDefault="00DA003C">
      <w:pPr>
        <w:spacing w:line="480" w:lineRule="auto"/>
      </w:pPr>
      <w:r>
        <w:rPr>
          <w:b/>
          <w:bCs/>
        </w:rPr>
        <w:t>The National Emergencies Act of 1976</w:t>
      </w:r>
    </w:p>
    <w:p w14:paraId="058775ED" w14:textId="5C490FA1" w:rsidR="003E1F25" w:rsidRDefault="00DA003C" w:rsidP="003E1F25">
      <w:pPr>
        <w:spacing w:line="480" w:lineRule="auto"/>
        <w:ind w:firstLine="720"/>
      </w:pPr>
      <w:r>
        <w:t>The National Emergencies Act (NEA) of 1976 is the modern framework (National Emergencies Act, 1976). Signed by President Ford, it ended decades of open-ended emergencies and imposed procedure: the president must declare an emergency, specify which statutory powers it activates, and report to Congress, and the declaration lapses after one year unless renewed. The Act grants no new power itself; a declaration instead unlocks more than 130 standby authorities, including economic sanctions and property seizures</w:t>
      </w:r>
      <w:r>
        <w:t xml:space="preserve"> (Brennan Center for Justice, 2019). Notably, it sets no definition of "emergency," leaving that judgment to the president. A clear example is President Obama's October 2009 declaration over the H1N1 pandemic, which used the NEA to waive Medicare, Medicaid, and hospital rules so facilities could manage the surge (Proclamation No. 8443, 2009). It drew little partisan fighting: both parties treated it as routine preparedness, though some conservative commentators criticized the administration's broader respon</w:t>
      </w:r>
      <w:r>
        <w:t>se while Democrats defended it as prudent.</w:t>
      </w:r>
      <w:r w:rsidR="003E1F25">
        <w:br w:type="page"/>
      </w:r>
    </w:p>
    <w:p w14:paraId="496E866A" w14:textId="77777777" w:rsidR="00D073C4" w:rsidRDefault="00DA003C">
      <w:pPr>
        <w:spacing w:line="480" w:lineRule="auto"/>
      </w:pPr>
      <w:r>
        <w:rPr>
          <w:b/>
          <w:bCs/>
        </w:rPr>
        <w:lastRenderedPageBreak/>
        <w:t>Presidential Emergency Actions in History</w:t>
      </w:r>
    </w:p>
    <w:p w14:paraId="496E866B" w14:textId="77777777" w:rsidR="00D073C4" w:rsidRDefault="00DA003C">
      <w:pPr>
        <w:spacing w:line="480" w:lineRule="auto"/>
        <w:ind w:firstLine="720"/>
      </w:pPr>
      <w:r>
        <w:t xml:space="preserve">Presidents have often reached beyond ordinary powers in a crisis. In 1861, Lincoln unilaterally suspended habeas corpus to detain suspected secessionists, though the Constitution assigns that power to Congress; Chief Justice Taney condemned the move in </w:t>
      </w:r>
      <w:r>
        <w:rPr>
          <w:i/>
          <w:iCs/>
        </w:rPr>
        <w:t>Ex parte Merryman</w:t>
      </w:r>
      <w:r>
        <w:t>, and antiwar Democrats attacked it, yet Lincoln pressed on and Congress ratified the suspension in 1863. In 1942, Roosevelt issued Executive Order 9066, interning about 120,000 Japanese Americans; wartime fear kept opposition muted, but the ACLU challenged it and Congress ultimately apologized and paid redress in 1988. In 1952, Truman seized the steel mills to avert a strike he said would cripple Korean War production, drawing immediate lawsuits and bipartisan charges of executive overreach.</w:t>
      </w:r>
    </w:p>
    <w:p w14:paraId="496E866C" w14:textId="77777777" w:rsidR="00D073C4" w:rsidRDefault="00DA003C">
      <w:pPr>
        <w:spacing w:line="480" w:lineRule="auto"/>
      </w:pPr>
      <w:r>
        <w:rPr>
          <w:b/>
          <w:bCs/>
        </w:rPr>
        <w:t>The Supreme Court's Verdict</w:t>
      </w:r>
    </w:p>
    <w:p w14:paraId="496E866D" w14:textId="0ED52103" w:rsidR="003E1F25" w:rsidRDefault="00DA003C">
      <w:pPr>
        <w:spacing w:line="480" w:lineRule="auto"/>
        <w:ind w:firstLine="720"/>
      </w:pPr>
      <w:r>
        <w:t xml:space="preserve">The Supreme Court has both upheld and struck down such actions. In </w:t>
      </w:r>
      <w:r>
        <w:rPr>
          <w:i/>
          <w:iCs/>
        </w:rPr>
        <w:t>Korematsu v. United States</w:t>
      </w:r>
      <w:r>
        <w:t xml:space="preserve"> (1944), a 6—3 majority upheld the Japanese American exclusion on grounds of "military necessity"; Justices Murphy and Jackson dissented, warning it excused racism and would lie "like a loaded weapon." The ruling was later discredited—Korematsu's conviction was vacated in the 1980s after the government's concealment of evidence surfaced, and in 2018 the Court called it "gravely wrong the day it was decided." In </w:t>
      </w:r>
      <w:r>
        <w:rPr>
          <w:i/>
          <w:iCs/>
        </w:rPr>
        <w:t>Youngstown Sheet &amp; Tube Co. v. Sawyer</w:t>
      </w:r>
      <w:r>
        <w:t xml:space="preserve"> (1952), by contrast, the Court voided Truman's seizure, holding that no statute authorized it and that the commander-in-chief power does not reach private property in a labor dispute. Justice Jackson's concurrence set the lasting test: presidential power is strongest with Congress's consent, uncertain in its silence, and "at its lowest ebb" against its will.</w:t>
      </w:r>
    </w:p>
    <w:p w14:paraId="21603819" w14:textId="77777777" w:rsidR="003E1F25" w:rsidRDefault="003E1F25">
      <w:r>
        <w:br w:type="page"/>
      </w:r>
    </w:p>
    <w:p w14:paraId="496E866E" w14:textId="77777777" w:rsidR="00D073C4" w:rsidRDefault="00DA003C">
      <w:pPr>
        <w:spacing w:line="480" w:lineRule="auto"/>
      </w:pPr>
      <w:r>
        <w:rPr>
          <w:b/>
          <w:bCs/>
        </w:rPr>
        <w:lastRenderedPageBreak/>
        <w:t>Recommendation</w:t>
      </w:r>
    </w:p>
    <w:p w14:paraId="496E866F" w14:textId="77777777" w:rsidR="00D073C4" w:rsidRDefault="00DA003C">
      <w:pPr>
        <w:spacing w:line="480" w:lineRule="auto"/>
        <w:ind w:firstLine="720"/>
      </w:pPr>
      <w:r>
        <w:t xml:space="preserve">These episodes support broad but not unlimited emergency power. In </w:t>
      </w:r>
      <w:r>
        <w:rPr>
          <w:i/>
          <w:iCs/>
        </w:rPr>
        <w:t>Federalist No. 70</w:t>
      </w:r>
      <w:r>
        <w:t>, Hamilton argued that "energy in the executive"—decisiveness, unity, and speed—is essential to security and the faithful execution of the laws, and that a feeble executive breeds feeble government (Hamilton, 1788). Locke had defended the same idea as "prerogative," the power to act for the public good when law is silent or too slow (Locke, 1690), and Rossiter (1948) showed that constitutional democracies survive crises only by wielding temporary emergency powers. Emergencies are exactly when a divided Cong</w:t>
      </w:r>
      <w:r>
        <w:t xml:space="preserve">ress cannot act in time. Yet history shows the safeguard working: </w:t>
      </w:r>
      <w:r>
        <w:rPr>
          <w:i/>
          <w:iCs/>
        </w:rPr>
        <w:t>Youngstown</w:t>
      </w:r>
      <w:r>
        <w:t xml:space="preserve"> restrained Truman, </w:t>
      </w:r>
      <w:r>
        <w:rPr>
          <w:i/>
          <w:iCs/>
        </w:rPr>
        <w:t>Korematsu</w:t>
      </w:r>
      <w:r>
        <w:t xml:space="preserve"> was disowned, and laws like the NEA and War Powers Resolution force presidents to justify and time-limit their actions. Broad latitude is safe because it is never the last word. The president should act swiftly in a true emergency, but under three limits—transparency about the authority invoked, automatic expiration requiring renewal, and unquestioned judicial review—preserving Hamilton's energy while ensuring the power never becomes Jackson's loaded weapon.</w:t>
      </w:r>
    </w:p>
    <w:p w14:paraId="496E8670" w14:textId="77777777" w:rsidR="00D073C4" w:rsidRDefault="00DA003C">
      <w:r>
        <w:br w:type="page"/>
      </w:r>
    </w:p>
    <w:p w14:paraId="496E8671" w14:textId="77777777" w:rsidR="00D073C4" w:rsidRDefault="00DA003C">
      <w:pPr>
        <w:spacing w:line="480" w:lineRule="auto"/>
        <w:jc w:val="center"/>
      </w:pPr>
      <w:r>
        <w:rPr>
          <w:b/>
          <w:bCs/>
        </w:rPr>
        <w:lastRenderedPageBreak/>
        <w:t>References</w:t>
      </w:r>
    </w:p>
    <w:p w14:paraId="496E8672" w14:textId="77777777" w:rsidR="00D073C4" w:rsidRDefault="00DA003C">
      <w:pPr>
        <w:spacing w:line="480" w:lineRule="auto"/>
        <w:ind w:left="720" w:hanging="720"/>
      </w:pPr>
      <w:r>
        <w:t xml:space="preserve">Brennan Center for Justice. (2019, December 5). </w:t>
      </w:r>
      <w:r>
        <w:rPr>
          <w:i/>
          <w:iCs/>
        </w:rPr>
        <w:t>A guide to emergency powers and their use</w:t>
      </w:r>
      <w:r>
        <w:t>. https://www.brennancenter.org/our-work/research-reports/guide-emergency-powers-and-their-use</w:t>
      </w:r>
    </w:p>
    <w:p w14:paraId="496E8673" w14:textId="77777777" w:rsidR="00D073C4" w:rsidRDefault="00DA003C">
      <w:pPr>
        <w:spacing w:line="480" w:lineRule="auto"/>
        <w:ind w:left="720" w:hanging="720"/>
      </w:pPr>
      <w:r>
        <w:t>Ex parte Merryman, 17 F. Cas. 144 (C.C.D. Md. 1861).</w:t>
      </w:r>
    </w:p>
    <w:p w14:paraId="496E8674" w14:textId="77777777" w:rsidR="00D073C4" w:rsidRDefault="00DA003C">
      <w:pPr>
        <w:spacing w:line="480" w:lineRule="auto"/>
        <w:ind w:left="720" w:hanging="720"/>
      </w:pPr>
      <w:r>
        <w:t xml:space="preserve">Hamilton, A. (1788). </w:t>
      </w:r>
      <w:r>
        <w:rPr>
          <w:i/>
          <w:iCs/>
        </w:rPr>
        <w:t>The Federalist No. 70</w:t>
      </w:r>
      <w:r>
        <w:t>. Library of Congress. https://guides.loc.gov/federalist-papers/text-61-70</w:t>
      </w:r>
    </w:p>
    <w:p w14:paraId="496E8675" w14:textId="77777777" w:rsidR="00D073C4" w:rsidRDefault="00DA003C">
      <w:pPr>
        <w:spacing w:line="480" w:lineRule="auto"/>
        <w:ind w:left="720" w:hanging="720"/>
      </w:pPr>
      <w:r>
        <w:t>Korematsu v. United States, 323 U.S. 214 (1944).</w:t>
      </w:r>
    </w:p>
    <w:p w14:paraId="496E8676" w14:textId="77777777" w:rsidR="00D073C4" w:rsidRDefault="00DA003C">
      <w:pPr>
        <w:spacing w:line="480" w:lineRule="auto"/>
        <w:ind w:left="720" w:hanging="720"/>
      </w:pPr>
      <w:r>
        <w:t xml:space="preserve">Locke, J. (1690). </w:t>
      </w:r>
      <w:r>
        <w:rPr>
          <w:i/>
          <w:iCs/>
        </w:rPr>
        <w:t>The second treatise of government</w:t>
      </w:r>
      <w:r>
        <w:t>.</w:t>
      </w:r>
    </w:p>
    <w:p w14:paraId="496E8677" w14:textId="77777777" w:rsidR="00D073C4" w:rsidRDefault="00DA003C">
      <w:pPr>
        <w:spacing w:line="480" w:lineRule="auto"/>
        <w:ind w:left="720" w:hanging="720"/>
      </w:pPr>
      <w:r>
        <w:t>National Emergencies Act, 50 U.S.C. §§ 1601–1651 (1976).</w:t>
      </w:r>
    </w:p>
    <w:p w14:paraId="496E8678" w14:textId="77777777" w:rsidR="00D073C4" w:rsidRDefault="00DA003C">
      <w:pPr>
        <w:spacing w:line="480" w:lineRule="auto"/>
        <w:ind w:left="720" w:hanging="720"/>
      </w:pPr>
      <w:r>
        <w:t xml:space="preserve">Patterson, T. E. (2023). </w:t>
      </w:r>
      <w:r>
        <w:rPr>
          <w:i/>
          <w:iCs/>
        </w:rPr>
        <w:t>We the people: An introduction to American government</w:t>
      </w:r>
      <w:r>
        <w:t xml:space="preserve"> (2025 release). McGraw Hill.</w:t>
      </w:r>
    </w:p>
    <w:p w14:paraId="496E8679" w14:textId="77777777" w:rsidR="00D073C4" w:rsidRDefault="00DA003C">
      <w:pPr>
        <w:spacing w:line="480" w:lineRule="auto"/>
        <w:ind w:left="720" w:hanging="720"/>
      </w:pPr>
      <w:r>
        <w:t>Proclamation No. 8443, 74 Fed. Reg. 55439 (October 28, 2009).</w:t>
      </w:r>
    </w:p>
    <w:p w14:paraId="496E867A" w14:textId="77777777" w:rsidR="00D073C4" w:rsidRDefault="00DA003C">
      <w:pPr>
        <w:spacing w:line="480" w:lineRule="auto"/>
        <w:ind w:left="720" w:hanging="720"/>
      </w:pPr>
      <w:r>
        <w:t xml:space="preserve">Rossiter, C. (1948). </w:t>
      </w:r>
      <w:r>
        <w:rPr>
          <w:i/>
          <w:iCs/>
        </w:rPr>
        <w:t>Constitutional dictatorship: Crisis government in the modern democracies</w:t>
      </w:r>
      <w:r>
        <w:t>. Princeton University Press.</w:t>
      </w:r>
    </w:p>
    <w:p w14:paraId="496E867B" w14:textId="77777777" w:rsidR="00D073C4" w:rsidRDefault="00DA003C">
      <w:pPr>
        <w:spacing w:line="480" w:lineRule="auto"/>
        <w:ind w:left="720" w:hanging="720"/>
      </w:pPr>
      <w:r>
        <w:t>Youngstown Sheet &amp; Tube Co. v. Sawyer, 343 U.S. 579 (1952).</w:t>
      </w:r>
    </w:p>
    <w:sectPr w:rsidR="00D073C4" w:rsidSect="003E1F25">
      <w:headerReference w:type="default" r:id="rId7"/>
      <w:headerReference w:type="firs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A996B" w14:textId="77777777" w:rsidR="00DA003C" w:rsidRDefault="00DA003C">
      <w:r>
        <w:separator/>
      </w:r>
    </w:p>
  </w:endnote>
  <w:endnote w:type="continuationSeparator" w:id="0">
    <w:p w14:paraId="2993B428" w14:textId="77777777" w:rsidR="00DA003C" w:rsidRDefault="00DA0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65740" w14:textId="77777777" w:rsidR="00DA003C" w:rsidRDefault="00DA003C">
      <w:r>
        <w:separator/>
      </w:r>
    </w:p>
  </w:footnote>
  <w:footnote w:type="continuationSeparator" w:id="0">
    <w:p w14:paraId="5DC899AA" w14:textId="77777777" w:rsidR="00DA003C" w:rsidRDefault="00DA0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640101"/>
      <w:docPartObj>
        <w:docPartGallery w:val="Page Numbers (Top of Page)"/>
        <w:docPartUnique/>
      </w:docPartObj>
    </w:sdtPr>
    <w:sdtEndPr>
      <w:rPr>
        <w:noProof/>
      </w:rPr>
    </w:sdtEndPr>
    <w:sdtContent>
      <w:p w14:paraId="215EF415" w14:textId="2CC358A2" w:rsidR="003E1F25" w:rsidRDefault="003E1F2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45417F" w14:textId="77777777" w:rsidR="003E1F25" w:rsidRDefault="003E1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4A07" w14:textId="77777777" w:rsidR="003E1F25" w:rsidRDefault="003E1F25" w:rsidP="003E1F25">
    <w:r>
      <w:t>Javier Silva</w:t>
    </w:r>
  </w:p>
  <w:p w14:paraId="52AEC1DD" w14:textId="77777777" w:rsidR="003E1F25" w:rsidRDefault="003E1F25" w:rsidP="003E1F25">
    <w:r>
      <w:t>M171117C9I</w:t>
    </w:r>
  </w:p>
  <w:p w14:paraId="15501487" w14:textId="77777777" w:rsidR="003E1F25" w:rsidRDefault="003E1F25" w:rsidP="003E1F25">
    <w:r>
      <w:t>C08 American Government</w:t>
    </w:r>
  </w:p>
  <w:p w14:paraId="3C303F55" w14:textId="77777777" w:rsidR="003E1F25" w:rsidRDefault="003E1F25" w:rsidP="003E1F25">
    <w:r>
      <w:t>Lesson 4 Graded Project: Presidential Emergency Powers</w:t>
    </w:r>
  </w:p>
  <w:p w14:paraId="21FA73E0" w14:textId="77777777" w:rsidR="003E1F25" w:rsidRDefault="003E1F25" w:rsidP="003E1F25">
    <w:r>
      <w:t>August 8, 2026</w:t>
    </w:r>
    <w:r>
      <w:tab/>
    </w:r>
    <w:r>
      <w:tab/>
    </w:r>
    <w:r>
      <w:tab/>
    </w:r>
    <w:r>
      <w:tab/>
    </w:r>
    <w:r>
      <w:tab/>
    </w:r>
    <w:r>
      <w:tab/>
    </w:r>
    <w:r>
      <w:tab/>
    </w:r>
    <w:r>
      <w:tab/>
    </w:r>
    <w:r>
      <w:tab/>
    </w:r>
    <w:r>
      <w:tab/>
      <w:t xml:space="preserve">           </w:t>
    </w:r>
    <w:r>
      <w:fldChar w:fldCharType="begin"/>
    </w:r>
    <w:r>
      <w:instrText>PAGE</w:instrText>
    </w:r>
    <w:r>
      <w:fldChar w:fldCharType="separate"/>
    </w:r>
    <w:r>
      <w:t>1</w:t>
    </w:r>
    <w:r>
      <w:fldChar w:fldCharType="end"/>
    </w:r>
  </w:p>
  <w:p w14:paraId="734E8A9D" w14:textId="77777777" w:rsidR="003E1F25" w:rsidRDefault="003E1F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54027"/>
    <w:multiLevelType w:val="hybridMultilevel"/>
    <w:tmpl w:val="B04E48BE"/>
    <w:lvl w:ilvl="0" w:tplc="F77A8D9E">
      <w:start w:val="1"/>
      <w:numFmt w:val="bullet"/>
      <w:lvlText w:val="●"/>
      <w:lvlJc w:val="left"/>
      <w:pPr>
        <w:ind w:left="720" w:hanging="360"/>
      </w:pPr>
    </w:lvl>
    <w:lvl w:ilvl="1" w:tplc="7C2C4634">
      <w:start w:val="1"/>
      <w:numFmt w:val="bullet"/>
      <w:lvlText w:val="○"/>
      <w:lvlJc w:val="left"/>
      <w:pPr>
        <w:ind w:left="1440" w:hanging="360"/>
      </w:pPr>
    </w:lvl>
    <w:lvl w:ilvl="2" w:tplc="C6986F1C">
      <w:start w:val="1"/>
      <w:numFmt w:val="bullet"/>
      <w:lvlText w:val="■"/>
      <w:lvlJc w:val="left"/>
      <w:pPr>
        <w:ind w:left="2160" w:hanging="360"/>
      </w:pPr>
    </w:lvl>
    <w:lvl w:ilvl="3" w:tplc="1FFA0F2E">
      <w:start w:val="1"/>
      <w:numFmt w:val="bullet"/>
      <w:lvlText w:val="●"/>
      <w:lvlJc w:val="left"/>
      <w:pPr>
        <w:ind w:left="2880" w:hanging="360"/>
      </w:pPr>
    </w:lvl>
    <w:lvl w:ilvl="4" w:tplc="CD7C9866">
      <w:start w:val="1"/>
      <w:numFmt w:val="bullet"/>
      <w:lvlText w:val="○"/>
      <w:lvlJc w:val="left"/>
      <w:pPr>
        <w:ind w:left="3600" w:hanging="360"/>
      </w:pPr>
    </w:lvl>
    <w:lvl w:ilvl="5" w:tplc="E59E9F48">
      <w:start w:val="1"/>
      <w:numFmt w:val="bullet"/>
      <w:lvlText w:val="■"/>
      <w:lvlJc w:val="left"/>
      <w:pPr>
        <w:ind w:left="4320" w:hanging="360"/>
      </w:pPr>
    </w:lvl>
    <w:lvl w:ilvl="6" w:tplc="3614FF72">
      <w:start w:val="1"/>
      <w:numFmt w:val="bullet"/>
      <w:lvlText w:val="●"/>
      <w:lvlJc w:val="left"/>
      <w:pPr>
        <w:ind w:left="5040" w:hanging="360"/>
      </w:pPr>
    </w:lvl>
    <w:lvl w:ilvl="7" w:tplc="6E7AD7AA">
      <w:start w:val="1"/>
      <w:numFmt w:val="bullet"/>
      <w:lvlText w:val="●"/>
      <w:lvlJc w:val="left"/>
      <w:pPr>
        <w:ind w:left="5760" w:hanging="360"/>
      </w:pPr>
    </w:lvl>
    <w:lvl w:ilvl="8" w:tplc="1BAAB698">
      <w:start w:val="1"/>
      <w:numFmt w:val="bullet"/>
      <w:lvlText w:val="●"/>
      <w:lvlJc w:val="left"/>
      <w:pPr>
        <w:ind w:left="6480" w:hanging="360"/>
      </w:pPr>
    </w:lvl>
  </w:abstractNum>
  <w:num w:numId="1" w16cid:durableId="693993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3C4"/>
    <w:rsid w:val="003E1F25"/>
    <w:rsid w:val="00D073C4"/>
    <w:rsid w:val="00D455CD"/>
    <w:rsid w:val="00DA0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E8661"/>
  <w15:docId w15:val="{4DFB74E0-C8E8-42B2-BCD6-4C3682ED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1F25"/>
    <w:pPr>
      <w:tabs>
        <w:tab w:val="center" w:pos="4680"/>
        <w:tab w:val="right" w:pos="9360"/>
      </w:tabs>
    </w:pPr>
  </w:style>
  <w:style w:type="character" w:customStyle="1" w:styleId="HeaderChar">
    <w:name w:val="Header Char"/>
    <w:basedOn w:val="DefaultParagraphFont"/>
    <w:link w:val="Header"/>
    <w:uiPriority w:val="99"/>
    <w:rsid w:val="003E1F25"/>
  </w:style>
  <w:style w:type="paragraph" w:styleId="Footer">
    <w:name w:val="footer"/>
    <w:basedOn w:val="Normal"/>
    <w:link w:val="FooterChar"/>
    <w:uiPriority w:val="99"/>
    <w:unhideWhenUsed/>
    <w:rsid w:val="003E1F25"/>
    <w:pPr>
      <w:tabs>
        <w:tab w:val="center" w:pos="4680"/>
        <w:tab w:val="right" w:pos="9360"/>
      </w:tabs>
    </w:pPr>
  </w:style>
  <w:style w:type="character" w:customStyle="1" w:styleId="FooterChar">
    <w:name w:val="Footer Char"/>
    <w:basedOn w:val="DefaultParagraphFont"/>
    <w:link w:val="Footer"/>
    <w:uiPriority w:val="99"/>
    <w:rsid w:val="003E1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806</Words>
  <Characters>4595</Characters>
  <Application>Microsoft Office Word</Application>
  <DocSecurity>0</DocSecurity>
  <Lines>38</Lines>
  <Paragraphs>10</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Silva</cp:lastModifiedBy>
  <cp:revision>2</cp:revision>
  <dcterms:created xsi:type="dcterms:W3CDTF">2026-08-08T23:09:00Z</dcterms:created>
  <dcterms:modified xsi:type="dcterms:W3CDTF">2026-08-09T00:41:00Z</dcterms:modified>
</cp:coreProperties>
</file>