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9F4F" w14:textId="77777777" w:rsidR="00091461" w:rsidRDefault="00000000">
      <w:pPr>
        <w:spacing w:before="240" w:after="240" w:line="480" w:lineRule="auto"/>
        <w:jc w:val="center"/>
      </w:pPr>
      <w:r>
        <w:rPr>
          <w:b/>
          <w:bCs/>
        </w:rPr>
        <w:t>Part 1: The Double-Edged Shield: Harms and Benefits of Privacy</w:t>
      </w:r>
    </w:p>
    <w:p w14:paraId="14D49F50" w14:textId="77777777" w:rsidR="00091461" w:rsidRDefault="00000000">
      <w:pPr>
        <w:spacing w:after="240" w:line="480" w:lineRule="auto"/>
      </w:pPr>
      <w:r>
        <w:t xml:space="preserve">Privacy is one of those concepts that most people feel strongly about until they </w:t>
      </w:r>
      <w:proofErr w:type="gramStart"/>
      <w:r>
        <w:t>actually try</w:t>
      </w:r>
      <w:proofErr w:type="gramEnd"/>
      <w:r>
        <w:t xml:space="preserve"> to define it. At its core, privacy functions as a kind of protective boundary — a zone within which individuals control who sees their personal information, their physical space, and their inner lives. According to the text, privacy is most usefully understood as a social arrangement that allows individuals some level of control over access to their physical selves and their personal information (Quinn, 2020). That definition, while seemingly simple, opens onto a rich and contested landscape of competing goods.</w:t>
      </w:r>
    </w:p>
    <w:p w14:paraId="14D49F51" w14:textId="77777777" w:rsidR="00091461" w:rsidRDefault="00000000">
      <w:pPr>
        <w:spacing w:after="240" w:line="480" w:lineRule="auto"/>
      </w:pPr>
      <w:r>
        <w:t>The case for privacy begins with autonomy. Within a social world dense with competing roles</w:t>
      </w:r>
      <w:proofErr w:type="gramStart"/>
      <w:r>
        <w:t xml:space="preserve"> — parent, employee, neighbor, citizen —</w:t>
      </w:r>
      <w:proofErr w:type="gramEnd"/>
      <w:r>
        <w:t xml:space="preserve"> individuals need spaces where they can simply be themselves, free from the weight of others’ expectations and judgments. Solitude, in this sense, is not antisocial; it is psychologically necessary. Artists create alone. Writers draft their thoughts in private before offering them to the world. Thinkers require the freedom to entertain ideas that, if voiced prematurely, might be ridiculed or punished. Privacy, then, is one of the conditions that makes creative and intellectual life possible (Quinn, 2020).</w:t>
      </w:r>
    </w:p>
    <w:p w14:paraId="14D49F52" w14:textId="77777777" w:rsidR="00091461" w:rsidRDefault="00000000">
      <w:pPr>
        <w:spacing w:after="240" w:line="480" w:lineRule="auto"/>
      </w:pPr>
      <w:r>
        <w:t xml:space="preserve">Privacy also sustains trust, which is the connective tissue of genuine relationships. Consider how differently we share ourselves across different relationships. The things a person confides </w:t>
      </w:r>
      <w:proofErr w:type="gramStart"/>
      <w:r>
        <w:t>to</w:t>
      </w:r>
      <w:proofErr w:type="gramEnd"/>
      <w:r>
        <w:t xml:space="preserve"> a spouse, a therapist, or a close friend are not the same things shared with a coworker or a casual acquaintance. This </w:t>
      </w:r>
      <w:proofErr w:type="gramStart"/>
      <w:r>
        <w:t>tiered</w:t>
      </w:r>
      <w:proofErr w:type="gramEnd"/>
      <w:r>
        <w:t xml:space="preserve">, selective disclosure is not deception — it is the normal social grammar of trust-building. When privacy is violated, that grammar collapses. A person whose medical </w:t>
      </w:r>
      <w:r>
        <w:lastRenderedPageBreak/>
        <w:t>records are accessed without consent by an insurance company, or whose private messages are exposed without permission, experiences not just embarrassment but a fracturing of the trust that makes social connection possible (Quinn, 2020).</w:t>
      </w:r>
    </w:p>
    <w:p w14:paraId="14D49F53" w14:textId="77777777" w:rsidR="00091461" w:rsidRDefault="00000000">
      <w:pPr>
        <w:spacing w:after="240" w:line="480" w:lineRule="auto"/>
      </w:pPr>
      <w:r>
        <w:t>Consider a concrete example drawn from everyday life. Suppose a college student is diagnosed with a manageable anxiety disorder. That student may choose to share that information with a few close friends and a campus counselor, and no one else. That selective disclosure is rational and protective — it allows the student to seek support without risking stigma in a professional or academic context. If a university administrator were to access that record without consent and share it with faculty, the resulting harm would be both personal and material: damaged relationships, eroded trust, and potentially compromised academic opportunities. Privacy, in this scenario, is not a luxury but a shield.</w:t>
      </w:r>
    </w:p>
    <w:p w14:paraId="14D49F54" w14:textId="77777777" w:rsidR="00091461" w:rsidRDefault="00000000">
      <w:pPr>
        <w:spacing w:after="240" w:line="480" w:lineRule="auto"/>
      </w:pPr>
      <w:r>
        <w:t>Yet privacy has a shadow side that cannot be honestly ignored. The same walls that protect the innocent also shelter the guilty. Fraud, abuse, and exploitation flourish precisely because they are hidden. A domestic abuser who maintains a cheerful public persona while terrorizing family members at home depends on privacy to continue. Financial fraudsters build their schemes in the gaps between what is visible and what is concealed. Organized criminal networks rely on the principle that what is private is, by definition, difficult for law enforcement to see (Quinn, 2020).</w:t>
      </w:r>
    </w:p>
    <w:p w14:paraId="14D49F55" w14:textId="77777777" w:rsidR="00091461" w:rsidRDefault="00000000">
      <w:pPr>
        <w:spacing w:after="240" w:line="480" w:lineRule="auto"/>
      </w:pPr>
      <w:r>
        <w:t xml:space="preserve">Nor is the harm of privacy always dramatic. Sometimes privacy simply enables mediocrity to persist unchecked. An organization that shields its internal failures from public scrutiny — a hospital that suppresses adverse event data, a corporation that buries product safety complaints — uses the language of privacy to avoid accountability that would benefit the public. In these </w:t>
      </w:r>
      <w:r>
        <w:lastRenderedPageBreak/>
        <w:t>cases, the individual’s or institution’s interest in remaining unobserved conflicts directly with the broader social interest in transparency.</w:t>
      </w:r>
    </w:p>
    <w:p w14:paraId="14D49F56" w14:textId="77777777" w:rsidR="00091461" w:rsidRDefault="00000000">
      <w:pPr>
        <w:spacing w:after="240" w:line="480" w:lineRule="auto"/>
      </w:pPr>
      <w:r>
        <w:t xml:space="preserve">The thoughtful resolution to this tension is not to abolish privacy but to recognize it as what philosophers call a prudential right. A prudential right is not absolute; it is justified by the benefits it confers on </w:t>
      </w:r>
      <w:proofErr w:type="gramStart"/>
      <w:r>
        <w:t>society as a whole</w:t>
      </w:r>
      <w:proofErr w:type="gramEnd"/>
      <w:r>
        <w:t>. Privacy rights should be protected to the extent that, on balance, they advance human flourishing. That framing preserves privacy as a genuine and important social value while acknowledging that it must occasionally yield to competing goods — public safety, accountability, the protection of vulnerable people — when those goods are sufficiently weighty (Quinn, 2020).</w:t>
      </w:r>
    </w:p>
    <w:p w14:paraId="14D49F57" w14:textId="77777777" w:rsidR="00091461" w:rsidRDefault="00000000">
      <w:pPr>
        <w:spacing w:after="240" w:line="480" w:lineRule="auto"/>
      </w:pPr>
      <w:r>
        <w:t>The challenge, of course, lies in drawing those lines fairly and consistently. Who decides when the public’s interest in knowing outweighs an individual’s interest in concealment? What standards govern that judgment? These are not merely abstract philosophical questions; they are the practical stakes of every debate about surveillance, data collection, medical records, and government transparency. Privacy, in the end, is not a wall. It is a negotiated threshold, and the quality of a society can be measured, in part, by how wisely and equitably it manages that negotiation.</w:t>
      </w:r>
    </w:p>
    <w:p w14:paraId="14D49F58" w14:textId="77777777" w:rsidR="00091461" w:rsidRDefault="00000000">
      <w:pPr>
        <w:spacing w:before="240" w:after="240" w:line="480" w:lineRule="auto"/>
        <w:jc w:val="center"/>
      </w:pPr>
      <w:r>
        <w:rPr>
          <w:b/>
          <w:bCs/>
        </w:rPr>
        <w:t xml:space="preserve">Part 2: Speaking Truth to Power: </w:t>
      </w:r>
      <w:proofErr w:type="gramStart"/>
      <w:r>
        <w:rPr>
          <w:b/>
          <w:bCs/>
        </w:rPr>
        <w:t>Whistle-Blowing</w:t>
      </w:r>
      <w:proofErr w:type="gramEnd"/>
      <w:r>
        <w:rPr>
          <w:b/>
          <w:bCs/>
        </w:rPr>
        <w:t xml:space="preserve"> as a Moral Duty</w:t>
      </w:r>
    </w:p>
    <w:p w14:paraId="14D49F59" w14:textId="77777777" w:rsidR="00091461" w:rsidRDefault="00000000">
      <w:pPr>
        <w:spacing w:after="240" w:line="480" w:lineRule="auto"/>
      </w:pPr>
      <w:r>
        <w:t xml:space="preserve">Few decisions carry higher personal stakes than the decision to blow the whistle on an organization’s harmful or fraudulent behavior. Whistle-blowers, by definition, make unauthorized disclosures about situations they believe to be harmful to the public, often at enormous cost to their own careers, relationships, and freedom. The question of whether </w:t>
      </w:r>
      <w:proofErr w:type="gramStart"/>
      <w:r>
        <w:t>whistle-blowing</w:t>
      </w:r>
      <w:proofErr w:type="gramEnd"/>
      <w:r>
        <w:t xml:space="preserve"> is ever a moral duty — not merely a morally permissible option, but an actual obligation </w:t>
      </w:r>
      <w:r>
        <w:lastRenderedPageBreak/>
        <w:t>— has been examined with particular care by philosophers Richard De George and Carlos G. Bell, Jr.</w:t>
      </w:r>
    </w:p>
    <w:p w14:paraId="14D49F5A" w14:textId="77777777" w:rsidR="00091461" w:rsidRDefault="00000000">
      <w:pPr>
        <w:spacing w:after="240" w:line="480" w:lineRule="auto"/>
      </w:pPr>
      <w:r>
        <w:t xml:space="preserve">Richard De George approaches </w:t>
      </w:r>
      <w:proofErr w:type="gramStart"/>
      <w:r>
        <w:t>whistle-blowing</w:t>
      </w:r>
      <w:proofErr w:type="gramEnd"/>
      <w:r>
        <w:t xml:space="preserve"> as a structured ethical problem requiring systematic analysis. He proposes five questions that a potential whistle-blower should ask before acting. The first three establish whether </w:t>
      </w:r>
      <w:proofErr w:type="gramStart"/>
      <w:r>
        <w:t>whistle-blowing</w:t>
      </w:r>
      <w:proofErr w:type="gramEnd"/>
      <w:r>
        <w:t xml:space="preserve"> is morally permissible. A person may blow the whistle if the potential harm is serious and substantial, if the individual has reported the problem through internal channels without success, and if the individual has documented evidence adequate to support the concern. When these three conditions are met, </w:t>
      </w:r>
      <w:proofErr w:type="gramStart"/>
      <w:r>
        <w:t>whistle-blowing</w:t>
      </w:r>
      <w:proofErr w:type="gramEnd"/>
      <w:r>
        <w:t xml:space="preserve"> is ethically justified (Quinn, 2020).</w:t>
      </w:r>
    </w:p>
    <w:p w14:paraId="14D49F5B" w14:textId="77777777" w:rsidR="00091461" w:rsidRDefault="00000000">
      <w:pPr>
        <w:spacing w:after="240" w:line="480" w:lineRule="auto"/>
      </w:pPr>
      <w:r>
        <w:t xml:space="preserve">De George goes further, however. He argues that </w:t>
      </w:r>
      <w:proofErr w:type="gramStart"/>
      <w:r>
        <w:t>whistle-blowing</w:t>
      </w:r>
      <w:proofErr w:type="gramEnd"/>
      <w:r>
        <w:t xml:space="preserve"> becomes a positive moral duty — an obligation rather than a choice — when two additional conditions are satisfied. The fourth condition requires that the potential whistle-blower </w:t>
      </w:r>
      <w:proofErr w:type="gramStart"/>
      <w:r>
        <w:t>have</w:t>
      </w:r>
      <w:proofErr w:type="gramEnd"/>
      <w:r>
        <w:t xml:space="preserve"> access to compelling, documented evidence of serious wrongdoing. The fifth condition holds that the person must have good reason to believe that coming forward will </w:t>
      </w:r>
      <w:proofErr w:type="gramStart"/>
      <w:r>
        <w:t>actually prevent</w:t>
      </w:r>
      <w:proofErr w:type="gramEnd"/>
      <w:r>
        <w:t xml:space="preserve"> the harm in question. Only when all five conditions are met does De George conclude that the individual not merely may but must act (Quinn, 2020).</w:t>
      </w:r>
    </w:p>
    <w:p w14:paraId="14D49F5C" w14:textId="77777777" w:rsidR="00091461" w:rsidRDefault="00000000">
      <w:pPr>
        <w:spacing w:after="240" w:line="480" w:lineRule="auto"/>
      </w:pPr>
      <w:r>
        <w:t xml:space="preserve">This framework is both practical and morally serious. It guards against impulsive or vindictive disclosures — situations where someone might claim the mantle of whistle-blower while </w:t>
      </w:r>
      <w:proofErr w:type="gramStart"/>
      <w:r>
        <w:t>actually pursuing</w:t>
      </w:r>
      <w:proofErr w:type="gramEnd"/>
      <w:r>
        <w:t xml:space="preserve"> a personal grievance. At the same time, it does not allow individuals to retreat into comfortable silence when they possess knowledge of genuine harm. The engineer who knows that a product is defective and likely to injure people, and who has tried and failed to fix the </w:t>
      </w:r>
      <w:r>
        <w:lastRenderedPageBreak/>
        <w:t>problem internally, and who has the documentation to prove it: that person, under De George’s framework, carries an obligation to act.</w:t>
      </w:r>
    </w:p>
    <w:p w14:paraId="14D49F5D" w14:textId="77777777" w:rsidR="00091461" w:rsidRDefault="00000000">
      <w:pPr>
        <w:spacing w:after="240" w:line="480" w:lineRule="auto"/>
      </w:pPr>
      <w:r>
        <w:t xml:space="preserve">The Challenger space shuttle disaster illustrates De George’s framework with painful clarity. Roger Boisjoly, an engineer at Morton Thiokol, was responsible for testing the O-ring seals used in the </w:t>
      </w:r>
      <w:proofErr w:type="gramStart"/>
      <w:r>
        <w:t>shuttle’s</w:t>
      </w:r>
      <w:proofErr w:type="gramEnd"/>
      <w:r>
        <w:t xml:space="preserve"> booster rockets. In the days before the January 1986 launch, unusually cold temperatures gripped the launch site. Boisjoly and his colleagues had data showing that the O-rings became dangerously less reliable in cold weather. He raised the concern through internal channels. He was overruled by management, who proceeded with the launch under pressure from NASA. The Challenger </w:t>
      </w:r>
      <w:proofErr w:type="gramStart"/>
      <w:r>
        <w:t>broke apart</w:t>
      </w:r>
      <w:proofErr w:type="gramEnd"/>
      <w:r>
        <w:t xml:space="preserve"> shortly after launch. Boisjoly subsequently provided full testimony before a presidential commission, documenting who had known what, and when. For this, he was ostracized by his coworkers at Morton Thiokol and eventually left the company (Quinn, 2020).</w:t>
      </w:r>
    </w:p>
    <w:p w14:paraId="14D49F5E" w14:textId="77777777" w:rsidR="00091461" w:rsidRDefault="00000000">
      <w:pPr>
        <w:spacing w:after="240" w:line="480" w:lineRule="auto"/>
      </w:pPr>
      <w:r>
        <w:t>Boisjoly had satisfied all five of De George’s conditions. The harm was catastrophic. He had reported through internal channels. He had documentation. His evidence was solid. And there was reasonable cause to believe that disclosure — even after the fact, in his congressional testimony — could prevent future disasters of the same kind. His case is a sobering reminder that the moral duty to speak is real, and that fulfilling it carries consequences.</w:t>
      </w:r>
    </w:p>
    <w:p w14:paraId="14D49F5F" w14:textId="77777777" w:rsidR="00091461" w:rsidRDefault="00000000">
      <w:pPr>
        <w:spacing w:after="240" w:line="480" w:lineRule="auto"/>
      </w:pPr>
      <w:r>
        <w:t xml:space="preserve">Carlos G. Bell, Jr. approaches the question from a somewhat different angle, emphasizing the organizational and social structures that make </w:t>
      </w:r>
      <w:proofErr w:type="gramStart"/>
      <w:r>
        <w:t>whistle-blowing</w:t>
      </w:r>
      <w:proofErr w:type="gramEnd"/>
      <w:r>
        <w:t xml:space="preserve"> so difficult in practice. Bell observes that organizations develop powerful internal cultures of loyalty and silence, sustained by both formal and informal incentives. Employees who challenge the organization risk being labeled disloyal, troublesome, or paranoid. The social and professional costs of dissent are real </w:t>
      </w:r>
      <w:r>
        <w:lastRenderedPageBreak/>
        <w:t>and immediate, while the benefits — a safer product, a better-informed public — are diffuse and delayed. This asymmetry, Bell argues, systematically discourages morally courageous behavior (Quinn, 2020).</w:t>
      </w:r>
    </w:p>
    <w:p w14:paraId="14D49F60" w14:textId="77777777" w:rsidR="00091461" w:rsidRDefault="00000000">
      <w:pPr>
        <w:spacing w:after="240" w:line="480" w:lineRule="auto"/>
      </w:pPr>
      <w:r>
        <w:t xml:space="preserve">Bell’s analysis suggests that </w:t>
      </w:r>
      <w:proofErr w:type="gramStart"/>
      <w:r>
        <w:t>the moral</w:t>
      </w:r>
      <w:proofErr w:type="gramEnd"/>
      <w:r>
        <w:t xml:space="preserve"> failure in most whistle-blowing situations is not located solely in the individual who stays silent. It is embedded in the organizational structure that makes silence the rational choice. From this perspective, the moral imperative runs not only to potential whistle-blowers but to organizations themselves, which have an obligation to create cultures and channels that make honest reporting genuinely safe and genuinely effective (Quinn, 2020).</w:t>
      </w:r>
    </w:p>
    <w:p w14:paraId="14D49F61" w14:textId="77777777" w:rsidR="00091461" w:rsidRDefault="00000000">
      <w:pPr>
        <w:spacing w:after="240" w:line="480" w:lineRule="auto"/>
      </w:pPr>
      <w:r>
        <w:t>Taken together, De George and Bell offer a complete picture of the whistle-blowing problem. De George establishes the conditions under which an individual has a moral duty to act despite personal cost. Bell explains why those conditions so rarely translate into action, and where the structural responsibility lies. Both perspectives point toward the same conclusion: that a society serious about preventing harm must take seriously both the moral imperative of disclosure and the systemic barriers that stand in its way.</w:t>
      </w:r>
    </w:p>
    <w:p w14:paraId="14D49F62" w14:textId="77777777" w:rsidR="00091461" w:rsidRDefault="00000000">
      <w:pPr>
        <w:spacing w:before="240" w:after="240" w:line="480" w:lineRule="auto"/>
        <w:jc w:val="center"/>
      </w:pPr>
      <w:r>
        <w:rPr>
          <w:b/>
          <w:bCs/>
        </w:rPr>
        <w:t>Part 3: The Game is Rigged: Robert Frank and Philip Cook on the Winner-Take-All Society</w:t>
      </w:r>
    </w:p>
    <w:p w14:paraId="14D49F63" w14:textId="77777777" w:rsidR="00091461" w:rsidRDefault="00000000">
      <w:pPr>
        <w:spacing w:after="240" w:line="480" w:lineRule="auto"/>
      </w:pPr>
      <w:r>
        <w:t xml:space="preserve">In a winner-take-all market, the difference between first place and second place is enormous — and the difference between second place and third may be negligible. The top earner captures a wildly disproportionate share of the rewards, while everyone else receives far less than their relative contribution would seem to warrant. Economists Robert Frank and Philip Cook identified this pattern as the defining feature of the winner-take-all society, and they argued that </w:t>
      </w:r>
      <w:r>
        <w:lastRenderedPageBreak/>
        <w:t>its spread across the American economy produces harms that are both profound and underappreciated (Quinn, 2020).</w:t>
      </w:r>
    </w:p>
    <w:p w14:paraId="14D49F64" w14:textId="77777777" w:rsidR="00091461" w:rsidRDefault="00000000">
      <w:pPr>
        <w:spacing w:after="240" w:line="480" w:lineRule="auto"/>
      </w:pPr>
      <w:r>
        <w:t>The mechanism Frank and Cook identify is not difficult to grasp. In markets where the best performer can serve an essentially unlimited number of clients or customers — because their work is delivered digitally, or because their reputation commands premium prices on a global scale — the returns to being the best are vastly magnified. A software application used by 50 million people generates revenue that no single-location business could approach. A streaming musician whose songs reach every corner of the globe can earn far more than a local performer of comparable talent who cannot scale their output. Technology does not just change how work is done; it changes who captures the value that work creates.</w:t>
      </w:r>
    </w:p>
    <w:p w14:paraId="14D49F65" w14:textId="77777777" w:rsidR="00091461" w:rsidRDefault="00000000">
      <w:pPr>
        <w:spacing w:after="240" w:line="480" w:lineRule="auto"/>
      </w:pPr>
      <w:r>
        <w:t xml:space="preserve">Frank and Cook argue that this dynamic produces a cascade of harmful effects. The first and most direct harm is inequality. As winner-take-all markets expand across </w:t>
      </w:r>
      <w:proofErr w:type="gramStart"/>
      <w:r>
        <w:t>more and more</w:t>
      </w:r>
      <w:proofErr w:type="gramEnd"/>
      <w:r>
        <w:t xml:space="preserve"> sectors of the economy — finance, technology, entertainment, professional services — the share of total income flowing to the top tier grows, while wages for everyone else stagnate or decline. This is not simply a matter of the rich getting richer in isolation; it is a structural shift in who gets what, driven by market forces that reward scale and penalize those who cannot achieve it (Quinn, 2020).</w:t>
      </w:r>
    </w:p>
    <w:p w14:paraId="14D49F66" w14:textId="77777777" w:rsidR="00091461" w:rsidRDefault="00000000">
      <w:pPr>
        <w:spacing w:after="240" w:line="480" w:lineRule="auto"/>
      </w:pPr>
      <w:r>
        <w:t xml:space="preserve">The second harm is what Frank and Cook call the positional arms race. When one competitor upgrades their capabilities, their rivals must respond in kind simply to maintain their relative standing. Consider the academic job market. As the number of candidates with advanced degrees grows, employers raise their expectations. A qualification that once distinguished a candidate now merely keeps them in the running. Every individual’s investment in upgrading their </w:t>
      </w:r>
      <w:r>
        <w:lastRenderedPageBreak/>
        <w:t>credentials imposes costs on everyone else, forcing them to upgrade as well. The result is a collective expenditure of enormous resources — time, money, effort — that leaves everyone’s relative position largely unchanged while raising the baseline cost of entry. The winner-take-all dynamic transforms markets from cooperative systems into zero-sum competitions.</w:t>
      </w:r>
    </w:p>
    <w:p w14:paraId="14D49F67" w14:textId="77777777" w:rsidR="00091461" w:rsidRDefault="00000000">
      <w:pPr>
        <w:spacing w:after="240" w:line="480" w:lineRule="auto"/>
      </w:pPr>
      <w:r>
        <w:t>A vivid everyday example illustrates the point. When a single coffee shop in a neighborhood begins staying open until midnight, its competitors feel pressure to match those hours. None of them gains meaningful ground on the others, but all of them now bear the additional cost of late-night staffing. The competitive pressure to match the leader’s move is real and immediate; the collective irrationality of the outcome is visible only from a distance. This is precisely the kind of dynamic that Frank and Cook identify as structurally embedded in winner-take-all markets.</w:t>
      </w:r>
    </w:p>
    <w:p w14:paraId="14D49F68" w14:textId="77777777" w:rsidR="00091461" w:rsidRDefault="00000000">
      <w:pPr>
        <w:spacing w:after="240" w:line="480" w:lineRule="auto"/>
      </w:pPr>
      <w:r>
        <w:t xml:space="preserve">The third harm is </w:t>
      </w:r>
      <w:proofErr w:type="gramStart"/>
      <w:r>
        <w:t>cultural</w:t>
      </w:r>
      <w:proofErr w:type="gramEnd"/>
      <w:r>
        <w:t>. Frank and Cook note that winner-take-all norms, once established in markets, tend to spread into the broader culture. Reality television celebrates the logic of elimination and singular triumph. Professional sports generate extraordinary wealth for elite performers while treating near-elite performers as disposable. Video games simulate competitive hierarchies in which only the highest scorer claims real status. These cultural forms do not merely reflect economic inequality; they actively reinforce it, normalizing the idea that extreme disparities in outcome are natural, deserved, and inevitable (Quinn, 2020).</w:t>
      </w:r>
    </w:p>
    <w:p w14:paraId="14D49F69" w14:textId="77777777" w:rsidR="00091461" w:rsidRDefault="00000000">
      <w:pPr>
        <w:spacing w:after="240" w:line="480" w:lineRule="auto"/>
      </w:pPr>
      <w:r>
        <w:t xml:space="preserve">The digital divide compounds the winner-take-all problem at the global level. Less developed nations and regions, lacking adequate technological infrastructure, are systematically excluded from the economic gains that digital markets generate. The same forces that concentrate rewards among elite performers within developed economies also concentrate them among developed economies themselves, leaving sub-Saharan Africa, rural South Asia, and other underserved </w:t>
      </w:r>
      <w:r>
        <w:lastRenderedPageBreak/>
        <w:t>regions even further behind. The ethical implication is direct: those who benefit from the winner-take-all economy bear a corresponding responsibility to invest in the technological infrastructure of those who are excluded from it (Quinn, 2020).</w:t>
      </w:r>
    </w:p>
    <w:p w14:paraId="14D49F6A" w14:textId="77777777" w:rsidR="00091461" w:rsidRDefault="00000000">
      <w:pPr>
        <w:spacing w:after="240" w:line="480" w:lineRule="auto"/>
      </w:pPr>
      <w:r>
        <w:t>Frank and Cook stop short of arguing that winner-take-all markets are simply evil or that their effects cannot be mitigated. They do argue, however, that the conventional assumption — that competitive markets reliably produce fair and efficient outcomes — breaks down precisely where winner-take-all dynamics are strongest. Markets that reward the top performer with one hundred times the return of the second-best performer are not functioning as mechanisms for distributing rewards fairly in proportion to contribution. They are functioning as amplifiers of marginal advantage, turning small differences in performance or positioning into enormous differences in outcome.</w:t>
      </w:r>
    </w:p>
    <w:p w14:paraId="14D49F6B" w14:textId="77777777" w:rsidR="00091461" w:rsidRDefault="00000000">
      <w:pPr>
        <w:spacing w:after="240" w:line="480" w:lineRule="auto"/>
      </w:pPr>
      <w:r>
        <w:t>The implication for public policy is that winner-take-all markets require active, thoughtful intervention — not to eliminate competition, but to ensure that the rules of the game do not systematically rig the outcome in favor of those who are already winning. Progressive taxation, investment in public education and infrastructure, robust antitrust enforcement, and policies designed to reduce barriers to entry are among the tools that Frank and Cook implicitly endorse. The goal is not equality of outcome but a fairer structure of opportunity — one in which the game, while still competitive, is not predetermined.</w:t>
      </w:r>
    </w:p>
    <w:p w14:paraId="14D49F6C" w14:textId="77777777" w:rsidR="00091461" w:rsidRDefault="00091461">
      <w:pPr>
        <w:spacing w:line="480" w:lineRule="auto"/>
      </w:pPr>
    </w:p>
    <w:p w14:paraId="14D49F6D" w14:textId="77777777" w:rsidR="00091461" w:rsidRDefault="00000000">
      <w:pPr>
        <w:spacing w:after="240" w:line="480" w:lineRule="auto"/>
      </w:pPr>
      <w:r>
        <w:rPr>
          <w:b/>
          <w:bCs/>
        </w:rPr>
        <w:t>References</w:t>
      </w:r>
    </w:p>
    <w:p w14:paraId="14D49F6E" w14:textId="77777777" w:rsidR="00091461" w:rsidRDefault="00000000">
      <w:pPr>
        <w:spacing w:after="240" w:line="480" w:lineRule="auto"/>
        <w:ind w:left="720" w:hanging="720"/>
      </w:pPr>
      <w:r>
        <w:t>Quinn, M. J. (2020). Ethics for the information age (8th ed.). Pearson.</w:t>
      </w:r>
    </w:p>
    <w:sectPr w:rsidR="00091461" w:rsidSect="00B578AF">
      <w:headerReference w:type="first" r:id="rId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9145" w14:textId="77777777" w:rsidR="00C11764" w:rsidRDefault="00C11764">
      <w:r>
        <w:separator/>
      </w:r>
    </w:p>
  </w:endnote>
  <w:endnote w:type="continuationSeparator" w:id="0">
    <w:p w14:paraId="1171FA0B" w14:textId="77777777" w:rsidR="00C11764" w:rsidRDefault="00C11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00E7" w14:textId="77777777" w:rsidR="00C11764" w:rsidRDefault="00C11764">
      <w:r>
        <w:separator/>
      </w:r>
    </w:p>
  </w:footnote>
  <w:footnote w:type="continuationSeparator" w:id="0">
    <w:p w14:paraId="5CCCE06B" w14:textId="77777777" w:rsidR="00C11764" w:rsidRDefault="00C11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4ED7" w14:textId="77777777" w:rsidR="00B578AF" w:rsidRDefault="00B578AF" w:rsidP="00B578AF">
    <w:r>
      <w:t>Javier Silva</w:t>
    </w:r>
    <w:r>
      <w:br/>
      <w:t>M171117C9I</w:t>
    </w:r>
    <w:r>
      <w:br/>
      <w:t>PY360: Ethics in Technology</w:t>
    </w:r>
    <w:r>
      <w:br/>
      <w:t>Assignment 08 — Privacy, Duty, and the Winner-Take-All World</w:t>
    </w:r>
    <w:r>
      <w:br/>
      <w:t>Date of Submission: June 6, 2026</w:t>
    </w:r>
  </w:p>
  <w:p w14:paraId="5448BCC4" w14:textId="77777777" w:rsidR="00B578AF" w:rsidRDefault="00B57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F10F2"/>
    <w:multiLevelType w:val="hybridMultilevel"/>
    <w:tmpl w:val="4490D31C"/>
    <w:lvl w:ilvl="0" w:tplc="8DA80F8E">
      <w:start w:val="1"/>
      <w:numFmt w:val="bullet"/>
      <w:lvlText w:val="●"/>
      <w:lvlJc w:val="left"/>
      <w:pPr>
        <w:ind w:left="720" w:hanging="360"/>
      </w:pPr>
    </w:lvl>
    <w:lvl w:ilvl="1" w:tplc="145ED98A">
      <w:start w:val="1"/>
      <w:numFmt w:val="bullet"/>
      <w:lvlText w:val="○"/>
      <w:lvlJc w:val="left"/>
      <w:pPr>
        <w:ind w:left="1440" w:hanging="360"/>
      </w:pPr>
    </w:lvl>
    <w:lvl w:ilvl="2" w:tplc="038A0526">
      <w:start w:val="1"/>
      <w:numFmt w:val="bullet"/>
      <w:lvlText w:val="■"/>
      <w:lvlJc w:val="left"/>
      <w:pPr>
        <w:ind w:left="2160" w:hanging="360"/>
      </w:pPr>
    </w:lvl>
    <w:lvl w:ilvl="3" w:tplc="F8101FA0">
      <w:start w:val="1"/>
      <w:numFmt w:val="bullet"/>
      <w:lvlText w:val="●"/>
      <w:lvlJc w:val="left"/>
      <w:pPr>
        <w:ind w:left="2880" w:hanging="360"/>
      </w:pPr>
    </w:lvl>
    <w:lvl w:ilvl="4" w:tplc="96665AC0">
      <w:start w:val="1"/>
      <w:numFmt w:val="bullet"/>
      <w:lvlText w:val="○"/>
      <w:lvlJc w:val="left"/>
      <w:pPr>
        <w:ind w:left="3600" w:hanging="360"/>
      </w:pPr>
    </w:lvl>
    <w:lvl w:ilvl="5" w:tplc="DA127FD6">
      <w:start w:val="1"/>
      <w:numFmt w:val="bullet"/>
      <w:lvlText w:val="■"/>
      <w:lvlJc w:val="left"/>
      <w:pPr>
        <w:ind w:left="4320" w:hanging="360"/>
      </w:pPr>
    </w:lvl>
    <w:lvl w:ilvl="6" w:tplc="DA4C24F4">
      <w:start w:val="1"/>
      <w:numFmt w:val="bullet"/>
      <w:lvlText w:val="●"/>
      <w:lvlJc w:val="left"/>
      <w:pPr>
        <w:ind w:left="5040" w:hanging="360"/>
      </w:pPr>
    </w:lvl>
    <w:lvl w:ilvl="7" w:tplc="0568AED8">
      <w:start w:val="1"/>
      <w:numFmt w:val="bullet"/>
      <w:lvlText w:val="●"/>
      <w:lvlJc w:val="left"/>
      <w:pPr>
        <w:ind w:left="5760" w:hanging="360"/>
      </w:pPr>
    </w:lvl>
    <w:lvl w:ilvl="8" w:tplc="1AFEFAC4">
      <w:start w:val="1"/>
      <w:numFmt w:val="bullet"/>
      <w:lvlText w:val="●"/>
      <w:lvlJc w:val="left"/>
      <w:pPr>
        <w:ind w:left="6480" w:hanging="360"/>
      </w:pPr>
    </w:lvl>
  </w:abstractNum>
  <w:num w:numId="1" w16cid:durableId="1161194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61"/>
    <w:rsid w:val="00091461"/>
    <w:rsid w:val="00B578AF"/>
    <w:rsid w:val="00BD65E4"/>
    <w:rsid w:val="00C1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9F4F"/>
  <w15:docId w15:val="{E2A2B913-4C38-4B94-8547-A9B999AA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78AF"/>
    <w:pPr>
      <w:tabs>
        <w:tab w:val="center" w:pos="4680"/>
        <w:tab w:val="right" w:pos="9360"/>
      </w:tabs>
    </w:pPr>
  </w:style>
  <w:style w:type="character" w:customStyle="1" w:styleId="HeaderChar">
    <w:name w:val="Header Char"/>
    <w:basedOn w:val="DefaultParagraphFont"/>
    <w:link w:val="Header"/>
    <w:uiPriority w:val="99"/>
    <w:rsid w:val="00B578AF"/>
  </w:style>
  <w:style w:type="paragraph" w:styleId="Footer">
    <w:name w:val="footer"/>
    <w:basedOn w:val="Normal"/>
    <w:link w:val="FooterChar"/>
    <w:uiPriority w:val="99"/>
    <w:unhideWhenUsed/>
    <w:rsid w:val="00B578AF"/>
    <w:pPr>
      <w:tabs>
        <w:tab w:val="center" w:pos="4680"/>
        <w:tab w:val="right" w:pos="9360"/>
      </w:tabs>
    </w:pPr>
  </w:style>
  <w:style w:type="character" w:customStyle="1" w:styleId="FooterChar">
    <w:name w:val="Footer Char"/>
    <w:basedOn w:val="DefaultParagraphFont"/>
    <w:link w:val="Footer"/>
    <w:uiPriority w:val="99"/>
    <w:rsid w:val="00B57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2465</Words>
  <Characters>14054</Characters>
  <Application>Microsoft Office Word</Application>
  <DocSecurity>0</DocSecurity>
  <Lines>117</Lines>
  <Paragraphs>32</Paragraphs>
  <ScaleCrop>false</ScaleCrop>
  <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Silva</cp:lastModifiedBy>
  <cp:revision>2</cp:revision>
  <dcterms:created xsi:type="dcterms:W3CDTF">2026-06-06T21:44:00Z</dcterms:created>
  <dcterms:modified xsi:type="dcterms:W3CDTF">2026-06-06T21:47:00Z</dcterms:modified>
</cp:coreProperties>
</file>