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55F9" w14:textId="794C1E4A" w:rsidR="00A417C1" w:rsidRPr="000537AC" w:rsidRDefault="00E17EE9" w:rsidP="00B863FB">
      <w:pPr>
        <w:pStyle w:val="SectionTitle"/>
        <w:rPr>
          <w:rFonts w:ascii="Times New Roman" w:hAnsi="Times New Roman" w:cs="Times New Roman"/>
          <w:sz w:val="24"/>
        </w:rPr>
      </w:pPr>
      <w:r w:rsidRPr="000537AC">
        <w:rPr>
          <w:rFonts w:ascii="Times New Roman" w:hAnsi="Times New Roman" w:cs="Times New Roman"/>
          <w:sz w:val="24"/>
        </w:rPr>
        <w:t>Part A — Europe’s Four Physiographic Regions</w:t>
      </w:r>
    </w:p>
    <w:p w14:paraId="2F226917" w14:textId="3C5C3FBA" w:rsidR="00F57801" w:rsidRPr="000537AC" w:rsidRDefault="00F57801" w:rsidP="00F57801">
      <w:pPr>
        <w:ind w:firstLine="0"/>
        <w:rPr>
          <w:rFonts w:ascii="Times New Roman" w:hAnsi="Times New Roman" w:cs="Times New Roman"/>
          <w:i/>
          <w:iCs/>
          <w:sz w:val="24"/>
        </w:rPr>
      </w:pPr>
      <w:r w:rsidRPr="000537AC">
        <w:rPr>
          <w:rFonts w:ascii="Times New Roman" w:hAnsi="Times New Roman" w:cs="Times New Roman"/>
          <w:i/>
          <w:iCs/>
          <w:sz w:val="24"/>
        </w:rPr>
        <w:t>Northwestern Uplands</w:t>
      </w:r>
    </w:p>
    <w:p w14:paraId="56266428" w14:textId="10410144" w:rsidR="00F57801" w:rsidRPr="000537AC" w:rsidRDefault="00EB3FF7" w:rsidP="00F57801">
      <w:pPr>
        <w:rPr>
          <w:rFonts w:ascii="Times New Roman" w:hAnsi="Times New Roman" w:cs="Times New Roman"/>
          <w:sz w:val="24"/>
        </w:rPr>
      </w:pPr>
      <w:r w:rsidRPr="00EB3FF7">
        <w:rPr>
          <w:rFonts w:ascii="Times New Roman" w:hAnsi="Times New Roman" w:cs="Times New Roman"/>
          <w:sz w:val="24"/>
        </w:rPr>
        <w:t>The Northwestern Uplands (Scotland, Norway, Ireland, parts of western Europe) are ancient, glaciated highlands with fjords, moraines, and thin soils. These areas favor forestry, pastoralism, and fishing rather than dense agriculture, and their rugged coastlines shaped dispersed settlement patterns and maritime economies.</w:t>
      </w:r>
    </w:p>
    <w:p w14:paraId="56075E28" w14:textId="77777777" w:rsidR="00F57801" w:rsidRPr="000537AC" w:rsidRDefault="00F57801" w:rsidP="00F57801">
      <w:pPr>
        <w:ind w:firstLine="0"/>
        <w:jc w:val="both"/>
        <w:rPr>
          <w:rFonts w:ascii="Times New Roman" w:hAnsi="Times New Roman" w:cs="Times New Roman"/>
          <w:i/>
          <w:iCs/>
          <w:sz w:val="24"/>
        </w:rPr>
      </w:pPr>
      <w:r w:rsidRPr="000537AC">
        <w:rPr>
          <w:rFonts w:ascii="Times New Roman" w:hAnsi="Times New Roman" w:cs="Times New Roman"/>
          <w:i/>
          <w:iCs/>
          <w:sz w:val="24"/>
        </w:rPr>
        <w:t>Alpine System</w:t>
      </w:r>
    </w:p>
    <w:p w14:paraId="73B3FE4B" w14:textId="1A1519AD" w:rsidR="00F57801" w:rsidRPr="000537AC" w:rsidRDefault="00EB3FF7" w:rsidP="00F57801">
      <w:pPr>
        <w:rPr>
          <w:rFonts w:ascii="Times New Roman" w:hAnsi="Times New Roman" w:cs="Times New Roman"/>
          <w:sz w:val="24"/>
        </w:rPr>
      </w:pPr>
      <w:r w:rsidRPr="00EB3FF7">
        <w:rPr>
          <w:rFonts w:ascii="Times New Roman" w:hAnsi="Times New Roman" w:cs="Times New Roman"/>
          <w:sz w:val="24"/>
        </w:rPr>
        <w:t>The Alpine System (Pyrenees, Alps, Carpathians, Balkans) is a younger, tectonically uplifted mountain zone. It produces steep relief, alpine climates, and snowmelt-fed rivers that support irrigation and hydroelectric power. The Alps also foster tourism and specialized mountain agriculture in valley floors and terraces.</w:t>
      </w:r>
    </w:p>
    <w:p w14:paraId="468DFEA6" w14:textId="77777777" w:rsidR="00F57801" w:rsidRPr="000537AC" w:rsidRDefault="00F57801" w:rsidP="00F57801">
      <w:pPr>
        <w:ind w:firstLine="0"/>
        <w:rPr>
          <w:rFonts w:ascii="Times New Roman" w:hAnsi="Times New Roman" w:cs="Times New Roman"/>
          <w:i/>
          <w:iCs/>
          <w:sz w:val="24"/>
        </w:rPr>
      </w:pPr>
      <w:r w:rsidRPr="000537AC">
        <w:rPr>
          <w:rFonts w:ascii="Times New Roman" w:hAnsi="Times New Roman" w:cs="Times New Roman"/>
          <w:i/>
          <w:iCs/>
          <w:sz w:val="24"/>
        </w:rPr>
        <w:t>Central Plateaus (Massifs and Uplands)</w:t>
      </w:r>
    </w:p>
    <w:p w14:paraId="506EFB1F" w14:textId="67BBB872" w:rsidR="00F57801" w:rsidRPr="000537AC" w:rsidRDefault="00EB3FF7" w:rsidP="00F57801">
      <w:pPr>
        <w:rPr>
          <w:rFonts w:ascii="Times New Roman" w:hAnsi="Times New Roman" w:cs="Times New Roman"/>
          <w:sz w:val="24"/>
        </w:rPr>
      </w:pPr>
      <w:r w:rsidRPr="00EB3FF7">
        <w:rPr>
          <w:rFonts w:ascii="Times New Roman" w:hAnsi="Times New Roman" w:cs="Times New Roman"/>
          <w:sz w:val="24"/>
        </w:rPr>
        <w:t xml:space="preserve">Central Plateaus are upland blocks and massifs between the Alps and the northern rocks. They include coal-bearing and forested areas that historically </w:t>
      </w:r>
      <w:proofErr w:type="gramStart"/>
      <w:r w:rsidRPr="00EB3FF7">
        <w:rPr>
          <w:rFonts w:ascii="Times New Roman" w:hAnsi="Times New Roman" w:cs="Times New Roman"/>
          <w:sz w:val="24"/>
        </w:rPr>
        <w:t>supported</w:t>
      </w:r>
      <w:proofErr w:type="gramEnd"/>
      <w:r w:rsidRPr="00EB3FF7">
        <w:rPr>
          <w:rFonts w:ascii="Times New Roman" w:hAnsi="Times New Roman" w:cs="Times New Roman"/>
          <w:sz w:val="24"/>
        </w:rPr>
        <w:t xml:space="preserve"> mining and early industrial centers. Soils are mixed; land use combines forestry, grazing, and localized farming</w:t>
      </w:r>
      <w:r w:rsidR="00F57801" w:rsidRPr="000537AC">
        <w:rPr>
          <w:rFonts w:ascii="Times New Roman" w:hAnsi="Times New Roman" w:cs="Times New Roman"/>
          <w:sz w:val="24"/>
        </w:rPr>
        <w:t>.</w:t>
      </w:r>
    </w:p>
    <w:p w14:paraId="6844443F" w14:textId="77777777" w:rsidR="00F57801" w:rsidRPr="000537AC" w:rsidRDefault="00F57801" w:rsidP="00F57801">
      <w:pPr>
        <w:ind w:firstLine="0"/>
        <w:rPr>
          <w:rFonts w:ascii="Times New Roman" w:hAnsi="Times New Roman" w:cs="Times New Roman"/>
          <w:i/>
          <w:iCs/>
          <w:sz w:val="24"/>
        </w:rPr>
      </w:pPr>
      <w:r w:rsidRPr="000537AC">
        <w:rPr>
          <w:rFonts w:ascii="Times New Roman" w:hAnsi="Times New Roman" w:cs="Times New Roman"/>
          <w:i/>
          <w:iCs/>
          <w:sz w:val="24"/>
        </w:rPr>
        <w:t>North European Lowlands</w:t>
      </w:r>
    </w:p>
    <w:p w14:paraId="25C58FA1" w14:textId="3F5DF45E" w:rsidR="00A417C1" w:rsidRPr="000537AC" w:rsidRDefault="00EB3FF7" w:rsidP="00F57801">
      <w:pPr>
        <w:rPr>
          <w:rFonts w:ascii="Times New Roman" w:hAnsi="Times New Roman" w:cs="Times New Roman"/>
          <w:sz w:val="24"/>
        </w:rPr>
      </w:pPr>
      <w:r w:rsidRPr="00EB3FF7">
        <w:rPr>
          <w:rFonts w:ascii="Times New Roman" w:hAnsi="Times New Roman" w:cs="Times New Roman"/>
          <w:sz w:val="24"/>
        </w:rPr>
        <w:t xml:space="preserve">The North European Lowlands are a broad, fertile plain with loess </w:t>
      </w:r>
      <w:proofErr w:type="gramStart"/>
      <w:r w:rsidRPr="00EB3FF7">
        <w:rPr>
          <w:rFonts w:ascii="Times New Roman" w:hAnsi="Times New Roman" w:cs="Times New Roman"/>
          <w:sz w:val="24"/>
        </w:rPr>
        <w:t>soils</w:t>
      </w:r>
      <w:proofErr w:type="gramEnd"/>
      <w:r w:rsidRPr="00EB3FF7">
        <w:rPr>
          <w:rFonts w:ascii="Times New Roman" w:hAnsi="Times New Roman" w:cs="Times New Roman"/>
          <w:sz w:val="24"/>
        </w:rPr>
        <w:t xml:space="preserve"> and major rivers (Rhine, Elbe, Vistula). Their flat terrain and navigable waterways enabled dense settlement, large-scale grain and mixed farming, and the rise of industrial cities—making the lowlands Europe’s demographic and economic core</w:t>
      </w:r>
      <w:r w:rsidR="00F57801" w:rsidRPr="000537AC">
        <w:rPr>
          <w:rFonts w:ascii="Times New Roman" w:hAnsi="Times New Roman" w:cs="Times New Roman"/>
          <w:sz w:val="24"/>
        </w:rPr>
        <w:t>.</w:t>
      </w:r>
    </w:p>
    <w:p w14:paraId="2723E05E" w14:textId="362C8029" w:rsidR="00A417C1" w:rsidRPr="000537AC" w:rsidRDefault="00EC61DC" w:rsidP="014CA2B6">
      <w:pPr>
        <w:pStyle w:val="Heading1"/>
        <w:rPr>
          <w:rFonts w:ascii="Times New Roman" w:eastAsia="Calibri" w:hAnsi="Times New Roman" w:cs="Times New Roman"/>
          <w:sz w:val="24"/>
        </w:rPr>
      </w:pPr>
      <w:r w:rsidRPr="000537AC">
        <w:rPr>
          <w:rFonts w:ascii="Times New Roman" w:hAnsi="Times New Roman" w:cs="Times New Roman"/>
          <w:sz w:val="24"/>
        </w:rPr>
        <w:lastRenderedPageBreak/>
        <w:t>Part B — Key Events in Russian History, 15th Century to 1904</w:t>
      </w:r>
    </w:p>
    <w:p w14:paraId="39402131" w14:textId="77777777" w:rsidR="00A80767" w:rsidRPr="000537AC" w:rsidRDefault="00EC61DC" w:rsidP="00A80767">
      <w:pPr>
        <w:ind w:firstLine="0"/>
        <w:rPr>
          <w:rFonts w:ascii="Times New Roman" w:hAnsi="Times New Roman" w:cs="Times New Roman"/>
          <w:i/>
          <w:iCs/>
          <w:sz w:val="24"/>
        </w:rPr>
      </w:pPr>
      <w:r w:rsidRPr="000537AC">
        <w:rPr>
          <w:rFonts w:ascii="Times New Roman" w:hAnsi="Times New Roman" w:cs="Times New Roman"/>
          <w:i/>
          <w:iCs/>
          <w:sz w:val="24"/>
        </w:rPr>
        <w:t>Consolidation of Muscovy (15th–16th centuries)</w:t>
      </w:r>
    </w:p>
    <w:p w14:paraId="69CB5C94" w14:textId="77777777" w:rsidR="00A80767" w:rsidRPr="000537AC" w:rsidRDefault="00EC61DC" w:rsidP="00EC61DC">
      <w:pPr>
        <w:rPr>
          <w:rFonts w:ascii="Times New Roman" w:hAnsi="Times New Roman" w:cs="Times New Roman"/>
          <w:sz w:val="24"/>
        </w:rPr>
      </w:pPr>
      <w:r w:rsidRPr="000537AC">
        <w:rPr>
          <w:rFonts w:ascii="Times New Roman" w:hAnsi="Times New Roman" w:cs="Times New Roman"/>
          <w:sz w:val="24"/>
        </w:rPr>
        <w:t>After Mongol dominance weakened, the principality of Muscovy (centered on Moscow) gradually consolidated power. Key steps included the defeat of the Tatar yoke in the 15th–16th centuries and territorial expansion under Ivan III and Ivan IV (Ivan the Terrible). Muscovy stitched together neighboring principalities through marriage, conquest, and the subordination of local elites, laying the foundations for a centralized Russian state.</w:t>
      </w:r>
    </w:p>
    <w:p w14:paraId="7690F3A7" w14:textId="77777777" w:rsidR="00A80767" w:rsidRPr="000537AC" w:rsidRDefault="00EC61DC" w:rsidP="00A80767">
      <w:pPr>
        <w:ind w:firstLine="0"/>
        <w:rPr>
          <w:rFonts w:ascii="Times New Roman" w:hAnsi="Times New Roman" w:cs="Times New Roman"/>
          <w:i/>
          <w:iCs/>
          <w:sz w:val="24"/>
        </w:rPr>
      </w:pPr>
      <w:r w:rsidRPr="000537AC">
        <w:rPr>
          <w:rFonts w:ascii="Times New Roman" w:hAnsi="Times New Roman" w:cs="Times New Roman"/>
          <w:i/>
          <w:iCs/>
          <w:sz w:val="24"/>
        </w:rPr>
        <w:t>Territorial Expansion and Westernization (17th–18th centuries)</w:t>
      </w:r>
    </w:p>
    <w:p w14:paraId="62418D24" w14:textId="1E0F5E99" w:rsidR="00A80767" w:rsidRPr="000537AC" w:rsidRDefault="00EC61DC" w:rsidP="00EC61DC">
      <w:pPr>
        <w:rPr>
          <w:rFonts w:ascii="Times New Roman" w:hAnsi="Times New Roman" w:cs="Times New Roman"/>
          <w:sz w:val="24"/>
        </w:rPr>
      </w:pPr>
      <w:r w:rsidRPr="000537AC">
        <w:rPr>
          <w:rFonts w:ascii="Times New Roman" w:hAnsi="Times New Roman" w:cs="Times New Roman"/>
          <w:sz w:val="24"/>
        </w:rPr>
        <w:t>From the 17th century onward, Russian rulers expanded east into Siberia and south across the steppe, absorbing vast lands and resources (fur, timber, later grain). Peter the Great (late 17th–early 18th century) pushed a deliberate westernizing program: modernizing the army and navy, reforming administration, and founding St. Petersburg as a “window on Europe.” These reforms accelerated Russia’s entry into European power politics and stimulated state-directed industrial development.</w:t>
      </w:r>
    </w:p>
    <w:p w14:paraId="5C6261E4" w14:textId="77777777" w:rsidR="00A80767" w:rsidRPr="000537AC" w:rsidRDefault="00EC61DC" w:rsidP="00A80767">
      <w:pPr>
        <w:ind w:firstLine="0"/>
        <w:jc w:val="both"/>
        <w:rPr>
          <w:rFonts w:ascii="Times New Roman" w:hAnsi="Times New Roman" w:cs="Times New Roman"/>
          <w:i/>
          <w:iCs/>
          <w:sz w:val="24"/>
        </w:rPr>
      </w:pPr>
      <w:r w:rsidRPr="000537AC">
        <w:rPr>
          <w:rFonts w:ascii="Times New Roman" w:hAnsi="Times New Roman" w:cs="Times New Roman"/>
          <w:i/>
          <w:iCs/>
          <w:sz w:val="24"/>
        </w:rPr>
        <w:t>Serfdom and Social Strains (18th–19th centuries)</w:t>
      </w:r>
    </w:p>
    <w:p w14:paraId="7499F8C9" w14:textId="77777777" w:rsidR="00BC051B" w:rsidRPr="000537AC" w:rsidRDefault="00EC61DC" w:rsidP="00EC61DC">
      <w:pPr>
        <w:rPr>
          <w:rFonts w:ascii="Times New Roman" w:hAnsi="Times New Roman" w:cs="Times New Roman"/>
          <w:sz w:val="24"/>
        </w:rPr>
      </w:pPr>
      <w:r w:rsidRPr="000537AC">
        <w:rPr>
          <w:rFonts w:ascii="Times New Roman" w:hAnsi="Times New Roman" w:cs="Times New Roman"/>
          <w:sz w:val="24"/>
        </w:rPr>
        <w:t>While the state modernized institutions, most rural Russians remained tied to serfdom—an agrarian system resembling feudal bondage. Serfdom produced profound social inequality, periodic peasant unrest, and constraints on labor mobility and economic modernization. The social tensions shaped Russian politics and contributed to later reform pressures.</w:t>
      </w:r>
    </w:p>
    <w:p w14:paraId="1D47A357" w14:textId="77777777" w:rsidR="00BC051B" w:rsidRPr="000537AC" w:rsidRDefault="00EC61DC" w:rsidP="00BC051B">
      <w:pPr>
        <w:ind w:firstLine="0"/>
        <w:rPr>
          <w:rFonts w:ascii="Times New Roman" w:hAnsi="Times New Roman" w:cs="Times New Roman"/>
          <w:i/>
          <w:iCs/>
          <w:sz w:val="24"/>
        </w:rPr>
      </w:pPr>
      <w:r w:rsidRPr="000537AC">
        <w:rPr>
          <w:rFonts w:ascii="Times New Roman" w:hAnsi="Times New Roman" w:cs="Times New Roman"/>
          <w:i/>
          <w:iCs/>
          <w:sz w:val="24"/>
        </w:rPr>
        <w:t>Reform, Reaction, and Revolutionary Undercurrents (mid–late 19th century)</w:t>
      </w:r>
    </w:p>
    <w:p w14:paraId="184871D2" w14:textId="77777777" w:rsidR="00BC051B" w:rsidRPr="000537AC" w:rsidRDefault="00EC61DC" w:rsidP="00EC61DC">
      <w:pPr>
        <w:rPr>
          <w:rFonts w:ascii="Times New Roman" w:hAnsi="Times New Roman" w:cs="Times New Roman"/>
          <w:sz w:val="24"/>
        </w:rPr>
      </w:pPr>
      <w:r w:rsidRPr="000537AC">
        <w:rPr>
          <w:rFonts w:ascii="Times New Roman" w:hAnsi="Times New Roman" w:cs="Times New Roman"/>
          <w:sz w:val="24"/>
        </w:rPr>
        <w:t xml:space="preserve">The Crimean War (1853–1856) exposed military and institutional weaknesses and spurred attempts at reform. Alexander II’s emancipation of the serfs (1861) aimed to modernize agriculture and society but left many peasants economically constrained. Industrialization </w:t>
      </w:r>
      <w:r w:rsidRPr="000537AC">
        <w:rPr>
          <w:rFonts w:ascii="Times New Roman" w:hAnsi="Times New Roman" w:cs="Times New Roman"/>
          <w:sz w:val="24"/>
        </w:rPr>
        <w:lastRenderedPageBreak/>
        <w:t>gathered pace in the latter 19th century—railroads, factories, and urban growth—but it also produced a working class and radical political movements (</w:t>
      </w:r>
      <w:proofErr w:type="spellStart"/>
      <w:r w:rsidRPr="000537AC">
        <w:rPr>
          <w:rFonts w:ascii="Times New Roman" w:hAnsi="Times New Roman" w:cs="Times New Roman"/>
          <w:sz w:val="24"/>
        </w:rPr>
        <w:t>narodniks</w:t>
      </w:r>
      <w:proofErr w:type="spellEnd"/>
      <w:r w:rsidRPr="000537AC">
        <w:rPr>
          <w:rFonts w:ascii="Times New Roman" w:hAnsi="Times New Roman" w:cs="Times New Roman"/>
          <w:sz w:val="24"/>
        </w:rPr>
        <w:t>, early socialists). State responses oscillated between cautious reform and repressive reaction.</w:t>
      </w:r>
    </w:p>
    <w:p w14:paraId="368F2685" w14:textId="77777777" w:rsidR="00BC051B" w:rsidRPr="000537AC" w:rsidRDefault="00EC61DC" w:rsidP="00BC051B">
      <w:pPr>
        <w:ind w:firstLine="0"/>
        <w:rPr>
          <w:rFonts w:ascii="Times New Roman" w:hAnsi="Times New Roman" w:cs="Times New Roman"/>
          <w:i/>
          <w:iCs/>
          <w:sz w:val="24"/>
        </w:rPr>
      </w:pPr>
      <w:r w:rsidRPr="000537AC">
        <w:rPr>
          <w:rFonts w:ascii="Times New Roman" w:hAnsi="Times New Roman" w:cs="Times New Roman"/>
          <w:i/>
          <w:iCs/>
          <w:sz w:val="24"/>
        </w:rPr>
        <w:t>Russo-Japanese War (1904) — a Turning Point</w:t>
      </w:r>
    </w:p>
    <w:p w14:paraId="56E7972F" w14:textId="2CC58E24" w:rsidR="00A417C1" w:rsidRPr="000537AC" w:rsidRDefault="00EC61DC" w:rsidP="00EC61DC">
      <w:pPr>
        <w:rPr>
          <w:rFonts w:ascii="Times New Roman" w:hAnsi="Times New Roman" w:cs="Times New Roman"/>
          <w:sz w:val="24"/>
        </w:rPr>
      </w:pPr>
      <w:r w:rsidRPr="000537AC">
        <w:rPr>
          <w:rFonts w:ascii="Times New Roman" w:hAnsi="Times New Roman" w:cs="Times New Roman"/>
          <w:sz w:val="24"/>
        </w:rPr>
        <w:t>Russia’s defeat by Japan in 1904–1905 was a strategic shock. It halted Russian expansion in East Asia, discredited the tsarist regime’s military competence, and intensified domestic unrest that erupted in the Revolution of 1905. The war’s outcome signaled that the imperial model, heavily reliant on autocratic rule and slow-paced industrial reforms, was vulnerable both abroad and at home.</w:t>
      </w:r>
    </w:p>
    <w:p w14:paraId="52B41DA9" w14:textId="18BDEE2A" w:rsidR="00BC051B" w:rsidRPr="000537AC" w:rsidRDefault="00472D26" w:rsidP="00BC051B">
      <w:pPr>
        <w:pStyle w:val="Heading1"/>
        <w:rPr>
          <w:rFonts w:ascii="Times New Roman" w:eastAsia="Calibri" w:hAnsi="Times New Roman" w:cs="Times New Roman"/>
          <w:sz w:val="24"/>
        </w:rPr>
      </w:pPr>
      <w:r w:rsidRPr="000537AC">
        <w:rPr>
          <w:rFonts w:ascii="Times New Roman" w:hAnsi="Times New Roman" w:cs="Times New Roman"/>
          <w:sz w:val="24"/>
        </w:rPr>
        <w:t>Part C — The Ottoman Empire and the Mandate System after World War I</w:t>
      </w:r>
    </w:p>
    <w:p w14:paraId="213BBE88" w14:textId="77777777" w:rsidR="00472D26" w:rsidRPr="000537AC" w:rsidRDefault="00472D26" w:rsidP="00472D26">
      <w:pPr>
        <w:ind w:firstLine="0"/>
        <w:rPr>
          <w:rFonts w:ascii="Times New Roman" w:hAnsi="Times New Roman" w:cs="Times New Roman"/>
          <w:i/>
          <w:iCs/>
          <w:sz w:val="24"/>
        </w:rPr>
      </w:pPr>
      <w:r w:rsidRPr="000537AC">
        <w:rPr>
          <w:rFonts w:ascii="Times New Roman" w:hAnsi="Times New Roman" w:cs="Times New Roman"/>
          <w:i/>
          <w:iCs/>
          <w:sz w:val="24"/>
        </w:rPr>
        <w:t>Ottoman Overstretch and World War I</w:t>
      </w:r>
    </w:p>
    <w:p w14:paraId="0C0932B6" w14:textId="77777777" w:rsidR="00472D26" w:rsidRPr="000537AC" w:rsidRDefault="00472D26" w:rsidP="00472D26">
      <w:pPr>
        <w:rPr>
          <w:rFonts w:ascii="Times New Roman" w:hAnsi="Times New Roman" w:cs="Times New Roman"/>
          <w:sz w:val="24"/>
        </w:rPr>
      </w:pPr>
      <w:r w:rsidRPr="000537AC">
        <w:rPr>
          <w:rFonts w:ascii="Times New Roman" w:hAnsi="Times New Roman" w:cs="Times New Roman"/>
          <w:sz w:val="24"/>
        </w:rPr>
        <w:t xml:space="preserve">By the early 20th </w:t>
      </w:r>
      <w:proofErr w:type="gramStart"/>
      <w:r w:rsidRPr="000537AC">
        <w:rPr>
          <w:rFonts w:ascii="Times New Roman" w:hAnsi="Times New Roman" w:cs="Times New Roman"/>
          <w:sz w:val="24"/>
        </w:rPr>
        <w:t>century</w:t>
      </w:r>
      <w:proofErr w:type="gramEnd"/>
      <w:r w:rsidRPr="000537AC">
        <w:rPr>
          <w:rFonts w:ascii="Times New Roman" w:hAnsi="Times New Roman" w:cs="Times New Roman"/>
          <w:sz w:val="24"/>
        </w:rPr>
        <w:t xml:space="preserve"> the Ottoman Empire had been in political and territorial decline for over a century, losing land to nationalist movements and European encroachment. The Ottoman decision to enter World War I on the Central Powers’ side led to military defeat and the empire’s effective dismemberment.</w:t>
      </w:r>
    </w:p>
    <w:p w14:paraId="75E90B8C" w14:textId="7BC428AD" w:rsidR="00472D26" w:rsidRPr="000537AC" w:rsidRDefault="00472D26" w:rsidP="00472D26">
      <w:pPr>
        <w:ind w:firstLine="0"/>
        <w:rPr>
          <w:rFonts w:ascii="Times New Roman" w:hAnsi="Times New Roman" w:cs="Times New Roman"/>
          <w:i/>
          <w:iCs/>
          <w:sz w:val="24"/>
        </w:rPr>
      </w:pPr>
      <w:r w:rsidRPr="000537AC">
        <w:rPr>
          <w:rFonts w:ascii="Times New Roman" w:hAnsi="Times New Roman" w:cs="Times New Roman"/>
          <w:i/>
          <w:iCs/>
          <w:sz w:val="24"/>
        </w:rPr>
        <w:t>The Mandate Concept and Practical Politics</w:t>
      </w:r>
    </w:p>
    <w:p w14:paraId="086CF27F" w14:textId="12BD45A6" w:rsidR="00AF338E" w:rsidRDefault="00472D26" w:rsidP="00472D26">
      <w:pPr>
        <w:rPr>
          <w:rFonts w:ascii="Times New Roman" w:hAnsi="Times New Roman" w:cs="Times New Roman"/>
          <w:sz w:val="24"/>
        </w:rPr>
      </w:pPr>
      <w:r w:rsidRPr="000537AC">
        <w:rPr>
          <w:rFonts w:ascii="Times New Roman" w:hAnsi="Times New Roman" w:cs="Times New Roman"/>
          <w:sz w:val="24"/>
        </w:rPr>
        <w:t>After World War I the victorious Allied powers faced the problem of administering former Ottoman territories. The League of Nations created the mandate system to place these territories under temporary administrative control, supposedly to prepare them for self-rule. In practice, Britain and France drew new boundaries and supervised political transitions while safeguarding their strategic and economic interests. Britain received mandates over Iraq and Palestine (and earlier informal control in Egypt), while France gained Syria and Lebanon.</w:t>
      </w:r>
    </w:p>
    <w:p w14:paraId="0225AE9A" w14:textId="77777777" w:rsidR="00AF338E" w:rsidRDefault="00AF338E">
      <w:pPr>
        <w:rPr>
          <w:rFonts w:ascii="Times New Roman" w:hAnsi="Times New Roman" w:cs="Times New Roman"/>
          <w:sz w:val="24"/>
        </w:rPr>
      </w:pPr>
      <w:r>
        <w:rPr>
          <w:rFonts w:ascii="Times New Roman" w:hAnsi="Times New Roman" w:cs="Times New Roman"/>
          <w:sz w:val="24"/>
        </w:rPr>
        <w:br w:type="page"/>
      </w:r>
    </w:p>
    <w:p w14:paraId="5A47E231" w14:textId="77777777" w:rsidR="00472D26" w:rsidRPr="000537AC" w:rsidRDefault="00472D26" w:rsidP="00472D26">
      <w:pPr>
        <w:rPr>
          <w:rFonts w:ascii="Times New Roman" w:hAnsi="Times New Roman" w:cs="Times New Roman"/>
          <w:sz w:val="24"/>
        </w:rPr>
      </w:pPr>
    </w:p>
    <w:p w14:paraId="4830AC38" w14:textId="77777777" w:rsidR="00472D26" w:rsidRPr="000537AC" w:rsidRDefault="00472D26" w:rsidP="00472D26">
      <w:pPr>
        <w:ind w:firstLine="0"/>
        <w:rPr>
          <w:rFonts w:ascii="Times New Roman" w:hAnsi="Times New Roman" w:cs="Times New Roman"/>
          <w:i/>
          <w:iCs/>
          <w:sz w:val="24"/>
        </w:rPr>
      </w:pPr>
      <w:r w:rsidRPr="000537AC">
        <w:rPr>
          <w:rFonts w:ascii="Times New Roman" w:hAnsi="Times New Roman" w:cs="Times New Roman"/>
          <w:i/>
          <w:iCs/>
          <w:sz w:val="24"/>
        </w:rPr>
        <w:t>Mandates and Local Consequences</w:t>
      </w:r>
    </w:p>
    <w:p w14:paraId="0E4BCD38" w14:textId="77777777" w:rsidR="00472D26" w:rsidRPr="000537AC" w:rsidRDefault="00472D26" w:rsidP="00472D26">
      <w:pPr>
        <w:rPr>
          <w:rFonts w:ascii="Times New Roman" w:hAnsi="Times New Roman" w:cs="Times New Roman"/>
          <w:sz w:val="24"/>
        </w:rPr>
      </w:pPr>
      <w:r w:rsidRPr="000537AC">
        <w:rPr>
          <w:rFonts w:ascii="Times New Roman" w:hAnsi="Times New Roman" w:cs="Times New Roman"/>
          <w:sz w:val="24"/>
        </w:rPr>
        <w:t>The mandate map rarely reflected local ethnic, religious, or social realities: imperial borders were redrawn without sustainable accommodation of diverse communities. In Palestine, the Balfour Declaration (1917) promising a national home for Jews complicated Arab nationalist aspirations and led to prolonged conflict and contest over land. In Iraq and Syria, foreign-imposed institutions and new elites often lacked legitimacy, creating long-term grievances. Mandates institutionalized outside control just as nationalist movements across the region were gaining force; the result was repeated uprisings, revolts, and cycles of repression.</w:t>
      </w:r>
    </w:p>
    <w:p w14:paraId="35AC7F01" w14:textId="77777777" w:rsidR="00472D26" w:rsidRPr="000537AC" w:rsidRDefault="00472D26" w:rsidP="00472D26">
      <w:pPr>
        <w:ind w:firstLine="0"/>
        <w:rPr>
          <w:rFonts w:ascii="Times New Roman" w:hAnsi="Times New Roman" w:cs="Times New Roman"/>
          <w:i/>
          <w:iCs/>
          <w:sz w:val="24"/>
        </w:rPr>
      </w:pPr>
      <w:r w:rsidRPr="000537AC">
        <w:rPr>
          <w:rFonts w:ascii="Times New Roman" w:hAnsi="Times New Roman" w:cs="Times New Roman"/>
          <w:i/>
          <w:iCs/>
          <w:sz w:val="24"/>
        </w:rPr>
        <w:t>Long-term Impact on the Region</w:t>
      </w:r>
    </w:p>
    <w:p w14:paraId="153CB7FB" w14:textId="35912A06" w:rsidR="00BC051B" w:rsidRPr="000537AC" w:rsidRDefault="00472D26" w:rsidP="00472D26">
      <w:pPr>
        <w:rPr>
          <w:rFonts w:ascii="Times New Roman" w:hAnsi="Times New Roman" w:cs="Times New Roman"/>
          <w:sz w:val="24"/>
        </w:rPr>
      </w:pPr>
      <w:r w:rsidRPr="000537AC">
        <w:rPr>
          <w:rFonts w:ascii="Times New Roman" w:hAnsi="Times New Roman" w:cs="Times New Roman"/>
          <w:sz w:val="24"/>
        </w:rPr>
        <w:t xml:space="preserve">The mandate system left several durable legacies. First, state borders often </w:t>
      </w:r>
      <w:proofErr w:type="gramStart"/>
      <w:r w:rsidRPr="000537AC">
        <w:rPr>
          <w:rFonts w:ascii="Times New Roman" w:hAnsi="Times New Roman" w:cs="Times New Roman"/>
          <w:sz w:val="24"/>
        </w:rPr>
        <w:t>ignored</w:t>
      </w:r>
      <w:proofErr w:type="gramEnd"/>
      <w:r w:rsidRPr="000537AC">
        <w:rPr>
          <w:rFonts w:ascii="Times New Roman" w:hAnsi="Times New Roman" w:cs="Times New Roman"/>
          <w:sz w:val="24"/>
        </w:rPr>
        <w:t xml:space="preserve"> historical social geographies, seeding later territorial disputes and minority grievances. Second, the administrative frameworks and ruling elites that emerged under mandate rule frequently had closer ties to European powers than to local societies, undermining popular legitimacy. Third, the mandates entrenched economic linkages oriented toward European markets and resource extraction rather than balanced local development. Finally, the uneasy blend of Western-style institutions and local political cultures contributed to unstable transitions to independence in the mid-20th century and to recurring conflicts in subsequent decades.</w:t>
      </w:r>
    </w:p>
    <w:p w14:paraId="0D9FBE0B" w14:textId="77777777" w:rsidR="00A417C1" w:rsidRPr="000537AC" w:rsidRDefault="00540A61"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0B065EC1A62D4F17A9A17BB0153BEE44"/>
          </w:placeholder>
          <w:temporary/>
          <w:showingPlcHdr/>
          <w15:appearance w15:val="hidden"/>
        </w:sdtPr>
        <w:sdtEndPr/>
        <w:sdtContent>
          <w:r w:rsidR="00664C1A" w:rsidRPr="000537AC">
            <w:rPr>
              <w:rFonts w:ascii="Times New Roman" w:hAnsi="Times New Roman" w:cs="Times New Roman"/>
              <w:sz w:val="24"/>
            </w:rPr>
            <w:t>References</w:t>
          </w:r>
        </w:sdtContent>
      </w:sdt>
    </w:p>
    <w:p w14:paraId="444A68EA" w14:textId="3F373EE6" w:rsidR="00A417C1" w:rsidRPr="000537AC" w:rsidRDefault="009426D6" w:rsidP="00664C1A">
      <w:pPr>
        <w:pStyle w:val="Bibliography"/>
        <w:rPr>
          <w:rFonts w:ascii="Times New Roman" w:hAnsi="Times New Roman" w:cs="Times New Roman"/>
          <w:noProof/>
          <w:sz w:val="24"/>
        </w:rPr>
      </w:pPr>
      <w:r w:rsidRPr="009426D6">
        <w:rPr>
          <w:rFonts w:ascii="Times New Roman" w:hAnsi="Times New Roman" w:cs="Times New Roman"/>
          <w:noProof/>
          <w:sz w:val="24"/>
        </w:rPr>
        <w:t>Marston, S. A., Knox, P. L., Liverman, D. M., Del Casino, V., &amp; Robbins, P. F. (2016). World regions in global context: Peoples, places, and environments (6th ed.). Pearson Education.</w:t>
      </w:r>
      <w:r>
        <w:rPr>
          <w:rFonts w:ascii="Times New Roman" w:hAnsi="Times New Roman" w:cs="Times New Roman"/>
          <w:noProof/>
          <w:sz w:val="24"/>
        </w:rPr>
        <w:t xml:space="preserve"> </w:t>
      </w:r>
      <w:hyperlink r:id="rId10" w:tgtFrame="_blank" w:history="1">
        <w:r w:rsidR="002576E0" w:rsidRPr="002576E0">
          <w:rPr>
            <w:rStyle w:val="Hyperlink"/>
            <w:rFonts w:ascii="Times New Roman" w:hAnsi="Times New Roman" w:cs="Times New Roman"/>
            <w:noProof/>
            <w:sz w:val="24"/>
          </w:rPr>
          <w:t>https://</w:t>
        </w:r>
        <w:r w:rsidR="002576E0" w:rsidRPr="002576E0">
          <w:rPr>
            <w:rStyle w:val="Hyperlink"/>
            <w:rFonts w:ascii="Times New Roman" w:hAnsi="Times New Roman" w:cs="Times New Roman"/>
            <w:noProof/>
            <w:sz w:val="24"/>
          </w:rPr>
          <w:t>online.vitalsource.com/books/9780134262888</w:t>
        </w:r>
      </w:hyperlink>
    </w:p>
    <w:sectPr w:rsidR="00A417C1" w:rsidRPr="000537AC">
      <w:headerReference w:type="firs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536EB" w14:textId="77777777" w:rsidR="00540A61" w:rsidRDefault="00540A61">
      <w:pPr>
        <w:spacing w:line="240" w:lineRule="auto"/>
      </w:pPr>
      <w:r>
        <w:separator/>
      </w:r>
    </w:p>
    <w:p w14:paraId="6728A88A" w14:textId="77777777" w:rsidR="00540A61" w:rsidRDefault="00540A61"/>
  </w:endnote>
  <w:endnote w:type="continuationSeparator" w:id="0">
    <w:p w14:paraId="4EF02C01" w14:textId="77777777" w:rsidR="00540A61" w:rsidRDefault="00540A61">
      <w:pPr>
        <w:spacing w:line="240" w:lineRule="auto"/>
      </w:pPr>
      <w:r>
        <w:continuationSeparator/>
      </w:r>
    </w:p>
    <w:p w14:paraId="6ED4F59B" w14:textId="77777777" w:rsidR="00540A61" w:rsidRDefault="00540A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1EC0" w14:textId="77777777" w:rsidR="00540A61" w:rsidRDefault="00540A61">
      <w:pPr>
        <w:spacing w:line="240" w:lineRule="auto"/>
      </w:pPr>
      <w:r>
        <w:separator/>
      </w:r>
    </w:p>
    <w:p w14:paraId="07E59481" w14:textId="77777777" w:rsidR="00540A61" w:rsidRDefault="00540A61"/>
  </w:footnote>
  <w:footnote w:type="continuationSeparator" w:id="0">
    <w:p w14:paraId="5415FB6A" w14:textId="77777777" w:rsidR="00540A61" w:rsidRDefault="00540A61">
      <w:pPr>
        <w:spacing w:line="240" w:lineRule="auto"/>
      </w:pPr>
      <w:r>
        <w:continuationSeparator/>
      </w:r>
    </w:p>
    <w:p w14:paraId="6A5AFBAE" w14:textId="77777777" w:rsidR="00540A61" w:rsidRDefault="00540A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525E" w14:textId="1B7C2910" w:rsidR="3E192C66" w:rsidRDefault="00E231A6" w:rsidP="00E231A6">
    <w:pPr>
      <w:pStyle w:val="Header"/>
      <w:rPr>
        <w:rFonts w:ascii="Times New Roman" w:hAnsi="Times New Roman" w:cs="Times New Roman"/>
        <w:sz w:val="24"/>
      </w:rPr>
    </w:pPr>
    <w:r>
      <w:rPr>
        <w:rFonts w:ascii="Times New Roman" w:hAnsi="Times New Roman" w:cs="Times New Roman"/>
        <w:sz w:val="24"/>
      </w:rPr>
      <w:t>Javier Silva</w:t>
    </w:r>
    <w:r w:rsidRPr="00E231A6">
      <w:rPr>
        <w:rFonts w:ascii="Times New Roman" w:hAnsi="Times New Roman" w:cs="Times New Roman"/>
        <w:sz w:val="24"/>
      </w:rPr>
      <w:br/>
    </w:r>
    <w:r w:rsidR="00170511" w:rsidRPr="00170511">
      <w:rPr>
        <w:rFonts w:ascii="Times New Roman" w:hAnsi="Times New Roman" w:cs="Times New Roman"/>
        <w:sz w:val="24"/>
      </w:rPr>
      <w:t>M171117C9I</w:t>
    </w:r>
    <w:r w:rsidRPr="00E231A6">
      <w:rPr>
        <w:rFonts w:ascii="Times New Roman" w:hAnsi="Times New Roman" w:cs="Times New Roman"/>
        <w:sz w:val="24"/>
      </w:rPr>
      <w:br/>
      <w:t>GE350</w:t>
    </w:r>
    <w:r w:rsidR="008B187E">
      <w:rPr>
        <w:rFonts w:ascii="Times New Roman" w:hAnsi="Times New Roman" w:cs="Times New Roman"/>
        <w:sz w:val="24"/>
      </w:rPr>
      <w:t xml:space="preserve"> </w:t>
    </w:r>
    <w:r w:rsidRPr="00E231A6">
      <w:rPr>
        <w:rFonts w:ascii="Times New Roman" w:hAnsi="Times New Roman" w:cs="Times New Roman"/>
        <w:sz w:val="24"/>
      </w:rPr>
      <w:t>World</w:t>
    </w:r>
    <w:r w:rsidR="008B187E">
      <w:rPr>
        <w:rFonts w:ascii="Times New Roman" w:hAnsi="Times New Roman" w:cs="Times New Roman"/>
        <w:sz w:val="24"/>
      </w:rPr>
      <w:t xml:space="preserve"> </w:t>
    </w:r>
    <w:r w:rsidRPr="00E231A6">
      <w:rPr>
        <w:rFonts w:ascii="Times New Roman" w:hAnsi="Times New Roman" w:cs="Times New Roman"/>
        <w:sz w:val="24"/>
      </w:rPr>
      <w:t>Geography</w:t>
    </w:r>
    <w:r w:rsidRPr="00E231A6">
      <w:rPr>
        <w:rFonts w:ascii="Times New Roman" w:hAnsi="Times New Roman" w:cs="Times New Roman"/>
        <w:sz w:val="24"/>
      </w:rPr>
      <w:br/>
      <w:t>Assignment</w:t>
    </w:r>
    <w:r w:rsidR="008B187E">
      <w:rPr>
        <w:rFonts w:ascii="Times New Roman" w:hAnsi="Times New Roman" w:cs="Times New Roman"/>
        <w:sz w:val="24"/>
      </w:rPr>
      <w:t xml:space="preserve"> </w:t>
    </w:r>
    <w:r w:rsidRPr="00E231A6">
      <w:rPr>
        <w:rFonts w:ascii="Times New Roman" w:hAnsi="Times New Roman" w:cs="Times New Roman"/>
        <w:sz w:val="24"/>
      </w:rPr>
      <w:t>04</w:t>
    </w:r>
    <w:r w:rsidR="008B187E">
      <w:rPr>
        <w:rFonts w:ascii="Times New Roman" w:hAnsi="Times New Roman" w:cs="Times New Roman"/>
        <w:sz w:val="24"/>
      </w:rPr>
      <w:t xml:space="preserve"> </w:t>
    </w:r>
    <w:r w:rsidRPr="00E231A6">
      <w:rPr>
        <w:rFonts w:ascii="Times New Roman" w:hAnsi="Times New Roman" w:cs="Times New Roman"/>
        <w:sz w:val="24"/>
      </w:rPr>
      <w:t>—</w:t>
    </w:r>
    <w:r w:rsidR="008B187E">
      <w:rPr>
        <w:rFonts w:ascii="Times New Roman" w:hAnsi="Times New Roman" w:cs="Times New Roman"/>
        <w:sz w:val="24"/>
      </w:rPr>
      <w:t xml:space="preserve"> </w:t>
    </w:r>
    <w:r w:rsidRPr="00E231A6">
      <w:rPr>
        <w:rFonts w:ascii="Times New Roman" w:hAnsi="Times New Roman" w:cs="Times New Roman"/>
        <w:sz w:val="24"/>
      </w:rPr>
      <w:t>Physiography</w:t>
    </w:r>
    <w:r w:rsidR="008B187E">
      <w:rPr>
        <w:rFonts w:ascii="Times New Roman" w:hAnsi="Times New Roman" w:cs="Times New Roman"/>
        <w:sz w:val="24"/>
      </w:rPr>
      <w:t xml:space="preserve"> </w:t>
    </w:r>
    <w:r w:rsidRPr="00E231A6">
      <w:rPr>
        <w:rFonts w:ascii="Times New Roman" w:hAnsi="Times New Roman" w:cs="Times New Roman"/>
        <w:sz w:val="24"/>
      </w:rPr>
      <w:t>of</w:t>
    </w:r>
    <w:r w:rsidR="008B187E">
      <w:rPr>
        <w:rFonts w:ascii="Times New Roman" w:hAnsi="Times New Roman" w:cs="Times New Roman"/>
        <w:sz w:val="24"/>
      </w:rPr>
      <w:t xml:space="preserve"> </w:t>
    </w:r>
    <w:r w:rsidRPr="00E231A6">
      <w:rPr>
        <w:rFonts w:ascii="Times New Roman" w:hAnsi="Times New Roman" w:cs="Times New Roman"/>
        <w:sz w:val="24"/>
      </w:rPr>
      <w:t>Europe,</w:t>
    </w:r>
    <w:r w:rsidR="008B187E">
      <w:rPr>
        <w:rFonts w:ascii="Times New Roman" w:hAnsi="Times New Roman" w:cs="Times New Roman"/>
        <w:sz w:val="24"/>
      </w:rPr>
      <w:t xml:space="preserve"> </w:t>
    </w:r>
    <w:r w:rsidRPr="00E231A6">
      <w:rPr>
        <w:rFonts w:ascii="Times New Roman" w:hAnsi="Times New Roman" w:cs="Times New Roman"/>
        <w:sz w:val="24"/>
      </w:rPr>
      <w:t>Rise</w:t>
    </w:r>
    <w:r w:rsidR="008B187E">
      <w:rPr>
        <w:rFonts w:ascii="Times New Roman" w:hAnsi="Times New Roman" w:cs="Times New Roman"/>
        <w:sz w:val="24"/>
      </w:rPr>
      <w:t xml:space="preserve"> </w:t>
    </w:r>
    <w:r w:rsidRPr="00E231A6">
      <w:rPr>
        <w:rFonts w:ascii="Times New Roman" w:hAnsi="Times New Roman" w:cs="Times New Roman"/>
        <w:sz w:val="24"/>
      </w:rPr>
      <w:t>of</w:t>
    </w:r>
    <w:r w:rsidR="008B187E">
      <w:rPr>
        <w:rFonts w:ascii="Times New Roman" w:hAnsi="Times New Roman" w:cs="Times New Roman"/>
        <w:sz w:val="24"/>
      </w:rPr>
      <w:t xml:space="preserve"> </w:t>
    </w:r>
    <w:r w:rsidRPr="00E231A6">
      <w:rPr>
        <w:rFonts w:ascii="Times New Roman" w:hAnsi="Times New Roman" w:cs="Times New Roman"/>
        <w:sz w:val="24"/>
      </w:rPr>
      <w:t>the</w:t>
    </w:r>
    <w:r w:rsidR="008B187E">
      <w:rPr>
        <w:rFonts w:ascii="Times New Roman" w:hAnsi="Times New Roman" w:cs="Times New Roman"/>
        <w:sz w:val="24"/>
      </w:rPr>
      <w:t xml:space="preserve"> </w:t>
    </w:r>
    <w:r w:rsidRPr="00E231A6">
      <w:rPr>
        <w:rFonts w:ascii="Times New Roman" w:hAnsi="Times New Roman" w:cs="Times New Roman"/>
        <w:sz w:val="24"/>
      </w:rPr>
      <w:t>Russian</w:t>
    </w:r>
    <w:r w:rsidR="008B187E">
      <w:rPr>
        <w:rFonts w:ascii="Times New Roman" w:hAnsi="Times New Roman" w:cs="Times New Roman"/>
        <w:sz w:val="24"/>
      </w:rPr>
      <w:t xml:space="preserve"> </w:t>
    </w:r>
    <w:r w:rsidRPr="00E231A6">
      <w:rPr>
        <w:rFonts w:ascii="Times New Roman" w:hAnsi="Times New Roman" w:cs="Times New Roman"/>
        <w:sz w:val="24"/>
      </w:rPr>
      <w:t>Empire,</w:t>
    </w:r>
    <w:r w:rsidR="008B187E">
      <w:rPr>
        <w:rFonts w:ascii="Times New Roman" w:hAnsi="Times New Roman" w:cs="Times New Roman"/>
        <w:sz w:val="24"/>
      </w:rPr>
      <w:t xml:space="preserve"> </w:t>
    </w:r>
    <w:r w:rsidRPr="00E231A6">
      <w:rPr>
        <w:rFonts w:ascii="Times New Roman" w:hAnsi="Times New Roman" w:cs="Times New Roman"/>
        <w:sz w:val="24"/>
      </w:rPr>
      <w:t>and</w:t>
    </w:r>
    <w:r w:rsidR="008B187E">
      <w:rPr>
        <w:rFonts w:ascii="Times New Roman" w:hAnsi="Times New Roman" w:cs="Times New Roman"/>
        <w:sz w:val="24"/>
      </w:rPr>
      <w:t xml:space="preserve"> </w:t>
    </w:r>
    <w:r w:rsidRPr="00E231A6">
      <w:rPr>
        <w:rFonts w:ascii="Times New Roman" w:hAnsi="Times New Roman" w:cs="Times New Roman"/>
        <w:sz w:val="24"/>
      </w:rPr>
      <w:t>the</w:t>
    </w:r>
    <w:r w:rsidR="008B187E">
      <w:rPr>
        <w:rFonts w:ascii="Times New Roman" w:hAnsi="Times New Roman" w:cs="Times New Roman"/>
        <w:sz w:val="24"/>
      </w:rPr>
      <w:t xml:space="preserve"> </w:t>
    </w:r>
    <w:r w:rsidRPr="00E231A6">
      <w:rPr>
        <w:rFonts w:ascii="Times New Roman" w:hAnsi="Times New Roman" w:cs="Times New Roman"/>
        <w:sz w:val="24"/>
      </w:rPr>
      <w:t>Ottoman</w:t>
    </w:r>
    <w:r w:rsidR="008B187E">
      <w:rPr>
        <w:rFonts w:ascii="Times New Roman" w:hAnsi="Times New Roman" w:cs="Times New Roman"/>
        <w:sz w:val="24"/>
      </w:rPr>
      <w:t xml:space="preserve"> </w:t>
    </w:r>
    <w:r w:rsidRPr="00E231A6">
      <w:rPr>
        <w:rFonts w:ascii="Times New Roman" w:hAnsi="Times New Roman" w:cs="Times New Roman"/>
        <w:sz w:val="24"/>
      </w:rPr>
      <w:t>Mandates</w:t>
    </w:r>
    <w:r w:rsidRPr="00E231A6">
      <w:rPr>
        <w:rFonts w:ascii="Times New Roman" w:hAnsi="Times New Roman" w:cs="Times New Roman"/>
        <w:sz w:val="24"/>
      </w:rPr>
      <w:br/>
      <w:t>Date</w:t>
    </w:r>
    <w:r w:rsidR="00E17EE9">
      <w:rPr>
        <w:rFonts w:ascii="Times New Roman" w:hAnsi="Times New Roman" w:cs="Times New Roman"/>
        <w:sz w:val="24"/>
      </w:rPr>
      <w:t xml:space="preserve"> </w:t>
    </w:r>
    <w:r w:rsidRPr="00E231A6">
      <w:rPr>
        <w:rFonts w:ascii="Times New Roman" w:hAnsi="Times New Roman" w:cs="Times New Roman"/>
        <w:sz w:val="24"/>
      </w:rPr>
      <w:t>of</w:t>
    </w:r>
    <w:r w:rsidR="00E17EE9">
      <w:rPr>
        <w:rFonts w:ascii="Times New Roman" w:hAnsi="Times New Roman" w:cs="Times New Roman"/>
        <w:sz w:val="24"/>
      </w:rPr>
      <w:t xml:space="preserve"> </w:t>
    </w:r>
    <w:r w:rsidRPr="00E231A6">
      <w:rPr>
        <w:rFonts w:ascii="Times New Roman" w:hAnsi="Times New Roman" w:cs="Times New Roman"/>
        <w:sz w:val="24"/>
      </w:rPr>
      <w:t>Submission:</w:t>
    </w:r>
    <w:r w:rsidR="00E17EE9">
      <w:rPr>
        <w:rFonts w:ascii="Times New Roman" w:hAnsi="Times New Roman" w:cs="Times New Roman"/>
        <w:sz w:val="24"/>
      </w:rPr>
      <w:t xml:space="preserve"> </w:t>
    </w:r>
    <w:r w:rsidRPr="00E231A6">
      <w:rPr>
        <w:rFonts w:ascii="Times New Roman" w:hAnsi="Times New Roman" w:cs="Times New Roman"/>
        <w:sz w:val="24"/>
      </w:rPr>
      <w:t>April</w:t>
    </w:r>
    <w:r w:rsidR="00E17EE9">
      <w:rPr>
        <w:rFonts w:ascii="Times New Roman" w:hAnsi="Times New Roman" w:cs="Times New Roman"/>
        <w:sz w:val="24"/>
      </w:rPr>
      <w:t xml:space="preserve"> </w:t>
    </w:r>
    <w:r w:rsidRPr="00E231A6">
      <w:rPr>
        <w:rFonts w:ascii="Times New Roman" w:hAnsi="Times New Roman" w:cs="Times New Roman"/>
        <w:sz w:val="24"/>
      </w:rPr>
      <w:t>26,</w:t>
    </w:r>
    <w:r w:rsidR="00E17EE9">
      <w:rPr>
        <w:rFonts w:ascii="Times New Roman" w:hAnsi="Times New Roman" w:cs="Times New Roman"/>
        <w:sz w:val="24"/>
      </w:rPr>
      <w:t xml:space="preserve"> </w:t>
    </w:r>
    <w:r w:rsidRPr="00E231A6">
      <w:rPr>
        <w:rFonts w:ascii="Times New Roman" w:hAnsi="Times New Roman" w:cs="Times New Roman"/>
        <w:sz w:val="24"/>
      </w:rPr>
      <w:t>2026</w:t>
    </w:r>
  </w:p>
  <w:p w14:paraId="1B7EC734" w14:textId="77777777" w:rsidR="002576E0" w:rsidRPr="00E231A6" w:rsidRDefault="002576E0" w:rsidP="00E231A6">
    <w:pPr>
      <w:pStyle w:val="Head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A6"/>
    <w:rsid w:val="00023AFE"/>
    <w:rsid w:val="000537AC"/>
    <w:rsid w:val="000A3D9B"/>
    <w:rsid w:val="000D4642"/>
    <w:rsid w:val="000D539D"/>
    <w:rsid w:val="00116273"/>
    <w:rsid w:val="00170511"/>
    <w:rsid w:val="002576E0"/>
    <w:rsid w:val="002C79E6"/>
    <w:rsid w:val="002F3AE9"/>
    <w:rsid w:val="003804CC"/>
    <w:rsid w:val="00472D26"/>
    <w:rsid w:val="00540A61"/>
    <w:rsid w:val="005C199E"/>
    <w:rsid w:val="00664C1A"/>
    <w:rsid w:val="0081502B"/>
    <w:rsid w:val="0087407D"/>
    <w:rsid w:val="008B187E"/>
    <w:rsid w:val="009426D6"/>
    <w:rsid w:val="00A417C1"/>
    <w:rsid w:val="00A80767"/>
    <w:rsid w:val="00AF338E"/>
    <w:rsid w:val="00B863FB"/>
    <w:rsid w:val="00B86440"/>
    <w:rsid w:val="00BB2D6F"/>
    <w:rsid w:val="00BC051B"/>
    <w:rsid w:val="00C00F8F"/>
    <w:rsid w:val="00C03068"/>
    <w:rsid w:val="00D620FD"/>
    <w:rsid w:val="00D91044"/>
    <w:rsid w:val="00E17EE9"/>
    <w:rsid w:val="00E231A6"/>
    <w:rsid w:val="00E67454"/>
    <w:rsid w:val="00EB3FF7"/>
    <w:rsid w:val="00EC61DC"/>
    <w:rsid w:val="00EF55C5"/>
    <w:rsid w:val="00F57801"/>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1E8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51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57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online.vitalsource.com/books/97801342628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ie\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065EC1A62D4F17A9A17BB0153BEE44"/>
        <w:category>
          <w:name w:val="General"/>
          <w:gallery w:val="placeholder"/>
        </w:category>
        <w:types>
          <w:type w:val="bbPlcHdr"/>
        </w:types>
        <w:behaviors>
          <w:behavior w:val="content"/>
        </w:behaviors>
        <w:guid w:val="{7527BE51-193D-40F7-A56F-40040AAB25C0}"/>
      </w:docPartPr>
      <w:docPartBody>
        <w:p w:rsidR="00F96346" w:rsidRDefault="00F96346">
          <w:pPr>
            <w:pStyle w:val="0B065EC1A62D4F17A9A17BB0153BEE4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46"/>
    <w:rsid w:val="0081502B"/>
    <w:rsid w:val="00F9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50BD878E1141018374AB19C193EA1B">
    <w:name w:val="B950BD878E1141018374AB19C193EA1B"/>
  </w:style>
  <w:style w:type="paragraph" w:customStyle="1" w:styleId="82634EC96CBC466CA6EF700EDC686C80">
    <w:name w:val="82634EC96CBC466CA6EF700EDC686C80"/>
  </w:style>
  <w:style w:type="paragraph" w:customStyle="1" w:styleId="41F6E1040C7D4F82AF4769F2C9C920AB">
    <w:name w:val="41F6E1040C7D4F82AF4769F2C9C920AB"/>
  </w:style>
  <w:style w:type="paragraph" w:customStyle="1" w:styleId="6B5663A33EF049E5AA4BD04EEA7E4C9A">
    <w:name w:val="6B5663A33EF049E5AA4BD04EEA7E4C9A"/>
  </w:style>
  <w:style w:type="paragraph" w:customStyle="1" w:styleId="D77B4DF4F9504BF0BA8EA5CA27324A04">
    <w:name w:val="D77B4DF4F9504BF0BA8EA5CA27324A04"/>
  </w:style>
  <w:style w:type="paragraph" w:customStyle="1" w:styleId="8B135204B0264A30958E67438F491965">
    <w:name w:val="8B135204B0264A30958E67438F491965"/>
  </w:style>
  <w:style w:type="paragraph" w:customStyle="1" w:styleId="DA237C41C37A485FBE6A4D6079594C3B">
    <w:name w:val="DA237C41C37A485FBE6A4D6079594C3B"/>
  </w:style>
  <w:style w:type="paragraph" w:customStyle="1" w:styleId="EC0E5681CCE14AD187BB9D93CE84FF4D">
    <w:name w:val="EC0E5681CCE14AD187BB9D93CE84FF4D"/>
  </w:style>
  <w:style w:type="paragraph" w:customStyle="1" w:styleId="16138986B2F2423F948719EAC971B231">
    <w:name w:val="16138986B2F2423F948719EAC971B231"/>
  </w:style>
  <w:style w:type="paragraph" w:customStyle="1" w:styleId="B4ECEE502018434BA13A5E9FAAFD8876">
    <w:name w:val="B4ECEE502018434BA13A5E9FAAFD8876"/>
  </w:style>
  <w:style w:type="paragraph" w:customStyle="1" w:styleId="AA5457E5C980401EBDAC207CEC6A9809">
    <w:name w:val="AA5457E5C980401EBDAC207CEC6A9809"/>
  </w:style>
  <w:style w:type="paragraph" w:customStyle="1" w:styleId="5F1158E926E44D618F7DB15BB8AE64AF">
    <w:name w:val="5F1158E926E44D618F7DB15BB8AE64AF"/>
  </w:style>
  <w:style w:type="paragraph" w:customStyle="1" w:styleId="E76AAEE129C94F79819477C25CF708C6">
    <w:name w:val="E76AAEE129C94F79819477C25CF708C6"/>
  </w:style>
  <w:style w:type="paragraph" w:customStyle="1" w:styleId="E3CA568CDB90400E9AD0C992AFD3E0D5">
    <w:name w:val="E3CA568CDB90400E9AD0C992AFD3E0D5"/>
  </w:style>
  <w:style w:type="paragraph" w:customStyle="1" w:styleId="6E05B9A539C6446AA44240146ED12BC1">
    <w:name w:val="6E05B9A539C6446AA44240146ED12BC1"/>
  </w:style>
  <w:style w:type="paragraph" w:customStyle="1" w:styleId="61A6E2AB5EF347238142DEA070326207">
    <w:name w:val="61A6E2AB5EF347238142DEA070326207"/>
  </w:style>
  <w:style w:type="paragraph" w:customStyle="1" w:styleId="85CB8FB2F13F4CE0A1A24018BDBCA3E5">
    <w:name w:val="85CB8FB2F13F4CE0A1A24018BDBCA3E5"/>
  </w:style>
  <w:style w:type="paragraph" w:customStyle="1" w:styleId="380327E93D3C431490A7FFCBE2D2EA19">
    <w:name w:val="380327E93D3C431490A7FFCBE2D2EA19"/>
  </w:style>
  <w:style w:type="paragraph" w:customStyle="1" w:styleId="ECABBA263F9E4769989F3FC3BB00393E">
    <w:name w:val="ECABBA263F9E4769989F3FC3BB00393E"/>
  </w:style>
  <w:style w:type="paragraph" w:customStyle="1" w:styleId="18BD28272B8B42479CFA37151DDB987A">
    <w:name w:val="18BD28272B8B42479CFA37151DDB987A"/>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6728733755D049269F15C60018B83878">
    <w:name w:val="6728733755D049269F15C60018B83878"/>
  </w:style>
  <w:style w:type="paragraph" w:customStyle="1" w:styleId="F716E52EA7CB437FBB1D4F819F7FA36E">
    <w:name w:val="F716E52EA7CB437FBB1D4F819F7FA36E"/>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6097F035730743B597714FB88EEC7FC8">
    <w:name w:val="6097F035730743B597714FB88EEC7FC8"/>
  </w:style>
  <w:style w:type="paragraph" w:customStyle="1" w:styleId="FEF4FE897490433DBCEA6E30211A972B">
    <w:name w:val="FEF4FE897490433DBCEA6E30211A972B"/>
  </w:style>
  <w:style w:type="paragraph" w:customStyle="1" w:styleId="0B065EC1A62D4F17A9A17BB0153BEE44">
    <w:name w:val="0B065EC1A62D4F17A9A17BB0153BEE44"/>
  </w:style>
  <w:style w:type="paragraph" w:customStyle="1" w:styleId="3740F08CC45944859B666DF938E2D8C7">
    <w:name w:val="3740F08CC45944859B666DF938E2D8C7"/>
  </w:style>
  <w:style w:type="paragraph" w:customStyle="1" w:styleId="111CDD2973384D6EBD351879198B138C">
    <w:name w:val="111CDD2973384D6EBD351879198B138C"/>
  </w:style>
  <w:style w:type="paragraph" w:customStyle="1" w:styleId="484BF788CBF740278F81ADECE61B614D">
    <w:name w:val="484BF788CBF740278F81ADECE61B614D"/>
  </w:style>
  <w:style w:type="paragraph" w:customStyle="1" w:styleId="E44C747DAE2946CEBF20A57845BDD335">
    <w:name w:val="E44C747DAE2946CEBF20A57845BDD335"/>
  </w:style>
  <w:style w:type="paragraph" w:customStyle="1" w:styleId="2AB8C434B8E94E219C74A09F3EA7C4B8">
    <w:name w:val="2AB8C434B8E94E219C74A09F3EA7C4B8"/>
  </w:style>
  <w:style w:type="character" w:styleId="Hyperlink">
    <w:name w:val="Hyperlink"/>
    <w:basedOn w:val="DefaultParagraphFont"/>
    <w:uiPriority w:val="99"/>
    <w:unhideWhenUsed/>
    <w:rPr>
      <w:color w:val="467886" w:themeColor="hyperlink"/>
      <w:u w:val="single"/>
    </w:rPr>
  </w:style>
  <w:style w:type="paragraph" w:customStyle="1" w:styleId="E3C9351232BB496A84A5C5BDDA5EB5FE">
    <w:name w:val="E3C9351232BB496A84A5C5BDDA5EB5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5</Pages>
  <Words>1115</Words>
  <Characters>5545</Characters>
  <Application>Microsoft Office Word</Application>
  <DocSecurity>0</DocSecurity>
  <Lines>123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2026-04-27T00:20:00Z</dcterms:created>
  <dcterms:modified xsi:type="dcterms:W3CDTF">2026-04-27T00:38:00Z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