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455F9" w14:textId="25B83BFF" w:rsidR="00A417C1" w:rsidRPr="00854FAD" w:rsidRDefault="005F0587" w:rsidP="001E14BE">
      <w:pPr>
        <w:pStyle w:val="SectionTitle"/>
        <w:jc w:val="left"/>
        <w:rPr>
          <w:rFonts w:ascii="Times New Roman" w:hAnsi="Times New Roman" w:cs="Times New Roman"/>
          <w:sz w:val="24"/>
        </w:rPr>
      </w:pPr>
      <w:r w:rsidRPr="005F0587">
        <w:rPr>
          <w:rFonts w:ascii="Times New Roman" w:hAnsi="Times New Roman" w:cs="Times New Roman"/>
          <w:bCs/>
          <w:sz w:val="24"/>
        </w:rPr>
        <w:t>The Economic Rollercoaster of Latin America</w:t>
      </w:r>
    </w:p>
    <w:p w14:paraId="56266428" w14:textId="3D617AE5" w:rsidR="00F57801" w:rsidRPr="00854FAD" w:rsidRDefault="002F0D41" w:rsidP="00F57801">
      <w:pPr>
        <w:rPr>
          <w:rFonts w:ascii="Times New Roman" w:hAnsi="Times New Roman" w:cs="Times New Roman"/>
          <w:sz w:val="24"/>
        </w:rPr>
      </w:pPr>
      <w:r w:rsidRPr="002F0D41">
        <w:rPr>
          <w:rFonts w:ascii="Times New Roman" w:hAnsi="Times New Roman" w:cs="Times New Roman"/>
          <w:sz w:val="24"/>
        </w:rPr>
        <w:t xml:space="preserve">Latin America's economic story is one of repeated reinvention, each chapter shaped by the one before it. For most of its post-colonial history, the region functioned as a supplier of raw materials to wealthier nations. Countries built their economies around a handful of exports — coffee in Brazil, copper in Chile, tin in Bolivia, sugar across the Caribbean. When global prices were high, money flowed. When prices collapsed, so did livelihoods. </w:t>
      </w:r>
      <w:r w:rsidR="00314420" w:rsidRPr="00314420">
        <w:rPr>
          <w:rFonts w:ascii="Times New Roman" w:hAnsi="Times New Roman" w:cs="Times New Roman"/>
          <w:sz w:val="24"/>
        </w:rPr>
        <w:t>This boom-and-bust cycle left governments unable to plan long-term and kept wealth concentrated among a small elite.</w:t>
      </w:r>
    </w:p>
    <w:p w14:paraId="73B3FE4B" w14:textId="68AE6F76" w:rsidR="00F57801" w:rsidRPr="00854FAD" w:rsidRDefault="00D15608" w:rsidP="00F57801">
      <w:pPr>
        <w:rPr>
          <w:rFonts w:ascii="Times New Roman" w:hAnsi="Times New Roman" w:cs="Times New Roman"/>
          <w:sz w:val="24"/>
        </w:rPr>
      </w:pPr>
      <w:r w:rsidRPr="00D15608">
        <w:rPr>
          <w:rFonts w:ascii="Times New Roman" w:hAnsi="Times New Roman" w:cs="Times New Roman"/>
          <w:sz w:val="24"/>
        </w:rPr>
        <w:t xml:space="preserve">By the mid-twentieth century, leaders across the region turned to import substitution industrialization — building domestic factories behind walls of protective tariffs rather than continuing to rely on foreign goods. Brazil and Mexico invested heavily in automobile manufacturing and steel production, while Argentina built up its textile sector. For a time, urban employment rose and a manufacturing base took shape. But shielded from competition, many industries grew inefficient, products cost more than their foreign counterparts, and governments went deep into debt financing state-owned enterprises that could not sustain themselves. That debt came due in the 1980s. Interest rates climbed globally, commodity prices tanked, and Mexico's </w:t>
      </w:r>
      <w:proofErr w:type="gramStart"/>
      <w:r w:rsidRPr="00D15608">
        <w:rPr>
          <w:rFonts w:ascii="Times New Roman" w:hAnsi="Times New Roman" w:cs="Times New Roman"/>
          <w:sz w:val="24"/>
        </w:rPr>
        <w:t>near-default</w:t>
      </w:r>
      <w:proofErr w:type="gramEnd"/>
      <w:r w:rsidRPr="00D15608">
        <w:rPr>
          <w:rFonts w:ascii="Times New Roman" w:hAnsi="Times New Roman" w:cs="Times New Roman"/>
          <w:sz w:val="24"/>
        </w:rPr>
        <w:t xml:space="preserve"> in 1982 sent shockwaves through the international financial system. The International Monetary Fund offered rescue packages, but with severe conditions: governments had to slash public spending, sell off state enterprises, and open borders to foreign goods. Budgets stabilized on paper, but hospitals lost funding, schools deteriorated, and the poorest citizens bore the heaviest burden.</w:t>
      </w:r>
    </w:p>
    <w:p w14:paraId="506EFB1F" w14:textId="5DCE8843" w:rsidR="00F57801" w:rsidRPr="00854FAD" w:rsidRDefault="00D15608" w:rsidP="00F57801">
      <w:pPr>
        <w:rPr>
          <w:rFonts w:ascii="Times New Roman" w:hAnsi="Times New Roman" w:cs="Times New Roman"/>
          <w:sz w:val="24"/>
        </w:rPr>
      </w:pPr>
      <w:r w:rsidRPr="00D15608">
        <w:rPr>
          <w:rFonts w:ascii="Times New Roman" w:hAnsi="Times New Roman" w:cs="Times New Roman"/>
          <w:sz w:val="24"/>
        </w:rPr>
        <w:t xml:space="preserve">Free trade agreements represented the next pivot. When NAFTA took effect in 1994, it promised to integrate Mexico's economy with those of the United States and Canada. Foreign </w:t>
      </w:r>
      <w:r w:rsidRPr="00D15608">
        <w:rPr>
          <w:rFonts w:ascii="Times New Roman" w:hAnsi="Times New Roman" w:cs="Times New Roman"/>
          <w:sz w:val="24"/>
        </w:rPr>
        <w:lastRenderedPageBreak/>
        <w:t>capital poured into Mexican border cities, where maquiladora assembly plants employed hundreds of thousands. Yet the agreement also opened Mexico's agricultural market to heavily subsidized American corn, and small-scale Mexican farmers, unable to compete, abandoned their land in massive numbers — many heading north as part of the migration flows that continue to define U.S.-Mexico relations. What emerges from this history is a pattern of external forces shaping internal outcomes, whether through commodity markets, international lenders, or trade agreements drafted abroad (Marston et al., 2016).</w:t>
      </w:r>
    </w:p>
    <w:p w14:paraId="2723E05E" w14:textId="7C942BE7" w:rsidR="00A417C1" w:rsidRPr="00854FAD" w:rsidRDefault="001E14BE" w:rsidP="001E14BE">
      <w:pPr>
        <w:pStyle w:val="Heading1"/>
        <w:jc w:val="left"/>
        <w:rPr>
          <w:rFonts w:ascii="Times New Roman" w:eastAsia="Calibri" w:hAnsi="Times New Roman" w:cs="Times New Roman"/>
          <w:sz w:val="24"/>
        </w:rPr>
      </w:pPr>
      <w:r w:rsidRPr="00854FAD">
        <w:rPr>
          <w:rFonts w:ascii="Times New Roman" w:hAnsi="Times New Roman" w:cs="Times New Roman"/>
          <w:sz w:val="24"/>
        </w:rPr>
        <w:t>Rising Temperatures, Rising Stakes: Climate Change in China and Japan</w:t>
      </w:r>
    </w:p>
    <w:p w14:paraId="69CB5C94" w14:textId="17EFC22F" w:rsidR="00A80767" w:rsidRPr="00854FAD" w:rsidRDefault="0081664F" w:rsidP="00EC61DC">
      <w:pPr>
        <w:rPr>
          <w:rFonts w:ascii="Times New Roman" w:hAnsi="Times New Roman" w:cs="Times New Roman"/>
          <w:sz w:val="24"/>
        </w:rPr>
      </w:pPr>
      <w:r w:rsidRPr="0081664F">
        <w:rPr>
          <w:rFonts w:ascii="Times New Roman" w:hAnsi="Times New Roman" w:cs="Times New Roman"/>
          <w:sz w:val="24"/>
        </w:rPr>
        <w:t>China's transformation from an agrarian society to the world's manufacturing powerhouse happened in roughly three decades. The speed left little room for environmental caution. Coal-fired power plants multiplied, and by the early 2000s, a thick blanket of smog — part of what scientists call the Asian Brown Cloud — had become a defining feature of cities like Beijing. Beyond respiratory illness, this haze alters regional rainfall patterns, reduces sunlight reaching crops, and deposits pollutants across the continent.</w:t>
      </w:r>
    </w:p>
    <w:p w14:paraId="62418D24" w14:textId="00AFB768" w:rsidR="00A80767" w:rsidRPr="00854FAD" w:rsidRDefault="000A7D46" w:rsidP="00EC61DC">
      <w:pPr>
        <w:rPr>
          <w:rFonts w:ascii="Times New Roman" w:hAnsi="Times New Roman" w:cs="Times New Roman"/>
          <w:sz w:val="24"/>
        </w:rPr>
      </w:pPr>
      <w:r w:rsidRPr="000A7D46">
        <w:rPr>
          <w:rFonts w:ascii="Times New Roman" w:hAnsi="Times New Roman" w:cs="Times New Roman"/>
          <w:sz w:val="24"/>
        </w:rPr>
        <w:t xml:space="preserve">Farther west, the glaciers of the Tibetan Plateau feed some of Asia's most important rivers — the Yangtze, the Yellow, the Mekong. As temperatures climb, these glaciers are shrinking. In the near term, that means heavier spring meltwater and increased flood risk; over the longer horizon, it means less water during the dry months when it is needed most. Along the coast, megacities like Shanghai and Guangzhou face sea-level rise compounded by land subsidence from groundwater extraction, while typhoons fueled by warmer oceans arrive with greater intensity. </w:t>
      </w:r>
      <w:r w:rsidR="00780C32" w:rsidRPr="00780C32">
        <w:rPr>
          <w:rFonts w:ascii="Times New Roman" w:hAnsi="Times New Roman" w:cs="Times New Roman"/>
          <w:sz w:val="24"/>
        </w:rPr>
        <w:t>China now leads the world in solar and wind energy investment, though whether that pivot can outpace the damage already set in motion remains unclear.</w:t>
      </w:r>
    </w:p>
    <w:p w14:paraId="7499F8C9" w14:textId="72695344" w:rsidR="00BC051B" w:rsidRPr="00854FAD" w:rsidRDefault="000A7D46" w:rsidP="00EC61DC">
      <w:pPr>
        <w:rPr>
          <w:rFonts w:ascii="Times New Roman" w:hAnsi="Times New Roman" w:cs="Times New Roman"/>
          <w:sz w:val="24"/>
        </w:rPr>
      </w:pPr>
      <w:r w:rsidRPr="000A7D46">
        <w:rPr>
          <w:rFonts w:ascii="Times New Roman" w:hAnsi="Times New Roman" w:cs="Times New Roman"/>
          <w:sz w:val="24"/>
        </w:rPr>
        <w:lastRenderedPageBreak/>
        <w:t xml:space="preserve">Japan's climate challenge is shaped less by what it has emitted and more by where it sits. </w:t>
      </w:r>
      <w:r w:rsidR="006475C8" w:rsidRPr="006475C8">
        <w:rPr>
          <w:rFonts w:ascii="Times New Roman" w:hAnsi="Times New Roman" w:cs="Times New Roman"/>
          <w:sz w:val="24"/>
        </w:rPr>
        <w:t>That geographic reality collided with climate concerns in 2011, when the Fukushima Daiichi nuclear meltdown forced Japan to shut down most of its reactors and rethink its lower-carbon energy strategy (Marston et al., 2016).</w:t>
      </w:r>
      <w:r w:rsidRPr="000A7D46">
        <w:rPr>
          <w:rFonts w:ascii="Times New Roman" w:hAnsi="Times New Roman" w:cs="Times New Roman"/>
          <w:sz w:val="24"/>
        </w:rPr>
        <w:t>Beyond that crisis, warming ocean waters are shifting fish populations — a serious concern for a culture deeply tied to seafood — and typhoon seasons have grown more erratic. With roughly three-quarters of Japan's terrain mountainous, the narrow coastal plains where most people live offer little buffer against rising seas. Together, China and Japan illustrate two faces of the same problem: China must manage consequences of its own rapid development, while Japan confronts geographic vulnerability to forces it did not generate but cannot escape.</w:t>
      </w:r>
    </w:p>
    <w:p w14:paraId="52B41DA9" w14:textId="2D7C3C23" w:rsidR="00BC051B" w:rsidRPr="00854FAD" w:rsidRDefault="00854FAD" w:rsidP="00A2316E">
      <w:pPr>
        <w:pStyle w:val="Heading1"/>
        <w:jc w:val="left"/>
        <w:rPr>
          <w:rFonts w:ascii="Times New Roman" w:eastAsia="Calibri" w:hAnsi="Times New Roman" w:cs="Times New Roman"/>
          <w:sz w:val="24"/>
        </w:rPr>
      </w:pPr>
      <w:r w:rsidRPr="00854FAD">
        <w:rPr>
          <w:rFonts w:ascii="Times New Roman" w:hAnsi="Times New Roman" w:cs="Times New Roman"/>
          <w:sz w:val="24"/>
        </w:rPr>
        <w:t>Two Countries, Two Histories: Indigenous Rights in New Zealand and Australia</w:t>
      </w:r>
    </w:p>
    <w:p w14:paraId="0C0932B6" w14:textId="623F0EFB" w:rsidR="00472D26" w:rsidRPr="00854FAD" w:rsidRDefault="003747E7" w:rsidP="00472D26">
      <w:pPr>
        <w:rPr>
          <w:rFonts w:ascii="Times New Roman" w:hAnsi="Times New Roman" w:cs="Times New Roman"/>
          <w:sz w:val="24"/>
        </w:rPr>
      </w:pPr>
      <w:r w:rsidRPr="003747E7">
        <w:rPr>
          <w:rFonts w:ascii="Times New Roman" w:hAnsi="Times New Roman" w:cs="Times New Roman"/>
          <w:sz w:val="24"/>
        </w:rPr>
        <w:t xml:space="preserve">New Zealand and Australia share much in common — English-speaking, Southern Hemisphere, former British colonies — but their treatment of Indigenous peoples has followed strikingly different paths. New Zealand's relationship with its Māori population is anchored by the Treaty of Waitangi, signed in 1840 between Māori chiefs and the British Crown. The treaty was far from perfect, and colonial governments violated its terms for well over a century through land confiscation and cultural suppression. But it survived as a point of reference, and beginning in the 1970s, Māori activists demanded the government honor it. The Waitangi Tribunal, established in 1975, investigates historical grievances and recommends redress. Numerous </w:t>
      </w:r>
      <w:proofErr w:type="gramStart"/>
      <w:r w:rsidRPr="003747E7">
        <w:rPr>
          <w:rFonts w:ascii="Times New Roman" w:hAnsi="Times New Roman" w:cs="Times New Roman"/>
          <w:sz w:val="24"/>
        </w:rPr>
        <w:t>iwi</w:t>
      </w:r>
      <w:proofErr w:type="gramEnd"/>
      <w:r w:rsidRPr="003747E7">
        <w:rPr>
          <w:rFonts w:ascii="Times New Roman" w:hAnsi="Times New Roman" w:cs="Times New Roman"/>
          <w:sz w:val="24"/>
        </w:rPr>
        <w:t xml:space="preserve"> have negotiated settlements involving land, financial compensation, and formal apologies. The Māori language is now one of New Zealand's official languages, Māori cultural practices are embedded in national identity — the haka performed by the All Blacks is recognized worldwide — and designated Māori seats in Parliament ensure political representation few Indigenous </w:t>
      </w:r>
      <w:r w:rsidRPr="003747E7">
        <w:rPr>
          <w:rFonts w:ascii="Times New Roman" w:hAnsi="Times New Roman" w:cs="Times New Roman"/>
          <w:sz w:val="24"/>
        </w:rPr>
        <w:lastRenderedPageBreak/>
        <w:t>populations elsewhere enjoy (Marston et al., 2016, pp. 451–452). Challenges remain — higher rates of poverty, incarceration, and health problems persist — but the institutional scaffolding for addressing those gaps exists.</w:t>
      </w:r>
    </w:p>
    <w:p w14:paraId="086CF27F" w14:textId="2A877DCB" w:rsidR="00AF338E" w:rsidRPr="00854FAD" w:rsidRDefault="003747E7" w:rsidP="00472D26">
      <w:pPr>
        <w:rPr>
          <w:rFonts w:ascii="Times New Roman" w:hAnsi="Times New Roman" w:cs="Times New Roman"/>
          <w:sz w:val="24"/>
        </w:rPr>
      </w:pPr>
      <w:r w:rsidRPr="003747E7">
        <w:rPr>
          <w:rFonts w:ascii="Times New Roman" w:hAnsi="Times New Roman" w:cs="Times New Roman"/>
          <w:sz w:val="24"/>
        </w:rPr>
        <w:t>Australia's story starts from a fundamentally different legal premise. When the British arrived in 1788, they declared the continent terra nullius — land belonging to no one. No treaty was negotiated. Aboriginal Australians and Torres Strait Islanders, whose presence stretches back at least 50,000 years, were simply written out of the legal picture. The most notorious policy was the systematic removal of Aboriginal children from their families — the Stolen Generations — spanning roughly the 1890s through the 1970s, with the explicit goal of erasing Aboriginal culture. A formal national apology was not issued until 2008 under Prime Minister Kevin Rudd. The landmark 1992 Mabo decision overturned terra nullius and recognized native title under certain conditions, but in practice, proving continuous connection to land is difficult and expensive. Aboriginal Australians remain among the most disadvantaged people in the developed world by nearly every measure.</w:t>
      </w:r>
    </w:p>
    <w:p w14:paraId="0E4BCD38" w14:textId="2918D603" w:rsidR="00472D26" w:rsidRPr="00854FAD" w:rsidRDefault="00A72160" w:rsidP="00472D26">
      <w:pPr>
        <w:rPr>
          <w:rFonts w:ascii="Times New Roman" w:hAnsi="Times New Roman" w:cs="Times New Roman"/>
          <w:sz w:val="24"/>
        </w:rPr>
      </w:pPr>
      <w:r w:rsidRPr="00A72160">
        <w:rPr>
          <w:rFonts w:ascii="Times New Roman" w:hAnsi="Times New Roman" w:cs="Times New Roman"/>
          <w:sz w:val="24"/>
        </w:rPr>
        <w:t>The contrast comes down to foundations. New Zealand had a flawed but real treaty that Indigenous advocates could invoke and courts could interpret. Australia had terra nullius — a legal fiction that denied Indigenous existence. From those different starting points, different institutions and different outcomes have followed. Neither nation has fully resolved the legacies of colonialism, but New Zealand's bicultural framework offers something Australia is still searching for: a shared language for talking about what is owed and to whom.</w:t>
      </w:r>
    </w:p>
    <w:p w14:paraId="0D9FBE0B" w14:textId="77777777" w:rsidR="00A417C1" w:rsidRPr="00854FAD" w:rsidRDefault="00000000"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0B065EC1A62D4F17A9A17BB0153BEE44"/>
          </w:placeholder>
          <w:temporary/>
          <w:showingPlcHdr/>
          <w15:appearance w15:val="hidden"/>
        </w:sdtPr>
        <w:sdtContent>
          <w:r w:rsidR="00664C1A" w:rsidRPr="00854FAD">
            <w:rPr>
              <w:rFonts w:ascii="Times New Roman" w:hAnsi="Times New Roman" w:cs="Times New Roman"/>
              <w:sz w:val="24"/>
            </w:rPr>
            <w:t>References</w:t>
          </w:r>
        </w:sdtContent>
      </w:sdt>
    </w:p>
    <w:p w14:paraId="444A68EA" w14:textId="3F373EE6" w:rsidR="00A417C1" w:rsidRPr="00854FAD" w:rsidRDefault="009426D6" w:rsidP="00664C1A">
      <w:pPr>
        <w:pStyle w:val="Bibliography"/>
        <w:rPr>
          <w:rFonts w:ascii="Times New Roman" w:hAnsi="Times New Roman" w:cs="Times New Roman"/>
          <w:noProof/>
          <w:sz w:val="24"/>
        </w:rPr>
      </w:pPr>
      <w:r w:rsidRPr="00854FAD">
        <w:rPr>
          <w:rFonts w:ascii="Times New Roman" w:hAnsi="Times New Roman" w:cs="Times New Roman"/>
          <w:noProof/>
          <w:sz w:val="24"/>
        </w:rPr>
        <w:t xml:space="preserve">Marston, S. A., Knox, P. L., Liverman, D. M., Del Casino, V., &amp; Robbins, P. F. (2016). World regions in global context: Peoples, places, and environments (6th ed.). Pearson Education. </w:t>
      </w:r>
      <w:hyperlink r:id="rId10" w:tgtFrame="_blank" w:history="1">
        <w:r w:rsidR="002576E0" w:rsidRPr="00854FAD">
          <w:rPr>
            <w:rStyle w:val="Hyperlink"/>
            <w:rFonts w:ascii="Times New Roman" w:hAnsi="Times New Roman" w:cs="Times New Roman"/>
            <w:noProof/>
            <w:sz w:val="24"/>
          </w:rPr>
          <w:t>https://online.vitalsource.com/books/9780134262888</w:t>
        </w:r>
      </w:hyperlink>
    </w:p>
    <w:sectPr w:rsidR="00A417C1" w:rsidRPr="00854FAD" w:rsidSect="0034284D">
      <w:headerReference w:type="first" r:id="rId11"/>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6F1A2" w14:textId="77777777" w:rsidR="00E237EE" w:rsidRDefault="00E237EE">
      <w:pPr>
        <w:spacing w:line="240" w:lineRule="auto"/>
      </w:pPr>
      <w:r>
        <w:separator/>
      </w:r>
    </w:p>
    <w:p w14:paraId="1AB0BF87" w14:textId="77777777" w:rsidR="00E237EE" w:rsidRDefault="00E237EE"/>
  </w:endnote>
  <w:endnote w:type="continuationSeparator" w:id="0">
    <w:p w14:paraId="4C50EBB2" w14:textId="77777777" w:rsidR="00E237EE" w:rsidRDefault="00E237EE">
      <w:pPr>
        <w:spacing w:line="240" w:lineRule="auto"/>
      </w:pPr>
      <w:r>
        <w:continuationSeparator/>
      </w:r>
    </w:p>
    <w:p w14:paraId="576EE235" w14:textId="77777777" w:rsidR="00E237EE" w:rsidRDefault="00E237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0B371" w14:textId="77777777" w:rsidR="00E237EE" w:rsidRDefault="00E237EE">
      <w:pPr>
        <w:spacing w:line="240" w:lineRule="auto"/>
      </w:pPr>
      <w:r>
        <w:separator/>
      </w:r>
    </w:p>
    <w:p w14:paraId="0D60E446" w14:textId="77777777" w:rsidR="00E237EE" w:rsidRDefault="00E237EE"/>
  </w:footnote>
  <w:footnote w:type="continuationSeparator" w:id="0">
    <w:p w14:paraId="0A3F9D27" w14:textId="77777777" w:rsidR="00E237EE" w:rsidRDefault="00E237EE">
      <w:pPr>
        <w:spacing w:line="240" w:lineRule="auto"/>
      </w:pPr>
      <w:r>
        <w:continuationSeparator/>
      </w:r>
    </w:p>
    <w:p w14:paraId="457CA235" w14:textId="77777777" w:rsidR="00E237EE" w:rsidRDefault="00E237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525E" w14:textId="435B2749" w:rsidR="3E192C66" w:rsidRDefault="00E231A6" w:rsidP="00E231A6">
    <w:pPr>
      <w:pStyle w:val="Header"/>
      <w:rPr>
        <w:rFonts w:ascii="Times New Roman" w:hAnsi="Times New Roman" w:cs="Times New Roman"/>
        <w:sz w:val="24"/>
      </w:rPr>
    </w:pPr>
    <w:r>
      <w:rPr>
        <w:rFonts w:ascii="Times New Roman" w:hAnsi="Times New Roman" w:cs="Times New Roman"/>
        <w:sz w:val="24"/>
      </w:rPr>
      <w:t>Javier Silva</w:t>
    </w:r>
    <w:r w:rsidRPr="00E231A6">
      <w:rPr>
        <w:rFonts w:ascii="Times New Roman" w:hAnsi="Times New Roman" w:cs="Times New Roman"/>
        <w:sz w:val="24"/>
      </w:rPr>
      <w:br/>
    </w:r>
    <w:r w:rsidR="00170511" w:rsidRPr="00170511">
      <w:rPr>
        <w:rFonts w:ascii="Times New Roman" w:hAnsi="Times New Roman" w:cs="Times New Roman"/>
        <w:sz w:val="24"/>
      </w:rPr>
      <w:t>M171117C9I</w:t>
    </w:r>
    <w:r w:rsidRPr="00E231A6">
      <w:rPr>
        <w:rFonts w:ascii="Times New Roman" w:hAnsi="Times New Roman" w:cs="Times New Roman"/>
        <w:sz w:val="24"/>
      </w:rPr>
      <w:br/>
      <w:t>GE350</w:t>
    </w:r>
    <w:r w:rsidR="008B187E">
      <w:rPr>
        <w:rFonts w:ascii="Times New Roman" w:hAnsi="Times New Roman" w:cs="Times New Roman"/>
        <w:sz w:val="24"/>
      </w:rPr>
      <w:t xml:space="preserve"> </w:t>
    </w:r>
    <w:r w:rsidRPr="00E231A6">
      <w:rPr>
        <w:rFonts w:ascii="Times New Roman" w:hAnsi="Times New Roman" w:cs="Times New Roman"/>
        <w:sz w:val="24"/>
      </w:rPr>
      <w:t>World</w:t>
    </w:r>
    <w:r w:rsidR="008B187E">
      <w:rPr>
        <w:rFonts w:ascii="Times New Roman" w:hAnsi="Times New Roman" w:cs="Times New Roman"/>
        <w:sz w:val="24"/>
      </w:rPr>
      <w:t xml:space="preserve"> </w:t>
    </w:r>
    <w:r w:rsidRPr="00E231A6">
      <w:rPr>
        <w:rFonts w:ascii="Times New Roman" w:hAnsi="Times New Roman" w:cs="Times New Roman"/>
        <w:sz w:val="24"/>
      </w:rPr>
      <w:t>Geography</w:t>
    </w:r>
    <w:r w:rsidRPr="00E231A6">
      <w:rPr>
        <w:rFonts w:ascii="Times New Roman" w:hAnsi="Times New Roman" w:cs="Times New Roman"/>
        <w:sz w:val="24"/>
      </w:rPr>
      <w:br/>
      <w:t>Assignment</w:t>
    </w:r>
    <w:r w:rsidR="008B187E">
      <w:rPr>
        <w:rFonts w:ascii="Times New Roman" w:hAnsi="Times New Roman" w:cs="Times New Roman"/>
        <w:sz w:val="24"/>
      </w:rPr>
      <w:t xml:space="preserve"> </w:t>
    </w:r>
    <w:r w:rsidRPr="00E231A6">
      <w:rPr>
        <w:rFonts w:ascii="Times New Roman" w:hAnsi="Times New Roman" w:cs="Times New Roman"/>
        <w:sz w:val="24"/>
      </w:rPr>
      <w:t>0</w:t>
    </w:r>
    <w:r w:rsidR="00DB520E">
      <w:rPr>
        <w:rFonts w:ascii="Times New Roman" w:hAnsi="Times New Roman" w:cs="Times New Roman"/>
        <w:sz w:val="24"/>
      </w:rPr>
      <w:t>8</w:t>
    </w:r>
    <w:r w:rsidR="008B187E">
      <w:rPr>
        <w:rFonts w:ascii="Times New Roman" w:hAnsi="Times New Roman" w:cs="Times New Roman"/>
        <w:sz w:val="24"/>
      </w:rPr>
      <w:t xml:space="preserve"> </w:t>
    </w:r>
    <w:r w:rsidRPr="00E231A6">
      <w:rPr>
        <w:rFonts w:ascii="Times New Roman" w:hAnsi="Times New Roman" w:cs="Times New Roman"/>
        <w:sz w:val="24"/>
      </w:rPr>
      <w:t>—</w:t>
    </w:r>
    <w:r w:rsidR="008B187E">
      <w:rPr>
        <w:rFonts w:ascii="Times New Roman" w:hAnsi="Times New Roman" w:cs="Times New Roman"/>
        <w:sz w:val="24"/>
      </w:rPr>
      <w:t xml:space="preserve"> </w:t>
    </w:r>
    <w:r w:rsidR="00AA273A" w:rsidRPr="00AA273A">
      <w:rPr>
        <w:rFonts w:ascii="Times New Roman" w:hAnsi="Times New Roman" w:cs="Times New Roman"/>
        <w:sz w:val="24"/>
      </w:rPr>
      <w:t>The Shifting Economic Foundations</w:t>
    </w:r>
    <w:r w:rsidRPr="00E231A6">
      <w:rPr>
        <w:rFonts w:ascii="Times New Roman" w:hAnsi="Times New Roman" w:cs="Times New Roman"/>
        <w:sz w:val="24"/>
      </w:rPr>
      <w:br/>
      <w:t>Date</w:t>
    </w:r>
    <w:r w:rsidR="00E17EE9">
      <w:rPr>
        <w:rFonts w:ascii="Times New Roman" w:hAnsi="Times New Roman" w:cs="Times New Roman"/>
        <w:sz w:val="24"/>
      </w:rPr>
      <w:t xml:space="preserve"> </w:t>
    </w:r>
    <w:r w:rsidRPr="00E231A6">
      <w:rPr>
        <w:rFonts w:ascii="Times New Roman" w:hAnsi="Times New Roman" w:cs="Times New Roman"/>
        <w:sz w:val="24"/>
      </w:rPr>
      <w:t>of</w:t>
    </w:r>
    <w:r w:rsidR="00E17EE9">
      <w:rPr>
        <w:rFonts w:ascii="Times New Roman" w:hAnsi="Times New Roman" w:cs="Times New Roman"/>
        <w:sz w:val="24"/>
      </w:rPr>
      <w:t xml:space="preserve"> </w:t>
    </w:r>
    <w:r w:rsidRPr="00E231A6">
      <w:rPr>
        <w:rFonts w:ascii="Times New Roman" w:hAnsi="Times New Roman" w:cs="Times New Roman"/>
        <w:sz w:val="24"/>
      </w:rPr>
      <w:t>Submission:</w:t>
    </w:r>
    <w:r w:rsidR="00E17EE9">
      <w:rPr>
        <w:rFonts w:ascii="Times New Roman" w:hAnsi="Times New Roman" w:cs="Times New Roman"/>
        <w:sz w:val="24"/>
      </w:rPr>
      <w:t xml:space="preserve"> </w:t>
    </w:r>
    <w:r w:rsidRPr="00E231A6">
      <w:rPr>
        <w:rFonts w:ascii="Times New Roman" w:hAnsi="Times New Roman" w:cs="Times New Roman"/>
        <w:sz w:val="24"/>
      </w:rPr>
      <w:t>April</w:t>
    </w:r>
    <w:r w:rsidR="00E17EE9">
      <w:rPr>
        <w:rFonts w:ascii="Times New Roman" w:hAnsi="Times New Roman" w:cs="Times New Roman"/>
        <w:sz w:val="24"/>
      </w:rPr>
      <w:t xml:space="preserve"> </w:t>
    </w:r>
    <w:r w:rsidRPr="00E231A6">
      <w:rPr>
        <w:rFonts w:ascii="Times New Roman" w:hAnsi="Times New Roman" w:cs="Times New Roman"/>
        <w:sz w:val="24"/>
      </w:rPr>
      <w:t>26,</w:t>
    </w:r>
    <w:r w:rsidR="00E17EE9">
      <w:rPr>
        <w:rFonts w:ascii="Times New Roman" w:hAnsi="Times New Roman" w:cs="Times New Roman"/>
        <w:sz w:val="24"/>
      </w:rPr>
      <w:t xml:space="preserve"> </w:t>
    </w:r>
    <w:r w:rsidRPr="00E231A6">
      <w:rPr>
        <w:rFonts w:ascii="Times New Roman" w:hAnsi="Times New Roman" w:cs="Times New Roman"/>
        <w:sz w:val="24"/>
      </w:rPr>
      <w:t>2026</w:t>
    </w:r>
  </w:p>
  <w:p w14:paraId="1B7EC734" w14:textId="77777777" w:rsidR="002576E0" w:rsidRPr="00E231A6" w:rsidRDefault="002576E0" w:rsidP="00E231A6">
    <w:pPr>
      <w:pStyle w:val="Header"/>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1A6"/>
    <w:rsid w:val="00023AFE"/>
    <w:rsid w:val="000537AC"/>
    <w:rsid w:val="000A3D9B"/>
    <w:rsid w:val="000A7D46"/>
    <w:rsid w:val="000D4642"/>
    <w:rsid w:val="000D539D"/>
    <w:rsid w:val="00116273"/>
    <w:rsid w:val="00131CF0"/>
    <w:rsid w:val="00170511"/>
    <w:rsid w:val="001E14BE"/>
    <w:rsid w:val="0024098F"/>
    <w:rsid w:val="002576E0"/>
    <w:rsid w:val="002C79E6"/>
    <w:rsid w:val="002F0D41"/>
    <w:rsid w:val="002F3AE9"/>
    <w:rsid w:val="00314420"/>
    <w:rsid w:val="0034284D"/>
    <w:rsid w:val="003747E7"/>
    <w:rsid w:val="003804CC"/>
    <w:rsid w:val="003A155C"/>
    <w:rsid w:val="00472D26"/>
    <w:rsid w:val="00540A61"/>
    <w:rsid w:val="005C199E"/>
    <w:rsid w:val="005F0587"/>
    <w:rsid w:val="006475C8"/>
    <w:rsid w:val="00664C1A"/>
    <w:rsid w:val="0076136B"/>
    <w:rsid w:val="00780C32"/>
    <w:rsid w:val="0081502B"/>
    <w:rsid w:val="0081664F"/>
    <w:rsid w:val="00854FAD"/>
    <w:rsid w:val="0087407D"/>
    <w:rsid w:val="008B187E"/>
    <w:rsid w:val="009426D6"/>
    <w:rsid w:val="00A064BE"/>
    <w:rsid w:val="00A2316E"/>
    <w:rsid w:val="00A417C1"/>
    <w:rsid w:val="00A72160"/>
    <w:rsid w:val="00A80767"/>
    <w:rsid w:val="00AA273A"/>
    <w:rsid w:val="00AF338E"/>
    <w:rsid w:val="00B83097"/>
    <w:rsid w:val="00B863FB"/>
    <w:rsid w:val="00B86440"/>
    <w:rsid w:val="00BB2D6F"/>
    <w:rsid w:val="00BC051B"/>
    <w:rsid w:val="00BC2B11"/>
    <w:rsid w:val="00C00F8F"/>
    <w:rsid w:val="00C03068"/>
    <w:rsid w:val="00C111CE"/>
    <w:rsid w:val="00C25901"/>
    <w:rsid w:val="00D15608"/>
    <w:rsid w:val="00D20B3A"/>
    <w:rsid w:val="00D620FD"/>
    <w:rsid w:val="00D6307B"/>
    <w:rsid w:val="00D91044"/>
    <w:rsid w:val="00DB520E"/>
    <w:rsid w:val="00DF5FCF"/>
    <w:rsid w:val="00E12A0E"/>
    <w:rsid w:val="00E17EE9"/>
    <w:rsid w:val="00E231A6"/>
    <w:rsid w:val="00E237EE"/>
    <w:rsid w:val="00E67454"/>
    <w:rsid w:val="00EB3FF7"/>
    <w:rsid w:val="00EC61DC"/>
    <w:rsid w:val="00EF55C5"/>
    <w:rsid w:val="00F179CE"/>
    <w:rsid w:val="00F57801"/>
    <w:rsid w:val="00F6242A"/>
    <w:rsid w:val="00FD0666"/>
    <w:rsid w:val="00FE2102"/>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1E86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51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2576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online.vitalsource.com/books/978013426288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vie\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065EC1A62D4F17A9A17BB0153BEE44"/>
        <w:category>
          <w:name w:val="General"/>
          <w:gallery w:val="placeholder"/>
        </w:category>
        <w:types>
          <w:type w:val="bbPlcHdr"/>
        </w:types>
        <w:behaviors>
          <w:behavior w:val="content"/>
        </w:behaviors>
        <w:guid w:val="{7527BE51-193D-40F7-A56F-40040AAB25C0}"/>
      </w:docPartPr>
      <w:docPartBody>
        <w:p w:rsidR="00F96346" w:rsidRDefault="00F96346">
          <w:pPr>
            <w:pStyle w:val="0B065EC1A62D4F17A9A17BB0153BEE44"/>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346"/>
    <w:rsid w:val="002F0CAB"/>
    <w:rsid w:val="003A155C"/>
    <w:rsid w:val="0081502B"/>
    <w:rsid w:val="00914D50"/>
    <w:rsid w:val="00BC2B11"/>
    <w:rsid w:val="00D20B3A"/>
    <w:rsid w:val="00EB4C17"/>
    <w:rsid w:val="00F96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0B065EC1A62D4F17A9A17BB0153BEE44">
    <w:name w:val="0B065EC1A62D4F17A9A17BB0153BEE44"/>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0</TotalTime>
  <Pages>5</Pages>
  <Words>1155</Words>
  <Characters>6786</Characters>
  <Application>Microsoft Office Word</Application>
  <DocSecurity>0</DocSecurity>
  <Lines>92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2026-04-27T20:50:00Z</dcterms:created>
  <dcterms:modified xsi:type="dcterms:W3CDTF">2026-04-28T03:07:00Z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