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pPr>
      <w:r>
        <w:rPr>
          <w:rFonts w:ascii="Times New Roman" w:cs="Times New Roman" w:eastAsia="Times New Roman" w:hAnsi="Times New Roman"/>
          <w:sz w:val="24"/>
          <w:szCs w:val="24"/>
        </w:rPr>
        <w:t xml:space="preserve">Javier Silva</w:t>
      </w:r>
    </w:p>
    <w:p>
      <w:pPr>
        <w:spacing w:after="0" w:before="0" w:line="480"/>
      </w:pPr>
      <w:r>
        <w:rPr>
          <w:rFonts w:ascii="Times New Roman" w:cs="Times New Roman" w:eastAsia="Times New Roman" w:hAnsi="Times New Roman"/>
          <w:sz w:val="24"/>
          <w:szCs w:val="24"/>
        </w:rPr>
        <w:t xml:space="preserve">M171117C9I</w:t>
      </w:r>
    </w:p>
    <w:p>
      <w:pPr>
        <w:spacing w:after="0" w:before="0" w:line="480"/>
      </w:pPr>
      <w:r>
        <w:rPr>
          <w:rFonts w:ascii="Times New Roman" w:cs="Times New Roman" w:eastAsia="Times New Roman" w:hAnsi="Times New Roman"/>
          <w:sz w:val="24"/>
          <w:szCs w:val="24"/>
        </w:rPr>
        <w:t xml:space="preserve">AN310: Cultural Anthropology</w:t>
      </w:r>
    </w:p>
    <w:p>
      <w:pPr>
        <w:spacing w:after="0" w:before="0" w:line="480"/>
      </w:pPr>
      <w:r>
        <w:rPr>
          <w:rFonts w:ascii="Times New Roman" w:cs="Times New Roman" w:eastAsia="Times New Roman" w:hAnsi="Times New Roman"/>
          <w:sz w:val="24"/>
          <w:szCs w:val="24"/>
        </w:rPr>
        <w:t xml:space="preserve">Assignment 4: Seeing Culture Whole: Judgment, Exchange, and the Rules of Kinship</w:t>
      </w:r>
    </w:p>
    <w:p>
      <w:pPr>
        <w:spacing w:after="0" w:before="0" w:line="480"/>
      </w:pPr>
      <w:r>
        <w:rPr>
          <w:rFonts w:ascii="Times New Roman" w:cs="Times New Roman" w:eastAsia="Times New Roman" w:hAnsi="Times New Roman"/>
          <w:sz w:val="24"/>
          <w:szCs w:val="24"/>
        </w:rPr>
        <w:t xml:space="preserve">Date of Submission: </w:t>
      </w:r>
      <w:r>
        <w:rPr>
          <w:rFonts w:ascii="Times New Roman" w:cs="Times New Roman" w:eastAsia="Times New Roman" w:hAnsi="Times New Roman"/>
          <w:sz w:val="24"/>
          <w:szCs w:val="24"/>
          <w:highlight w:val="yellow"/>
          <w:highlightCs w:val="yellow"/>
        </w:rPr>
        <w:t xml:space="preserve">[MM/DD/YYYY]</w:t>
      </w:r>
    </w:p>
    <w:p>
      <w:pPr>
        <w:keepNext/>
        <w:spacing w:after="0" w:before="0" w:line="480"/>
        <w:jc w:val="center"/>
      </w:pPr>
      <w:r>
        <w:rPr>
          <w:rFonts w:ascii="Times New Roman" w:cs="Times New Roman" w:eastAsia="Times New Roman" w:hAnsi="Times New Roman"/>
          <w:b/>
          <w:bCs/>
          <w:sz w:val="24"/>
          <w:szCs w:val="24"/>
        </w:rPr>
        <w:t xml:space="preserve">Standing Outside, Standing Inside: Ethnocentrism and Cultural Relativism</w:t>
      </w:r>
    </w:p>
    <w:p>
      <w:pPr>
        <w:spacing w:after="0" w:before="0" w:line="480"/>
        <w:ind w:firstLine="720"/>
      </w:pPr>
      <w:r>
        <w:rPr>
          <w:rFonts w:ascii="Times New Roman" w:cs="Times New Roman" w:eastAsia="Times New Roman" w:hAnsi="Times New Roman"/>
          <w:sz w:val="24"/>
          <w:szCs w:val="24"/>
        </w:rPr>
        <w:t xml:space="preserve">Every person grows up inside a set of assumptions about what is normal, polite, edible, and moral, and anthropology begins by asking what happens when those assumptions travel. Ethnocentrism is the habit of judging another culture by the standards of one’s own, as though home were the natural yardstick. A traveler who recoils at a dish of fermented fish, or who dismisses a distant society’s marriage customs as backward, is measuring a foreign world with a ruler cut for somewhere else. Cultural relativism is the corrective. It asks the observer to understand a practice through the values and ideas of the people who live it before passing judgment from outside (Miller, 2017). A coming-of-age ritual that looks harsh to a stranger may, read on its own terms, be the moment a community formally recognizes adulthood and its responsibilities.</w:t>
      </w:r>
    </w:p>
    <w:p>
      <w:pPr>
        <w:spacing w:after="0" w:before="0" w:line="480"/>
        <w:ind w:firstLine="720"/>
      </w:pPr>
      <w:r>
        <w:rPr>
          <w:rFonts w:ascii="Times New Roman" w:cs="Times New Roman" w:eastAsia="Times New Roman" w:hAnsi="Times New Roman"/>
          <w:sz w:val="24"/>
          <w:szCs w:val="24"/>
        </w:rPr>
        <w:t xml:space="preserve">Relativism itself comes in two forms, and the difference matters. Absolute cultural relativism holds that outsiders have no standing to question anything inside a culture, since any challenge would be ethnocentrism in disguise. Critical cultural relativism keeps the commitment to understanding but allows anyone, insider or outsider, to ask whether a practice harms particular members of a society. Its premise, drawn from Lévi-Strauss, is that no society is perfect, so every society, including the observer’s own, has something to learn from the others.</w:t>
      </w:r>
    </w:p>
    <w:p>
      <w:pPr>
        <w:spacing w:after="0" w:before="0" w:line="480"/>
        <w:ind w:firstLine="720"/>
      </w:pPr>
      <w:r>
        <w:rPr>
          <w:rFonts w:ascii="Times New Roman" w:cs="Times New Roman" w:eastAsia="Times New Roman" w:hAnsi="Times New Roman"/>
          <w:sz w:val="24"/>
          <w:szCs w:val="24"/>
        </w:rPr>
        <w:t xml:space="preserve">The contrast is ultimately one of direction. Ethnocentrism judges from outside and above. Relativism first listens from the inside. Critical relativism pairs that listening with a willingness to ask hard questions, applied evenly to every culture, so that a person can respect what a ritual means and still ask who bears its costs.</w:t>
      </w:r>
    </w:p>
    <w:p>
      <w:pPr>
        <w:keepNext/>
        <w:spacing w:after="0" w:before="0" w:line="480"/>
        <w:jc w:val="center"/>
      </w:pPr>
      <w:r>
        <w:rPr>
          <w:rFonts w:ascii="Times New Roman" w:cs="Times New Roman" w:eastAsia="Times New Roman" w:hAnsi="Times New Roman"/>
          <w:b/>
          <w:bCs/>
          <w:sz w:val="24"/>
          <w:szCs w:val="24"/>
        </w:rPr>
        <w:t xml:space="preserve">Gifts, Markets, and Obligations: Balanced and Unbalanced Exchange</w:t>
      </w:r>
    </w:p>
    <w:p>
      <w:pPr>
        <w:spacing w:after="0" w:before="0" w:line="480"/>
        <w:ind w:firstLine="720"/>
      </w:pPr>
      <w:r>
        <w:rPr>
          <w:rFonts w:ascii="Times New Roman" w:cs="Times New Roman" w:eastAsia="Times New Roman" w:hAnsi="Times New Roman"/>
          <w:sz w:val="24"/>
          <w:szCs w:val="24"/>
        </w:rPr>
        <w:t xml:space="preserve">Exchange is the transfer of goods or services among people, groups, or institutions, and cultures organize it in two broad ways, depending on whether the values traded are roughly equal and whether a relationship stands behind the trade (Miller, 2017).</w:t>
      </w:r>
    </w:p>
    <w:p>
      <w:pPr>
        <w:spacing w:after="0" w:before="0" w:line="480"/>
        <w:ind w:firstLine="720"/>
      </w:pPr>
      <w:r>
        <w:rPr>
          <w:rFonts w:ascii="Times New Roman" w:cs="Times New Roman" w:eastAsia="Times New Roman" w:hAnsi="Times New Roman"/>
          <w:sz w:val="24"/>
          <w:szCs w:val="24"/>
        </w:rPr>
        <w:t xml:space="preserve">Balanced exchange moves roughly equal value over time between people who are socially connected, and it works to keep that connection alive. Generalized reciprocity involves the least conscious bookkeeping. A forager who shares the day’s kill, or a friend who covers your coffee, expects nothing immediate in return, and the pure gift marks the far end of this range. Expected reciprocity joins people of similar standing who trade comparable value on an agreed schedule; in the Trobriand Kula, shell valuables circulate among trading partners, and a partner who fails to reciprocate puts the relationship itself at risk. Redistribution runs through a center, where goods flow to a person or institution and back out to the group, as in the potlatch of the Pacific Northwest.</w:t>
      </w:r>
    </w:p>
    <w:p>
      <w:pPr>
        <w:spacing w:after="0" w:before="0" w:line="480"/>
        <w:ind w:firstLine="720"/>
      </w:pPr>
      <w:r>
        <w:rPr>
          <w:rFonts w:ascii="Times New Roman" w:cs="Times New Roman" w:eastAsia="Times New Roman" w:hAnsi="Times New Roman"/>
          <w:sz w:val="24"/>
          <w:szCs w:val="24"/>
        </w:rPr>
        <w:t xml:space="preserve">Unbalanced exchange moves unequal value, and no relationship is required. Its dominant form is the market, where commodities are bought and sold under supply and demand and the seller seeks profit, which tends to override social ties. A shopper at a supermarket checkout or an online store owes the seller nothing beyond payment. Gambling, theft, and exploitation belong to this mode as well, because one party gains what the other gives up.</w:t>
      </w:r>
    </w:p>
    <w:p>
      <w:pPr>
        <w:spacing w:after="0" w:before="0" w:line="480"/>
        <w:ind w:firstLine="720"/>
      </w:pPr>
      <w:r>
        <w:rPr>
          <w:rFonts w:ascii="Times New Roman" w:cs="Times New Roman" w:eastAsia="Times New Roman" w:hAnsi="Times New Roman"/>
          <w:sz w:val="24"/>
          <w:szCs w:val="24"/>
        </w:rPr>
        <w:t xml:space="preserve">Set side by side, a neighborhood potluck and a checkout line both move food, but only one is building a community.</w:t>
      </w:r>
    </w:p>
    <w:p>
      <w:pPr>
        <w:keepNext/>
        <w:spacing w:after="0" w:before="0" w:line="480"/>
        <w:jc w:val="center"/>
      </w:pPr>
      <w:r>
        <w:rPr>
          <w:rFonts w:ascii="Times New Roman" w:cs="Times New Roman" w:eastAsia="Times New Roman" w:hAnsi="Times New Roman"/>
          <w:b/>
          <w:bCs/>
          <w:sz w:val="24"/>
          <w:szCs w:val="24"/>
        </w:rPr>
        <w:t xml:space="preserve">Why Families Marry Out: The Universal Taboo and Its Exceptions</w:t>
      </w:r>
    </w:p>
    <w:p>
      <w:pPr>
        <w:spacing w:after="0" w:before="0" w:line="480"/>
        <w:ind w:firstLine="720"/>
      </w:pPr>
      <w:r>
        <w:rPr>
          <w:rFonts w:ascii="Times New Roman" w:cs="Times New Roman" w:eastAsia="Times New Roman" w:hAnsi="Times New Roman"/>
          <w:sz w:val="24"/>
          <w:szCs w:val="24"/>
        </w:rPr>
        <w:t xml:space="preserve">Every known culture has some form of incest taboo, a strongly held prohibition on marriage or sexual relations between particular kin (Miller, 2017, p. 185). Which relatives are off-limits varies, but the most basic and universal core forbids sex and marriage between parents and their children. Anthropologists offer two explanations for this universality. Both are functional, treating the taboo as an adaptation that helps people survive and succeed, but they locate its benefit in different places.</w:t>
      </w:r>
    </w:p>
    <w:p>
      <w:pPr>
        <w:spacing w:after="0" w:before="0" w:line="480"/>
        <w:ind w:firstLine="720"/>
      </w:pPr>
      <w:r>
        <w:rPr>
          <w:rFonts w:ascii="Times New Roman" w:cs="Times New Roman" w:eastAsia="Times New Roman" w:hAnsi="Times New Roman"/>
          <w:sz w:val="24"/>
          <w:szCs w:val="24"/>
        </w:rPr>
        <w:t xml:space="preserve">Writing in the 1940s, Lévi-Strauss argued that in small societies without states, avoiding incest pushed men to exchange women between families. Those exchanges became the foundation of social networks reaching beyond the household, linking groups with different resources and sustaining trade and peace through the bonds of marriage. A household free to marry inward would have little reason to reach outward. The genetic explanation is more direct: a larger breeding pool lowers the frequency of genetically transmitted conditions, so avoiding close kin protects children.</w:t>
      </w:r>
    </w:p>
    <w:p>
      <w:pPr>
        <w:spacing w:after="0" w:before="0" w:line="480"/>
        <w:ind w:firstLine="720"/>
      </w:pPr>
      <w:r>
        <w:rPr>
          <w:rFonts w:ascii="Times New Roman" w:cs="Times New Roman" w:eastAsia="Times New Roman" w:hAnsi="Times New Roman"/>
          <w:sz w:val="24"/>
          <w:szCs w:val="24"/>
        </w:rPr>
        <w:t xml:space="preserve">Miller observes that anthropological data support both theories while ethnographic evidence supplies puzzles. Most cultures forbid brother-sister marriage, yet a few exceptions exist. The best-known comes from Egypt under the Roman Empire, where such unions were the norm among royalty and common among ordinary people, with between 15 and 20 percent of marriages joining full brothers and sisters (Miller, 2017, p. 186). Such marriages sit uneasily with both explanations.</w:t>
      </w:r>
    </w:p>
    <w:p>
      <w:pPr>
        <w:spacing w:after="0" w:before="0" w:line="480"/>
        <w:ind w:firstLine="720"/>
      </w:pPr>
      <w:r>
        <w:rPr>
          <w:rFonts w:ascii="Times New Roman" w:cs="Times New Roman" w:eastAsia="Times New Roman" w:hAnsi="Times New Roman"/>
          <w:sz w:val="24"/>
          <w:szCs w:val="24"/>
        </w:rPr>
        <w:t xml:space="preserve">Cousin marriage complicates the picture further, because incest taboos do not rule it out everywhere, and some kinship systems promote it. Many Muslim groups in the Middle East and northern Africa favor marriage between parallel cousins, the children of two brothers or of two sisters, while Hindus in southern India favor cross-cousins, the children of a brother and a sister. Even there it remains a minority practice: a survey in Chennai found about three-fourths of marriages between unrelated people. A southern Indian study also found only a small difference in congenital problems, because wide marriage networks offer many partners; in a small, closed population the genetic risk would be high. Finally, the boundary of incest is itself cultural. Hindus of northern India treat marriage within a village as incest and practice village exogamy, while Hindus of southern India prefer to marry within it.</w:t>
      </w:r>
    </w:p>
    <w:p>
      <w:pPr>
        <w:pageBreakBefore/>
        <w:spacing w:after="0" w:before="0" w:line="480"/>
        <w:jc w:val="center"/>
      </w:pPr>
      <w:r>
        <w:rPr>
          <w:rFonts w:ascii="Times New Roman" w:cs="Times New Roman" w:eastAsia="Times New Roman" w:hAnsi="Times New Roman"/>
          <w:b/>
          <w:bCs/>
          <w:sz w:val="24"/>
          <w:szCs w:val="24"/>
        </w:rPr>
        <w:t xml:space="preserve">References</w:t>
      </w:r>
    </w:p>
    <w:p>
      <w:pPr>
        <w:spacing w:after="0" w:before="0" w:line="480"/>
        <w:ind w:left="720" w:hanging="720"/>
      </w:pPr>
      <w:r>
        <w:rPr>
          <w:rFonts w:ascii="Times New Roman" w:cs="Times New Roman" w:eastAsia="Times New Roman" w:hAnsi="Times New Roman"/>
          <w:sz w:val="24"/>
          <w:szCs w:val="24"/>
        </w:rPr>
        <w:t xml:space="preserve">Miller, B. D. (2017). </w:t>
      </w:r>
      <w:r>
        <w:rPr>
          <w:rFonts w:ascii="Times New Roman" w:cs="Times New Roman" w:eastAsia="Times New Roman" w:hAnsi="Times New Roman"/>
          <w:i/>
          <w:iCs/>
          <w:sz w:val="24"/>
          <w:szCs w:val="24"/>
        </w:rPr>
        <w:t xml:space="preserve">Cultural anthropology</w:t>
      </w:r>
      <w:r>
        <w:rPr>
          <w:rFonts w:ascii="Times New Roman" w:cs="Times New Roman" w:eastAsia="Times New Roman" w:hAnsi="Times New Roman"/>
          <w:sz w:val="24"/>
          <w:szCs w:val="24"/>
        </w:rPr>
        <w:t xml:space="preserve"> (8th ed.). Pearson.</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2026-10-09T06:43:35.987Z</dcterms:created>
  <dcterms:modified xsi:type="dcterms:W3CDTF">2026-10-09T06:43:35.993Z</dcterms:modified>
</cp:coreProperties>
</file>

<file path=docProps/custom.xml><?xml version="1.0" encoding="utf-8"?>
<Properties xmlns="http://schemas.openxmlformats.org/officeDocument/2006/custom-properties" xmlns:vt="http://schemas.openxmlformats.org/officeDocument/2006/docPropsVTypes"/>
</file>