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1.0, 30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Ayuda cercana y ayuda larga (30 de octubre de 2026)</w:t>
      </w:r>
    </w:p>
    <w:p>
      <w:pPr>
        <w:spacing w:after="80"/>
      </w:pPr>
      <w:r>
        <w:rPr>
          <w:sz w:val="22"/>
          <w:szCs w:val="22"/>
        </w:rPr>
        <w:t xml:space="preserve">14. La página (29 y 30 de octubre de 2026)</w:t>
      </w:r>
    </w:p>
    <w:p>
      <w:pPr>
        <w:spacing w:after="80"/>
      </w:pPr>
      <w:r>
        <w:rPr>
          <w:sz w:val="22"/>
          <w:szCs w:val="22"/>
        </w:rPr>
        <w:t xml:space="preserve">15. El repositorio público y el README (30 de octubre de 2026)</w:t>
      </w:r>
    </w:p>
    <w:p>
      <w:pPr>
        <w:spacing w:after="80"/>
      </w:pPr>
      <w:r>
        <w:rPr>
          <w:sz w:val="22"/>
          <w:szCs w:val="22"/>
        </w:rPr>
        <w:t xml:space="preserve">16. Plan y calendario</w:t>
      </w:r>
    </w:p>
    <w:p>
      <w:pPr>
        <w:spacing w:after="80"/>
      </w:pPr>
      <w:r>
        <w:rPr>
          <w:sz w:val="22"/>
          <w:szCs w:val="22"/>
        </w:rPr>
        <w:t xml:space="preserve">17. Pendientes y decisiones abiertas</w:t>
      </w:r>
    </w:p>
    <w:p>
      <w:pPr>
        <w:spacing w:after="80"/>
      </w:pPr>
      <w:r>
        <w:rPr>
          <w:sz w:val="22"/>
          <w:szCs w:val="22"/>
        </w:rPr>
        <w:t xml:space="preserve">18.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bfeeb17</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Rewrite the video script to the near-committed scope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2af63b6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Cut the broadcast camera fit's start-up cost fivefold, same result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8c2baee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Keep the A/B timing lesson live; note the commits awaiting a push</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a9b12be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Measure where the start-up goes: the main thread, not the network</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4b57ff5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Scope the thesis to committed near help, on the coach's reading</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6bebf5d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Split the published helper into near and long help, with their references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bd6033b</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Pre-register the near/long help split before running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76a21fe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2026-10-30</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Probe the provider's matchups and enter it in the deliverables</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639175"/>
            <wp:effectExtent t="0" r="0" b="0" l="0"/>
            <wp:docPr id="1" name="wind_figure_1_one_drive.png" descr="Figura 1. ¿Se mueve alguien más hacia el hombre que deja el ayudante? En una ayuda cercana comprometida elegida por regla, el movimiento de cada uno de los otros tres defensores hacia ese hombre, frente a su movimiento hacia los demás atacantes sin balón." title="Figura 1. ¿Se mueve alguien más hacia el hombre que deja el ayudante? En una ayuda cercana comprometida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639175"/>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ayuda cercana comprometida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ayuda cercana comprometida (sección 13: el defensor sin balón más cercano al balón se acerca al jugador con balón en el primer segundo y a los 2 s no ha vuelto con su hombre), en el primer partido, con los diez jugadores detectados en todos los fotogramas de su ventana de 2 s (scripts/wind_scenes.py, decisión D6; en ese partido cumplen todas las condiciones 7 de sus 58 penetraciones, y la regla encontró una en cada uno de los 4 primeros partidos que probó). Desde el 30 de octubre la regla es la misma y cambian los papeles, los de la sección 13: el ayudante es el más cercano y el hombre que deja es el suyo según el proveedor al arrancar; hasta entonces era el ayudante publicado de la sección 6, y ninguna de las cuatro penetraciones de la página era una ayuda cercana comprometida.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7,8 ft hacia el jugador con balón dentro del primer segundo, y el hombre que dejaba está a 1,6 ft del defensor más cercano al arrancar, 9,1 ft a 1,0 s y 8,7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−5,1 / 12,0 / −3,3 pies hacia él y 4,8 / 2,4 / 0,1 hacia el placebo, y a su derecha la diferencia de cada uno (−9,9 / 9,6 / −3,4) y su media, que es el número que la tira de debajo sitúa. Uno de ellos se acerca a él más que a los demás y los otros dos se alejan de él: una penetración sola no da la regla, y como la defensa entera se cierra con la penetración, la referencia es el placebo y no el cero. La media de las tres diferencias es −1,21 ft, el percentil 39 de las 159 ayudas cercanas comprometidas (mediana −0,33 ft): un caso más claro que la mayoría, no uno típico, y la figura lo enseña: una tira bajo las barras reparte las 159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su fila (el paso del más cercano, la distancia del hombre que deja a 0 y 1,0 s, y que a los 2 s no ha vuelto con él); las pruebas la comparan con reports/help_kinds.csv, reports/near_committed_drives.csv y reports/near_committed_pairs.csv, que escribe scripts/help_kinds.py.</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−1,21 ft la produce un solo defensor que se aleja (−9,9 de una suma de −3,6; el segundo aporta 9,6 y el tercero −3,4), así que sin el texto se leía "dos de tres rotan", y el subtítulo "the whole defence closes in" empujaba esa lectura. Se aplicó: un subtítulo que dice que la jugada enseña la medida y no el resultado; el texto recortado a las barras y una línea; la tira de las 159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2"/>
      </w:pPr>
      <w:r>
        <w:t xml:space="preserve">11.9 Los emparejamientos del proveedor</w:t>
      </w:r>
    </w:p>
    <w:p>
      <w:pPr>
        <w:spacing w:after="120" w:line="276"/>
      </w:pPr>
      <w:r>
        <w:rPr>
          <w:sz w:val="22"/>
          <w:szCs w:val="22"/>
        </w:rPr>
        <w:t xml:space="preserve">La pregunta es si el resultado de las secciones anteriores sobrevive a un error de la tabla matchups del proveedor, que dice quién marca al jugador con balón y a qué atacante marcaba el ayudante (el hombre dejado). No hay vídeo en los datos abiertos, así que esa tabla no se ha contrastado nunca con la realidad. Un error empujaría el resultado hacia la ausencia: si el hombre dejado no es el atacante que el ayudante marcaba, es en la práctica uno más de los atacantes del placebo, y la proyección hacia él se parece a la proyección hacia el placebo, con lo que la diferencia emparejada se acerca a cero sin que haya nada que medir.</w:t>
      </w:r>
    </w:p>
    <w:p>
      <w:pPr>
        <w:spacing w:after="120" w:line="276"/>
      </w:pPr>
      <w:r>
        <w:rPr>
          <w:sz w:val="22"/>
          <w:szCs w:val="22"/>
        </w:rPr>
        <w:t xml:space="preserve">Lectura fijada antes de correr la sonda: se cumple si el intervalo del 95 % del contraste con ayudante menos sin él contiene el cero en cada subconjunto corroborado y la media con ayudante queda en o por debajo de cero; falla si el intervalo de un contraste queda por encima de cero o si la media con ayudante sube de forma monótona al apretar la corroboración. La sonda corre en scripts/matchup_check.py.</w:t>
      </w:r>
    </w:p>
    <w:p>
      <w:pPr>
        <w:spacing w:after="120" w:line="276"/>
      </w:pPr>
      <w:r>
        <w:rPr>
          <w:sz w:val="22"/>
          <w:szCs w:val="22"/>
        </w:rPr>
        <w:t xml:space="preserve">Coherencia al fotograma de arranque, sobre las 618 penetraciones resueltas: el defensor del jugador con balón figura asignado en 595 de 618 (96,3 %); de esas, ese defensor es el más cercano en 519 de 595 (87,2 %) y coincide con el ballhandlerDefId que da el propio proveedor en la tabla de penetraciones en 533 de 595 (89,6 %). Ningún defensor aparece asignado dos veces en una misma penetración (0 de 618). Con un hombre dejado, el ayudante es el defensor más cercano a él al arrancar en 190 de 258 penetraciones (73,6 %), y está a 10 pies o menos en 210 de 258 (81,4 %). Que el emparejado no sea el más cercano no prueba un error, porque la cercanía es solo un indicio; lo que se mide es cuánto concuerdan las dos fuentes.</w:t>
      </w:r>
    </w:p>
    <w:p>
      <w:pPr>
        <w:spacing w:after="120" w:line="276"/>
      </w:pPr>
      <w:r>
        <w:rPr>
          <w:sz w:val="22"/>
          <w:szCs w:val="22"/>
        </w:rPr>
        <w:t xml:space="preserve">Subconjuntos anidados: S0, todas las penetraciones con hombre dejado (reproduce las secciones 11.2 y siguientes, y el script lo comprueba contra los CSV publicados); S1, además el defensor del emparejado del balón es a la vez el más cercano y el ballhandlerDefId del proveedor; S2, además el ayudante es el defensor más cercano al hombre dejado al arrancar; S3, además el ayudante empieza a 10 pies o menos de él. A 1,5 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8"/>
        <w:gridCol w:w="2008"/>
        <w:gridCol w:w="2010"/>
      </w:tblGrid>
      <w:tr>
        <w:trPr>
          <w:tblHeader/>
        </w:trPr>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Subconjunto</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 sin)</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ft (IC 95 %)</w:t>
            </w:r>
          </w:p>
        </w:tc>
        <w:tc>
          <w:tcPr>
            <w:tcW w:type="dxa" w:w="2008"/>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ft (IC 95 %)</w:t>
            </w:r>
          </w:p>
        </w:tc>
        <w:tc>
          <w:tcPr>
            <w:tcW w:type="dxa" w:w="201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menos sin, ft (IC 95 %)</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 / 324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S1</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192 / 282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(−1,08 a −0,19)</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−0,54 (−0,84 a −0,26)</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−0,09 (−0,63 a 0,45)</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S2</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 232</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−0,84 (−1,38 a −0,35)</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−0,44 (−0,77 a −0,12)</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(−1,04 a 0,20)</w:t>
            </w:r>
          </w:p>
        </w:tc>
      </w:tr>
      <w:tr>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S3</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122 / 167</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(−1,10 a −0,04)</w:t>
            </w:r>
          </w:p>
        </w:tc>
        <w:tc>
          <w:tcPr>
            <w:tcW w:type="dxa" w:w="2008"/>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−0,55 (−0,94 a −0,18)</w:t>
            </w:r>
          </w:p>
        </w:tc>
        <w:tc>
          <w:tcPr>
            <w:tcW w:type="dxa" w:w="201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0,00 (−0,68 a 0,65)</w:t>
            </w:r>
          </w:p>
        </w:tc>
      </w:tr>
    </w:tbl>
    <w:p>
      <w:pPr>
        <w:spacing w:after="160"/>
      </w:pPr>
      <w:r>
        <w:rPr>
          <w:i/>
          <w:iCs/>
          <w:color w:val="555555"/>
          <w:sz w:val="18"/>
          <w:szCs w:val="18"/>
        </w:rPr>
        <w:t xml:space="preserve">Fuente: reports/second_help_matchup_check.csv (subset, horizon_s, series, n_drives, mean, ci_low, ci_high), a 1,52 s; reports/matchup_coherence.csv (metric, n, of). Los intervalos son los de second_help.py, bootstrap sobre penetraciones con la misma semilla.</w:t>
      </w:r>
    </w:p>
    <w:p>
      <w:pPr>
        <w:spacing w:after="120" w:line="276"/>
      </w:pPr>
      <w:r>
        <w:rPr>
          <w:sz w:val="22"/>
          <w:szCs w:val="22"/>
        </w:rPr>
        <w:t xml:space="preserve">La lectura fijada se cumple a 1,0, 1,5, 2,0 s: ningún intervalo de contraste queda por encima de cero, todas las medias con ayudante son negativas y no suben con la corroboración (a 1,5 s: −0,68, −0,63, −0,84, −0,55 ft). El contraste va de −0,40 ft en S2 a 0,00 ft en S3, siempre con el cero dentro.</w:t>
      </w:r>
    </w:p>
    <w:p>
      <w:pPr>
        <w:spacing w:after="120" w:line="276"/>
      </w:pPr>
      <w:r>
        <w:rPr>
          <w:sz w:val="22"/>
          <w:szCs w:val="22"/>
        </w:rPr>
        <w:t xml:space="preserve">El límite es doble. Primero, es coherencia y no validación: las tres fuentes que se comparan (la tabla matchups, la cercanía y el ballhandlerDefId) son todas del mismo proveedor o derivan de las mismas posiciones, de modo que si coinciden es porque son consistentes, no porque estén acertadas. Segundo, los intervalos se ensanchan al estrechar el subconjunto: en S3, con 122 con ayudante y 167 sin él, el intervalo del contraste va de −0,68 a 0,65 ft, de modo que solo descarta un contraste por encima de 0,65 ft. Lo que la sonda dice es que, donde el emparejamiento está corroborado, la ausencia no desaparece ni se invierte; no dice que la tabla sea correcta.</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14).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Ayuda cercana y ayuda larga (30 de octubre de 2026)</w:t>
      </w:r>
    </w:p>
    <w:p>
      <w:pPr>
        <w:pStyle w:val="Heading2"/>
      </w:pPr>
      <w:r>
        <w:t xml:space="preserve">13.1 La distinción y por qué importa</w:t>
      </w:r>
    </w:p>
    <w:p>
      <w:pPr>
        <w:spacing w:after="120" w:line="276"/>
      </w:pPr>
      <w:r>
        <w:rPr>
          <w:sz w:val="22"/>
          <w:szCs w:val="22"/>
        </w:rPr>
        <w:t xml:space="preserve">Javier, que es entrenador, separa dos ayudas que el ayudante publicado (sección 6) junta. La ayuda cercana: el defensor sin balón más próximo al balón se mueve hacia el jugador con balón; es una finta (stunt) si vuelve a su hombre y una ayuda comprometida si no vuelve. La ayuda larga: el jugador con balón supera a su defensor y el último defensor, el defensor sin balón más lejano del balón, salta al camino de la penetración para pararla; ahí la pregunta es quién rota al atacante del último.</w:t>
      </w:r>
    </w:p>
    <w:p>
      <w:pPr>
        <w:spacing w:after="120" w:line="276"/>
      </w:pPr>
      <w:r>
        <w:rPr>
          <w:sz w:val="22"/>
          <w:szCs w:val="22"/>
        </w:rPr>
        <w:t xml:space="preserve">El ayudante publicado es el defensor que no es el emparejado del balón y que más se mueve hacia donde está el balón 1,0 s después, con 4 pies o más. Mezcla las dos ayudas. De los 280 ayudantes, 52 % son el defensor más cercano al balón al arrancar, 12 % el más lejano y 36 % otro; y 37 % vuelve a su hombre a los 2,0 s. Eso importa para la tesis: tras una finta se espera que nadie rote al hombre dejado, porque el defensor vuelve, de modo que una ausencia de rotación medida sobre la mezcla no dice nada de la ayuda larga, que es donde un compañero tendría que rotar de verdad. Esta sección separa las dos y pregunta si la ausencia de la sección 11 sobrevive en cada una.</w:t>
      </w:r>
    </w:p>
    <w:p>
      <w:pPr>
        <w:pStyle w:val="Heading2"/>
      </w:pPr>
      <w:r>
        <w:t xml:space="preserve">13.2 Las definiciones</w:t>
      </w:r>
    </w:p>
    <w:p>
      <w:pPr>
        <w:spacing w:after="120" w:line="276"/>
      </w:pPr>
      <w:r>
        <w:rPr>
          <w:sz w:val="22"/>
          <w:szCs w:val="22"/>
        </w:rPr>
        <w:t xml:space="preserve">Todas están en scbasket.help_kinds como constantes de módulo, a los 1,0, 1,5 y 2,0 s del fotograma de arranque (el titular es 1,5 s) y con la sensibilidad indicada. Como el resto del paquete, miden desplazamientos y distancias, no decisiones: "finta" y "comprometida" son condiciones geométricas.</w:t>
      </w:r>
    </w:p>
    <w:p>
      <w:pPr>
        <w:pStyle w:val="ListParagraph"/>
        <w:numPr>
          <w:ilvl w:val="0"/>
          <w:numId w:val="2"/>
        </w:numPr>
        <w:spacing w:after="60" w:line="276"/>
      </w:pPr>
      <w:r>
        <w:rPr>
          <w:b/>
          <w:bCs/>
          <w:sz w:val="22"/>
          <w:szCs w:val="22"/>
        </w:rPr>
        <w:t xml:space="preserve">Defensores sin balón. </w:t>
      </w:r>
      <w:r>
        <w:rPr>
          <w:sz w:val="22"/>
          <w:szCs w:val="22"/>
        </w:rPr>
        <w:t xml:space="preserve">Los cuatro que no son el emparejado del balón. El MÁS CERCANO y el ÚLTIMO son los que están más cerca y más lejos del balón al arrancar; el hombre de cada uno es el que le asigna la tabla matchups del proveedor al arrancar, sin sustituto (si falta, o es el propio jugador con balón, la penetración se descarta y se cuenta).</w:t>
      </w:r>
    </w:p>
    <w:p>
      <w:pPr>
        <w:pStyle w:val="ListParagraph"/>
        <w:numPr>
          <w:ilvl w:val="0"/>
          <w:numId w:val="2"/>
        </w:numPr>
        <w:spacing w:after="60" w:line="276"/>
      </w:pPr>
      <w:r>
        <w:rPr>
          <w:b/>
          <w:bCs/>
          <w:sz w:val="22"/>
          <w:szCs w:val="22"/>
        </w:rPr>
        <w:t xml:space="preserve">Superado. </w:t>
      </w:r>
      <w:r>
        <w:rPr>
          <w:sz w:val="22"/>
          <w:szCs w:val="22"/>
        </w:rPr>
        <w:t xml:space="preserve">En algún fotograma de los primeros 1,5 s el jugador con balón está más cerca del aro que su defensor. Sensibilidad: la marca blowby del proveedor.</w:t>
      </w:r>
    </w:p>
    <w:p>
      <w:pPr>
        <w:pStyle w:val="ListParagraph"/>
        <w:numPr>
          <w:ilvl w:val="0"/>
          <w:numId w:val="2"/>
        </w:numPr>
        <w:spacing w:after="60" w:line="276"/>
      </w:pPr>
      <w:r>
        <w:rPr>
          <w:b/>
          <w:bCs/>
          <w:sz w:val="22"/>
          <w:szCs w:val="22"/>
        </w:rPr>
        <w:t xml:space="preserve">Ayuda larga (LONG). </w:t>
      </w:r>
      <w:r>
        <w:rPr>
          <w:sz w:val="22"/>
          <w:szCs w:val="22"/>
        </w:rPr>
        <w:t xml:space="preserve">Superado y, en algún fotograma de esos 1,5 s, el último está a 6 pies o menos del jugador con balón y más cerca del aro que él. Sensibilidades: radio de 5 y de 8 pies; superado según blowby; y la regla de la primera sonda (el último se mueve 4 pies o más hacia el jugador con balón en 1,0 s), sin condición de camino. Referencia: no superado y el último se mueve menos de 2 pies (se queda en casa).</w:t>
      </w:r>
    </w:p>
    <w:p>
      <w:pPr>
        <w:pStyle w:val="ListParagraph"/>
        <w:numPr>
          <w:ilvl w:val="0"/>
          <w:numId w:val="2"/>
        </w:numPr>
        <w:spacing w:after="60" w:line="276"/>
      </w:pPr>
      <w:r>
        <w:rPr>
          <w:b/>
          <w:bCs/>
          <w:sz w:val="22"/>
          <w:szCs w:val="22"/>
        </w:rPr>
        <w:t xml:space="preserve">Ayuda cercana. </w:t>
      </w:r>
      <w:r>
        <w:rPr>
          <w:sz w:val="22"/>
          <w:szCs w:val="22"/>
        </w:rPr>
        <w:t xml:space="preserve">El más cercano se mueve 2 pies o más hacia el jugador con balón (la proyección de la ayuda de la sección 6) en 1,0 s. FINTA si a los 2,0 s su distancia a su hombre es la de arranque más 1 pie o menos; COMPROMETIDA si no; sin definir (contada, excluida) si falta la ventana de 2,0 s o su hombre. Referencia: se mueve menos de 1 pie.</w:t>
      </w:r>
    </w:p>
    <w:p>
      <w:pPr>
        <w:pStyle w:val="ListParagraph"/>
        <w:numPr>
          <w:ilvl w:val="0"/>
          <w:numId w:val="2"/>
        </w:numPr>
        <w:spacing w:after="60" w:line="276"/>
      </w:pPr>
      <w:r>
        <w:rPr>
          <w:b/>
          <w:bCs/>
          <w:sz w:val="22"/>
          <w:szCs w:val="22"/>
        </w:rPr>
        <w:t xml:space="preserve">La medida. </w:t>
      </w:r>
      <w:r>
        <w:rPr>
          <w:sz w:val="22"/>
          <w:szCs w:val="22"/>
        </w:rPr>
        <w:t xml:space="preserve">Para cada clase, con su ayudante H (el último o el más cercano) y su hombre M: la misma diferencia emparejada de la sección 11 (los otros tres defensores, que no son el emparejado del balón ni H, hacia M menos el placebo), quién está más cerca de M al horizonte, y el contraste de la clase menos su referencia con el mismo bootstrap (unidad, remuestreos y semilla de scripts/second_help.py). Los ayudantes publicados se parten por clase (último, más cercano, otro) y por recuperó o comprometido, cada uno contra la serie publicada sin ayudante.</w:t>
      </w:r>
    </w:p>
    <w:p>
      <w:pPr>
        <w:pStyle w:val="Heading2"/>
      </w:pPr>
      <w:r>
        <w:t xml:space="preserve">13.3 La primera definición de la sonda y por qué se cambió</w:t>
      </w:r>
    </w:p>
    <w:p>
      <w:pPr>
        <w:spacing w:after="120" w:line="276"/>
      </w:pPr>
      <w:r>
        <w:rPr>
          <w:sz w:val="22"/>
          <w:szCs w:val="22"/>
        </w:rPr>
        <w:t xml:space="preserve">Una sonda previa, sin código en el paquete (sus cifras están en tasks/todo.md, tarea A8), definió la ayuda larga del último como superado y el último se mueve 4 pies o más hacia el jugador con balón en 1,0 s. Dio entre 14 y 33 penetraciones, no concluyente, y en ellas el último seguía siendo el defensor más cercano a su propio hombre a los 1,5 s en el 75 a 86 %: la regla recogía hundimientos parciales y no saltos al camino de la penetración. Por eso la definición primaria pide estar en el camino (a 6 pies y por delante del jugador con balón) y la regla antigua queda como sensibilidad. La sonda mostró también que la referencia (el último se queda en casa) no está centrada en cero, sino en torno a 0,85 a 1,25 ft a 1,5 s en esta ejecución, de modo que la lectura es siempre contra la referencia y no contra el cero.</w:t>
      </w:r>
    </w:p>
    <w:p>
      <w:pPr>
        <w:pStyle w:val="Heading2"/>
      </w:pPr>
      <w:r>
        <w:t xml:space="preserve">13.4 Las lecturas, fijadas antes de correr</w:t>
      </w:r>
    </w:p>
    <w:p>
      <w:pPr>
        <w:spacing w:after="120" w:line="276"/>
      </w:pPr>
      <w:r>
        <w:rPr>
          <w:sz w:val="22"/>
          <w:szCs w:val="22"/>
        </w:rPr>
        <w:t xml:space="preserve">Se escribieron y se confirmaron en el commit bd6033b antes de tocar los datos, y se aplican tal cual a 1,5 s.</w:t>
      </w:r>
    </w:p>
    <w:p>
      <w:pPr>
        <w:pStyle w:val="ListParagraph"/>
        <w:numPr>
          <w:ilvl w:val="0"/>
          <w:numId w:val="2"/>
        </w:numPr>
        <w:spacing w:after="60" w:line="276"/>
      </w:pPr>
      <w:r>
        <w:rPr>
          <w:b/>
          <w:bCs/>
          <w:sz w:val="22"/>
          <w:szCs w:val="22"/>
        </w:rPr>
        <w:t xml:space="preserve">LONG. </w:t>
      </w:r>
      <w:r>
        <w:rPr>
          <w:sz w:val="22"/>
          <w:szCs w:val="22"/>
        </w:rPr>
        <w:t xml:space="preserve">ROTACIÓN si el contraste LONG menos referencia tiene el intervalo por encima de cero (los demás se mueven hacia el hombre del último más que cuando él se queda en casa): entonces la tesis se estrecha a la ayuda cercana. NADIE AYUDA AL ÚLTIMO si el intervalo contiene el cero o queda por debajo, con 40 penetraciones LONG o más. NO CONCLUYENTE si hay menos de 40, o si el intervalo se extiende más de 1 ft a los dos lados del cero.</w:t>
      </w:r>
    </w:p>
    <w:p>
      <w:pPr>
        <w:pStyle w:val="ListParagraph"/>
        <w:numPr>
          <w:ilvl w:val="0"/>
          <w:numId w:val="2"/>
        </w:numPr>
        <w:spacing w:after="60" w:line="276"/>
      </w:pPr>
      <w:r>
        <w:rPr>
          <w:b/>
          <w:bCs/>
          <w:sz w:val="22"/>
          <w:szCs w:val="22"/>
        </w:rPr>
        <w:t xml:space="preserve">CERCANA COMPROMETIDA. </w:t>
      </w:r>
      <w:r>
        <w:rPr>
          <w:sz w:val="22"/>
          <w:szCs w:val="22"/>
        </w:rPr>
        <w:t xml:space="preserve">La ausencia se sostiene si el contraste COMPROMETIDA menos la referencia cercana tiene el intervalo con el cero o por debajo; ROTACIÓN si queda por encima; mismas reglas de 40 y de anchura.</w:t>
      </w:r>
    </w:p>
    <w:p>
      <w:pPr>
        <w:pStyle w:val="ListParagraph"/>
        <w:numPr>
          <w:ilvl w:val="0"/>
          <w:numId w:val="2"/>
        </w:numPr>
        <w:spacing w:after="60" w:line="276"/>
      </w:pPr>
      <w:r>
        <w:rPr>
          <w:b/>
          <w:bCs/>
          <w:sz w:val="22"/>
          <w:szCs w:val="22"/>
        </w:rPr>
        <w:t xml:space="preserve">Ayudantes publicados comprometidos </w:t>
      </w:r>
      <w:r>
        <w:rPr>
          <w:sz w:val="22"/>
          <w:szCs w:val="22"/>
        </w:rPr>
        <w:t xml:space="preserve">contra la serie publicada sin ayudante, a 1,5 s: la misma lectura de tres vías.</w:t>
      </w:r>
    </w:p>
    <w:p>
      <w:pPr>
        <w:pStyle w:val="Heading2"/>
      </w:pPr>
      <w:r>
        <w:t xml:space="preserve">13.5 Qué sale</w:t>
      </w:r>
    </w:p>
    <w:p>
      <w:pPr>
        <w:spacing w:after="120" w:line="276"/>
      </w:pPr>
      <w:r>
        <w:rPr>
          <w:sz w:val="22"/>
          <w:szCs w:val="22"/>
        </w:rPr>
        <w:t xml:space="preserve">De las 618 penetraciones resueltas, el último tiene hombre y ventana de 1,5 s en 598 (se descartan 12 por ventana y 8 por falta de hombre) y el más cercano, con la ventana de 2,0 s, en 547 (47 sin hombre y 24 sin ventana). Superado, según la geometría, está el jugador con balón en 329 y según blowby en 142. Hay 7 penetraciones LONG primarias (5 con radio de 5 ft, 21 con 8 ft, 2 con blowby, 36 con la regla de la sonda) frente a 198 de referencia; y 104 fintas, 159 comprometidas y 199 de referencia. Entre los 280 ayudantes publicados: 145 el más cercano, 33 el último y 102 otro; 90 recuperaron, 151 quedaron comprometidos y 39 sin definir.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1450"/>
        <w:gridCol w:w="600"/>
        <w:gridCol w:w="1450"/>
        <w:gridCol w:w="1700"/>
        <w:gridCol w:w="1626"/>
      </w:tblGrid>
      <w:tr>
        <w:trPr>
          <w:tblHeader/>
        </w:trPr>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ft (IC 95 %)</w:t>
            </w:r>
          </w:p>
        </w:tc>
        <w:tc>
          <w:tcPr>
            <w:tcW w:type="dxa" w:w="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 ref.</w:t>
            </w:r>
          </w:p>
        </w:tc>
        <w:tc>
          <w:tcPr>
            <w:tcW w:type="dxa" w:w="14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Referencia, ft (IC 95 %)</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Clase menos referencia, ft (IC 95 %)</w:t>
            </w:r>
          </w:p>
        </w:tc>
        <w:tc>
          <w:tcPr>
            <w:tcW w:type="dxa" w:w="1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Lectura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2,30 (0,49 a 3,79)</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2,76 (1,71 a 3,90)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1,91 (0,74 a 3,04)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2,35 (1,18 a 3,44)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1,50 (0,27 a 2,64)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4,17 (3,89 a 4,44)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323</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1,25 (0,96 a 1,53)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2,92 (2,45 a 3,39)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(−0,68 a 1,73)</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198</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0,85 (0,52 a 1,18)</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−0,36 (−1,56 a 0,93)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No concluyente</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(0,11 a 0,96)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−0,66 (−1,14 a −0,20)</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199</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−0,03 (−0,41 a 0,33)</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todos</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 (−0,65 a 0,32)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último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(−1,21 a 0,74)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(−0,73 a 1,32)</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el más cercano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(−0,78 a 0,24)</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0,27 (−0,32 a 0,84)</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otro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 (−2,15 a −0,66)</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(−1,69 a −0,09)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recuperó</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(−0,94 a 0,31)</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0,21 (−0,50 a 0,89)</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ninguna fijada</w:t>
            </w:r>
          </w:p>
        </w:tc>
      </w:tr>
      <w:tr>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−0,82 (−1,36 a −0,28)</w:t>
            </w:r>
          </w:p>
        </w:tc>
        <w:tc>
          <w:tcPr>
            <w:tcW w:type="dxa" w:w="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4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1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Ausencia</w:t>
            </w:r>
          </w:p>
        </w:tc>
      </w:tr>
    </w:tbl>
    <w:p>
      <w:pPr>
        <w:spacing w:after="160"/>
      </w:pPr>
      <w:r>
        <w:rPr>
          <w:i/>
          <w:iCs/>
          <w:color w:val="555555"/>
          <w:sz w:val="18"/>
          <w:szCs w:val="18"/>
        </w:rPr>
        <w:t xml:space="preserve">Fuente: reports/help_kinds_summary.csv (measure paired_diff y contrast, a 1,52 s; mean, ci_low, ci_high, n, n_ref, reading). La media es la de la diferencia emparejada por penetración con el intervalo por bootstrap sobre penetraciones; en los publicados, la referencia es la serie sin ayudante; la finta no tiene lectura fijada.</w:t>
      </w:r>
    </w:p>
    <w:p>
      <w:pPr>
        <w:spacing w:after="120" w:line="276"/>
      </w:pPr>
      <w:r>
        <w:rPr>
          <w:sz w:val="22"/>
          <w:szCs w:val="22"/>
        </w:rPr>
        <w:t xml:space="preserve">La referencia de la ayuda larga ronda 0,85 ft y la de la cercana −0,03 ft; la serie publicada sin ayudante, −0,52 ft. Ninguna está en cero, y por eso la columna que se lee es la del contraste.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700"/>
        <w:gridCol w:w="1700"/>
        <w:gridCol w:w="1426"/>
      </w:tblGrid>
      <w:tr>
        <w:trPr>
          <w:tblHeader/>
        </w:trPr>
        <w:tc>
          <w:tcPr>
            <w:tcW w:type="dxa" w:w="2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(H)</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 en la referencia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4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(el último), primaria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5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radio de 8 ft</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superada según blowby</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regla de la primera sonda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r>
      <w:tr>
        <w:tc>
          <w:tcPr>
            <w:tcW w:type="dxa" w:w="2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w:t>
            </w:r>
          </w:p>
        </w:tc>
        <w:tc>
          <w:tcPr>
            <w:tcW w:type="dxa" w:w="14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r>
    </w:tbl>
    <w:p>
      <w:pPr>
        <w:spacing w:after="160"/>
      </w:pPr>
      <w:r>
        <w:rPr>
          <w:i/>
          <w:iCs/>
          <w:color w:val="555555"/>
          <w:sz w:val="18"/>
          <w:szCs w:val="18"/>
        </w:rPr>
        <w:t xml:space="preserve">Fuente: reports/help_kinds_summary.csv (nearest_helper, nearest_handler_def, nearest_third), a 1,52 s: quién es el defensor más cercano a M. La columna H en la referencia es el mismo defensor cuando se queda en casa; las otras dos son de la clase.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Clase</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1,0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1,5 s</w:t>
            </w:r>
          </w:p>
        </w:tc>
        <w:tc>
          <w:tcPr>
            <w:tcW w:type="dxa" w:w="2142"/>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2,0 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LONG (primaria)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0,94 (−0,32 a 2,00)</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1,44 (−0,33 a 2,98)</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1,94 (−1,46 a 4,48)</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finta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0,11 (−0,28 a 0,51)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(−0,01 a 1,11)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1,04 (0,32 a 1,74)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CERCANA, comprometida</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−0,40 (−0,80 a −0,01)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(−1,25 a −0,03)</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 (−1,67 a −0,13)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Publicados comprometidos</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(−0,53 a 0,27)</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−0,31 (−0,90 a 0,31)</w:t>
            </w:r>
          </w:p>
        </w:tc>
        <w:tc>
          <w:tcPr>
            <w:tcW w:type="dxa" w:w="2142"/>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−0,49 (−1,30 a 0,29)</w:t>
            </w:r>
          </w:p>
        </w:tc>
      </w:tr>
    </w:tbl>
    <w:p>
      <w:pPr>
        <w:spacing w:after="160"/>
      </w:pPr>
      <w:r>
        <w:rPr>
          <w:i/>
          <w:iCs/>
          <w:color w:val="555555"/>
          <w:sz w:val="18"/>
          <w:szCs w:val="18"/>
        </w:rPr>
        <w:t xml:space="preserve">Fuente: reports/help_kinds_summary.csv (measure contrast): la clase menos su referencia, en pies con su intervalo del 95 %, por horizonte.</w:t>
      </w:r>
    </w:p>
    <w:p>
      <w:pPr>
        <w:pStyle w:val="Heading2"/>
      </w:pPr>
      <w:r>
        <w:t xml:space="preserve">13.6 Los veredictos</w:t>
      </w:r>
    </w:p>
    <w:p>
      <w:pPr>
        <w:spacing w:after="120" w:line="276"/>
      </w:pPr>
      <w:r>
        <w:rPr>
          <w:sz w:val="22"/>
          <w:szCs w:val="22"/>
        </w:rPr>
        <w:t xml:space="preserve">LONG: NO CONCLUYENTE. Hay 7 penetraciones en que el último está en el camino de una penetración superada, frente al mínimo de 40 fijado; el contraste es 1,44 (−0,33 a 2,98) ft. Las cuatro sensibilidades dan la misma lectura por el mismo motivo (n = 5, n = 21, n = 2, n = 36), pero no coinciden en el signo del intervalo: 3 de las 4 dejan el intervalo por encima de cero, con tamaños de 2 a 36 penetraciones entre las cuatro, y la regla de la primera sonda (n = 36) lo deja con el cero dentro (−0,36 (−1,56 a 0,93) ft). La lectura fijada no permite concluir; la inclinación de las estimaciones apunta hacia la rotación y no hacia la ausencia, así que nada de esto autoriza a extender "nadie ayuda al último" a la ayuda larga. Tampoco estrecha la tesis, porque ese paso exigía el veredicto de rotación.</w:t>
      </w:r>
    </w:p>
    <w:p>
      <w:pPr>
        <w:spacing w:after="120" w:line="276"/>
      </w:pPr>
      <w:r>
        <w:rPr>
          <w:sz w:val="22"/>
          <w:szCs w:val="22"/>
        </w:rPr>
        <w:t xml:space="preserve">CERCANA COMPROMETIDA: AUSENCIA (la ausencia se sostiene). Con 159 penetraciones y 199 de referencia, el contraste es −0,63 (−1,25 a −0,03) ft: el intervalo queda por debajo de cero, es decir, cuando el defensor más cercano se compromete, los otros tres se mueven hacia su hombre menos que cuando se queda en casa. La finta no tiene lectura fijada; su contraste es 0,56 (−0,01 a 1,11) ft (n = 104), una inclinación hacia la rotación que roza el cero por abajo y no se interpreta.</w:t>
      </w:r>
    </w:p>
    <w:p>
      <w:pPr>
        <w:spacing w:after="120" w:line="276"/>
      </w:pPr>
      <w:r>
        <w:rPr>
          <w:sz w:val="22"/>
          <w:szCs w:val="22"/>
        </w:rPr>
        <w:t xml:space="preserve">AYUDANTES PUBLICADOS COMPROMETIDOS contra la serie publicada sin ayudante: AUSENCIA. Son 151 frente a 324 sin ayudante, con un contraste de −0,31 (−0,90 a 0,31) ft, con el cero dentro.</w:t>
      </w:r>
    </w:p>
    <w:p>
      <w:pPr>
        <w:pStyle w:val="Heading2"/>
      </w:pPr>
      <w:r>
        <w:t xml:space="preserve">13.7 Límites</w:t>
      </w:r>
    </w:p>
    <w:p>
      <w:pPr>
        <w:pStyle w:val="ListParagraph"/>
        <w:numPr>
          <w:ilvl w:val="0"/>
          <w:numId w:val="2"/>
        </w:numPr>
        <w:spacing w:after="60" w:line="276"/>
      </w:pPr>
      <w:r>
        <w:rPr>
          <w:sz w:val="22"/>
          <w:szCs w:val="22"/>
        </w:rPr>
        <w:t xml:space="preserve">Diez partidos. La ayuda larga, tal como se define aquí, casi no ocurre en ellos: el último está en el camino en pocas penetraciones, y con ese n el contraste dice poco; no se bajó el listón de 40 ni se ensanchó la definición hasta que saliera un número.</w:t>
      </w:r>
    </w:p>
    <w:p>
      <w:pPr>
        <w:pStyle w:val="ListParagraph"/>
        <w:numPr>
          <w:ilvl w:val="0"/>
          <w:numId w:val="2"/>
        </w:numPr>
        <w:spacing w:after="60" w:line="276"/>
      </w:pPr>
      <w:r>
        <w:rPr>
          <w:sz w:val="22"/>
          <w:szCs w:val="22"/>
        </w:rPr>
        <w:t xml:space="preserve">Toda la clasificación descansa en la tabla matchups del proveedor para el hombre del último y del más cercano, que no se ha contrastado con vídeo (sección 11.9); para el más cercano falta en el 7,6 % de las penetraciones.</w:t>
      </w:r>
    </w:p>
    <w:p>
      <w:pPr>
        <w:pStyle w:val="ListParagraph"/>
        <w:numPr>
          <w:ilvl w:val="0"/>
          <w:numId w:val="2"/>
        </w:numPr>
        <w:spacing w:after="60" w:line="276"/>
      </w:pPr>
      <w:r>
        <w:rPr>
          <w:sz w:val="22"/>
          <w:szCs w:val="22"/>
        </w:rPr>
        <w:t xml:space="preserve">La referencia no está en cero y depende de cómo se define quedarse en casa; la lectura es contra ella. La parte de finta y comprometida usa una sola regla de recuperación (1 pie a los 2,0 s), sin sensibilidad.</w:t>
      </w:r>
    </w:p>
    <w:p>
      <w:pPr>
        <w:pStyle w:val="ListParagraph"/>
        <w:numPr>
          <w:ilvl w:val="0"/>
          <w:numId w:val="2"/>
        </w:numPr>
        <w:spacing w:after="60" w:line="276"/>
      </w:pPr>
      <w:r>
        <w:rPr>
          <w:sz w:val="22"/>
          <w:szCs w:val="22"/>
        </w:rPr>
        <w:t xml:space="preserve">Superado es geométrico y empieza en el fotograma de arranque; una penetración que arranca con el jugador con balón ya por delante de su defensor cuenta como superada.</w:t>
      </w:r>
    </w:p>
    <w:p>
      <w:pPr>
        <w:pStyle w:val="ListParagraph"/>
        <w:numPr>
          <w:ilvl w:val="0"/>
          <w:numId w:val="2"/>
        </w:numPr>
        <w:spacing w:after="60" w:line="276"/>
      </w:pPr>
      <w:r>
        <w:rPr>
          <w:sz w:val="22"/>
          <w:szCs w:val="22"/>
        </w:rPr>
        <w:t xml:space="preserve">No se compara el desenlace (puntos, tiros libres): con diez partidos no tiene potencia (sección 10.2).</w:t>
      </w:r>
    </w:p>
    <w:p>
      <w:pPr>
        <w:spacing w:after="120" w:line="276"/>
      </w:pPr>
      <w:r>
        <w:rPr>
          <w:sz w:val="22"/>
          <w:szCs w:val="22"/>
        </w:rPr>
        <w:t xml:space="preserve">Lectura de Javier como entrenador, el 30 de octubre, al ver estos resultados: las ayudas largas implican rotación, así se enseña. Los 7 casos de ayuda larga apuntan en esa dirección (los otros defensores se mueven hacia el hombre del último, y el último deja de ser el más cercano a su propio hombre), pero con 7 casos no es una medida, es coherencia con la doctrina. La tesis queda acotada a lo que sí se mide: detrás de la ayuda cercana que se compromete nadie acude al hombre que deja, al contrario de lo que se espera detrás de la ayuda larga.</w:t>
      </w:r>
    </w:p>
    <w:p>
      <w:pPr>
        <w:pStyle w:val="Heading1"/>
        <w:pageBreakBefore/>
      </w:pPr>
      <w:r>
        <w:t xml:space="preserve">14. La página (29 y 30 de octubre de 2026)</w:t>
      </w:r>
    </w:p>
    <w:p>
      <w:pPr>
        <w:spacing w:after="120" w:line="276"/>
      </w:pPr>
      <w:r>
        <w:rPr>
          <w:sz w:val="22"/>
          <w:szCs w:val="22"/>
        </w:rPr>
        <w:t xml:space="preserve">La página (reports/nobody_helps_the_helper.html, construida por scripts/wind_html.py desde scripts/wind_template.html) es la entrega que se mira: una sola página, sin red, que abre con una penetración en 3D y sube a la vista cenital para enseñar la medida. De cada jugador solo se mide su posición en el suelo; los cuerpos, hacia dónde miran y la zancada se dibujan, y la página lo dice junto al arranque. Ninguna medida se enseña en perspectiva.</w:t>
      </w:r>
    </w:p>
    <w:p>
      <w:pPr>
        <w:pStyle w:val="Heading2"/>
      </w:pPr>
      <w:r>
        <w:t xml:space="preserve">14.1 Lo que decidió el guion</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Lo que el lector puede tocar es poco y se puede enumerar: reproducir y pausar, el deslizador del tiempo, la siguiente penetración, el cambio de cámara y, sobre los tres defensores que no son el ayudante, ver su línea de hacia dónde van. No hay órbita libre, por tres razones: dejaría al lector inclinarse justo hasta la vista donde los pies sobre el suelo engañan; ya existe un visor 3D de este mismo paquete, así que explorar no aporta originalidad y arriesga la comunicación; y los controles de órbita llevan gestos táctiles que pelean con el desplazamiento de la página en 390 píxeles y un estado de cámara que ninguna comprobación podría enumerar. Quedan dos cámaras, las dos comprobables. Debajo de la penetración, la página repite los límites de esta memoria con su fuente: los diez partidos, el espejo de la penetración que en las casi rectas es casi arbitrario, que la altura del balón arrastra la anomalía del eje vertical, que la ausencia se mide contra un placebo y no como rotación, y que la esquina no se afirma.</w:t>
      </w:r>
    </w:p>
    <w:p>
      <w:pPr>
        <w:pStyle w:val="Heading2"/>
      </w:pPr>
      <w:r>
        <w:t xml:space="preserve">14.2 La construcción y los jugadores</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La prueba independiente desde la consola (B5, scripts/drive_wind_page.py) la escribió otro agente a partir del guion y sin leer el código de la página: 178 comprobaciones pasan sobre la página construida, y cada una de cuatro versiones estropeadas a propósito (una cifra escrita a mano, un seek roto, una cámara en perspectiva en la vista cenital, trayectorias dibujadas en la vista 3D) la hace fallar.</w:t>
      </w:r>
    </w:p>
    <w:p>
      <w:pPr>
        <w:spacing w:after="120" w:line="276"/>
      </w:pPr>
      <w:r>
        <w:rPr>
          <w:sz w:val="22"/>
          <w:szCs w:val="22"/>
        </w:rPr>
        <w:t xml:space="preserve">Javier abrió la página y el arranque no enganchaba: "no engancha nada; las fichas deben ser jugadores de baloncesto" (B4b). El límite de los datos decide lo que se dice, no lo que se dibuja: los jugadores pasan a ser figuras 3D animadas (un maniquí con licencia CC0 de Quaternius, con camiseta, pantalón y número añadidos), colocadas en su posición medida, con la zancada sacada de la distancia que recorren y el bote sincronizado con la altura medida del balón; hacia dónde miran y la postura se dibujan, y la página lo dice junto al arranque. El papel de cada uno va en un aro de color en el suelo, y al subir la cámara cada jugador se funde en su ficha de la figura 1, así que la vista de la medida no cambia.</w:t>
      </w:r>
    </w:p>
    <w:p>
      <w:pPr>
        <w:spacing w:after="120" w:line="276"/>
      </w:pPr>
      <w:r>
        <w:rPr>
          <w:sz w:val="22"/>
          <w:szCs w:val="22"/>
        </w:rPr>
        <w:t xml:space="preserve">El primer montaje con jugadores se juzgó como lo vería un extraño, en vídeo y en capturas a 1440 y 390 píxeles de ancho, y se arreglaron cuatro cosas medidas: los jugadores eran pequeños (la cámara se encuadra ahora sobre los seis protagonistas, el balón y la canasta, no sobre los diez), las etiquetas caían en otro jugador en el paso de la ayuda (ahora llevan una línea hasta la cabeza de su jugador), el arranque tardaba 2,7 s (se compilaban en serie doce programas de sombreado) y faltaban pelo, tonos de piel y público. Javier vio el vídeo y dijo que engancha. Quedaba una pasada corta, cerrada el 30 de octubre: el quinto inferior de la imagen de escritorio era delantal oscuro detrás de la línea de fondo y el público apenas se veía. El encuadre se desliza ahora también en vertical (la cámara no se mueve ni gira; la subida a la vista cenital deshace el desplazamiento) y el público son figuras sentadas a pie de pista. La regla nueva del guion, como mucho un 10 % de la altura de la imagen por debajo del pie, el balón o la canasta más bajos, la mide la comprobación desde la consola: la página anterior la incumple (entre el 18,7 % y el 36,9 % según penetración y ancho) y la nueva deja un 6 % en las cuatro penetraciones y los dos anchos. En la GPU de este portátil la comprobación pasa entera (184 de 184), con 16,7 ms por fotograma y la página reproduciendo en menos de 0,7 s. Quedan como están, a propósito, el tablero en el centro de la imagen y el ayudante tapando al del balón en el paso de la ayuda, que es la geometría de la jugada vista desde detrás de la canasta.</w:t>
      </w:r>
    </w:p>
    <w:p>
      <w:pPr>
        <w:pStyle w:val="Heading2"/>
      </w:pPr>
      <w:r>
        <w:t xml:space="preserve">14.3 Lo que comprueba la consola</w:t>
      </w:r>
    </w:p>
    <w:p>
      <w:pPr>
        <w:spacing w:after="120" w:line="276"/>
      </w:pPr>
      <w:r>
        <w:rPr>
          <w:sz w:val="22"/>
          <w:szCs w:val="22"/>
        </w:rPr>
        <w:t xml:space="preserve">scripts/drive_wind_page.py abre la página construida con Playwright y la maneja solo por su interfaz de consola (window.wind). Son 101 filas en el código, que en la ejecución de este portátil el 30 de octubre dan 184 comprobaciones, 184 pasadas y 0 fallidas, en 65 s, con el renderizador ANGLE Intel Arc D3D11. Los valores esperados se leen en cada ejecución de los CSV y del JSON de las escenas, no se escriben en el comprobador. Comprueba, en lo esencial: que el número de cada elemento inyectado (136 con su fuente data-src) coincide con el CSV que nombra y con los dígitos impresos; que la vista cenital es de verdad cenital, con una cámara ortográfica y con el color de las fichas del ayudante y del hombre dejado devuelto por unproject a 0,1 ft de su posición medida, sin fiarse de la cuenta que lleva la propia página; que ninguna medida es visible fuera de la vista cenital y que en la vista 3D no hay ninguna trayectoria dibujada, por exploración de píxeles; que las etiquetas caen en su jugador, no se pisan entre sí y no tapan el balón; que las barras en el instante de la medida igualan los CSV a 0,01 ft; que con movimiento reducido no hay vuelo; y que ocurre lo mismo a 1440 y a 390 píxeles de ancho.</w:t>
      </w:r>
    </w:p>
    <w:p>
      <w:pPr>
        <w:spacing w:after="120" w:line="276"/>
      </w:pPr>
      <w:r>
        <w:rPr>
          <w:sz w:val="22"/>
          <w:szCs w:val="22"/>
        </w:rPr>
        <w:t xml:space="preserve">Las filas de tiempos solo valen en la GPU: con un renderizador por software fallan como "tiempo no medible", no pasan. En la GPU de este portátil el fotograma tiene una mediana de 16,7 ms, la página está reproduciendo a los 0,47 a 0,67 s en tres cargas en frío, y el margen inferior de la imagen, que el guion limita a un 10 % de la altura, es de un 6,0 % en las cuatro penetraciones a 1440 y a 390 píxeles.</w:t>
      </w:r>
    </w:p>
    <w:p>
      <w:pPr>
        <w:pStyle w:val="Heading2"/>
      </w:pPr>
      <w:r>
        <w:t xml:space="preserve">14.4 Las versiones estropeadas a propósito</w:t>
      </w:r>
    </w:p>
    <w:p>
      <w:pPr>
        <w:spacing w:after="120" w:line="276"/>
      </w:pPr>
      <w:r>
        <w:rPr>
          <w:sz w:val="22"/>
          <w:szCs w:val="22"/>
        </w:rPr>
        <w:t xml:space="preserve">Una comprobación que no puede fallar no ha comprobado nada, así que cada una de estas versiones de la página se construyó aparte, con un defecto puesto a propósito, y el comprobador tenía que salir con error. Salió con error en todas.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4226"/>
        <w:gridCol w:w="1800"/>
      </w:tblGrid>
      <w:tr>
        <w:trPr>
          <w:tblHeader/>
        </w:trPr>
        <w:tc>
          <w:tcPr>
            <w:tcW w:type="dxa" w:w="3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Defecto puesto</w:t>
            </w:r>
          </w:p>
        </w:tc>
        <w:tc>
          <w:tcPr>
            <w:tcW w:type="dxa" w:w="4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lo detecta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cifra escrita a mano (helper_help_move)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Los controles de data-value y de los dígitos impresos</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 seek roto, a t * 0,5</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comprobaciones fallan</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Cámara en perspectiva en la vista cenital</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filas de cámara ortográfica y la de unproject (0,31 ft de error)</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Trayectorias dibujadas en la vista 3D</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exploración de píxeles: de 315 a 1203 píxeles de ese color, frente a 513 a 2207 en la vista cenital</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Sale con 1</w:t>
            </w:r>
          </w:p>
        </w:tc>
      </w:tr>
      <w:tr>
        <w:tc>
          <w:tcPr>
            <w:tcW w:type="dxa" w:w="3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del encuadre anterior a la pasada del 30 de octubre (c9e1cfe)</w:t>
            </w:r>
          </w:p>
        </w:tc>
        <w:tc>
          <w:tcPr>
            <w:tcW w:type="dxa" w:w="4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Exactamente las dos filas de encuadre, con un margen inferior de 18,7 % a 36,9 % según penetración y ancho</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Falla donde debe, y la página nueva pasa</w:t>
            </w:r>
          </w:p>
        </w:tc>
      </w:tr>
    </w:tbl>
    <w:p>
      <w:pPr>
        <w:spacing w:after="120" w:line="276"/>
      </w:pPr>
      <w:r>
        <w:rPr>
          <w:sz w:val="22"/>
          <w:szCs w:val="22"/>
        </w:rPr>
        <w:t xml:space="preserve">Lo que la comprobación no cubre, dicho junto a lo que cubre: un número escrito a mano en la página sin su atributo data-src no lo ve, porque solo recorre los elementos que declaran su fuente; y el reloj de la reproducción con la pestaña oculta tampoco. Y comprueba que la página es fiel a sus ficheros y a su guion, no que el hallazgo sea cierto ni que enganche: eso lo juzgó Javier mirándola, y que la abra en su propia máquina (B7) sigue pendiente.</w:t>
      </w:r>
    </w:p>
    <w:p>
      <w:pPr>
        <w:pStyle w:val="Heading1"/>
        <w:pageBreakBefore/>
      </w:pPr>
      <w:r>
        <w:t xml:space="preserve">15. El repositorio público y el README (30 de octubre de 2026)</w:t>
      </w:r>
    </w:p>
    <w:p>
      <w:pPr>
        <w:spacing w:after="120" w:line="276"/>
      </w:pPr>
      <w:r>
        <w:rPr>
          <w:sz w:val="22"/>
          <w:szCs w:val="22"/>
        </w:rPr>
        <w:t xml:space="preserve">Decidido (decisión D2): este repositorio es la entrada. El estado final de la entrada del rebote queda marcado con la etiqueta bounce-final, sobre el commit 635ea4d, y su README se movió a docs/bounce/ con sus enlaces corregidos. No se borró nada: los guiones, los tests y los CSV del rebote siguen en el repositorio y siguen en verde.</w:t>
      </w:r>
    </w:p>
    <w:p>
      <w:pPr>
        <w:pStyle w:val="Heading2"/>
      </w:pPr>
      <w:r>
        <w:t xml:space="preserve">15.1 Qué dice el README nuevo y qué deja fuera</w:t>
      </w:r>
    </w:p>
    <w:p>
      <w:pPr>
        <w:spacing w:after="120" w:line="276"/>
      </w:pPr>
      <w:r>
        <w:rPr>
          <w:sz w:val="22"/>
          <w:szCs w:val="22"/>
        </w:rPr>
        <w:t xml:space="preserve">El README (890 palabras contadas por el comprobador, con un límite de 1000, y exactamente dos imágenes) cuenta solo la segunda ayuda: la primera mitad de la tesis se retiró el 29 de octubre (sección 12). Junto al 45,3 % lleva los dos matices: la esquina es ocupación (1,8 %) y hundirse por encima del balón cuenta como ayuda (el 66 % de los ayudantes arranca por encima del balón). Ninguna frase dice de dónde viene la ayuda ni que un defensor eligiera.</w:t>
      </w:r>
    </w:p>
    <w:p>
      <w:pPr>
        <w:spacing w:after="120" w:line="276"/>
      </w:pPr>
      <w:r>
        <w:rPr>
          <w:sz w:val="22"/>
          <w:szCs w:val="22"/>
        </w:rPr>
        <w:t xml:space="preserve">Deja fuera, a propósito, el error de 4 a 5 pies de las posiciones extrapoladas: ningún CSV lo lleva y en el README toda cifra sale de un CSV. Vive solo en esta memoria (riesgos, sección 16.1).</w:t>
      </w:r>
    </w:p>
    <w:p>
      <w:pPr>
        <w:pStyle w:val="Heading2"/>
      </w:pPr>
      <w:r>
        <w:t xml:space="preserve">15.2 Cómo se vigila</w:t>
      </w:r>
    </w:p>
    <w:p>
      <w:pPr>
        <w:spacing w:after="120" w:line="276"/>
      </w:pPr>
      <w:r>
        <w:rPr>
          <w:sz w:val="22"/>
          <w:szCs w:val="22"/>
        </w:rPr>
        <w:t xml:space="preserve">scripts/check_readme.py comprueba tres cosas: que el README no pase de 1000 palabras, que tenga exactamente dos imágenes y que cada cifra en negrita (29 hoy) se recalcule desde la columna del CSV de la que sale, y falle si no la encuentra. Para saber si podía fallar se probó con una copia en la que "45,3 %" pasó a "46,3 %": el comprobador imprimió un FAIL (README 46,3 %, CSV 45,3 %), 30 aprobadas y 1 fallada, y salió con código 1. Con el README real da 31 comprobaciones aprobadas (29 cifras, las palabras y las imágenes) y 0 falladas.</w:t>
      </w:r>
    </w:p>
    <w:p>
      <w:pPr>
        <w:pStyle w:val="Heading2"/>
      </w:pPr>
      <w:r>
        <w:t xml:space="preserve">15.3 El clon limpio</w:t>
      </w:r>
    </w:p>
    <w:p>
      <w:pPr>
        <w:spacing w:after="120" w:line="276"/>
      </w:pPr>
      <w:r>
        <w:rPr>
          <w:sz w:val="22"/>
          <w:szCs w:val="22"/>
        </w:rPr>
        <w:t xml:space="preserve">Se clonó el repositorio en una carpeta nueva, sin el conjunto de datos, y se ejecutó lo que el README manda ejecutar: uv sync --extra dev, uv run pytest (288 pasan, 21 se saltan por necesitar el dato), scripts/help_figures.py, scripts/wind_html.py y esta misma memoria, con código de salida 0 en las cinco. Las figuras salieron idénticas byte a byte (no aparecen en git status); la página solo difirió en el identificador del commit que lleva incrustado, y el docx solo en la tabla del registro de versiones y en las marcas de tiempo.</w:t>
      </w:r>
    </w:p>
    <w:p>
      <w:pPr>
        <w:pStyle w:val="Heading2"/>
      </w:pPr>
      <w:r>
        <w:t xml:space="preserve">15.4 Lo que falta</w:t>
      </w:r>
    </w:p>
    <w:p>
      <w:pPr>
        <w:spacing w:after="120" w:line="276"/>
      </w:pPr>
      <w:r>
        <w:rPr>
          <w:sz w:val="22"/>
          <w:szCs w:val="22"/>
        </w:rPr>
        <w:t xml:space="preserve">C1b, publicar la página en GitHub Pages, se hizo el mismo 30 de octubre con el visto bueno de Javier: el repositorio público es github.com/javiersr1996/nobody-helps-the-helper y la página se sirve en javiersr1996.github.io/nobody-helps-the-helper, publicada por un flujo de GitHub Actions que copia el fichero del repositorio sin reconstruirlo. El README enlaza ya a esa dirección. La dirección responde 200 y el fichero servido tiene la misma huella SHA-256 que el del repositorio. La comprobación desde la consola contra la dirección destapó un fallo del propio comprobador, no de la página: leía el estado y la barra de tiempo en dos llamadas separadas mientras la página seguía reproduciendo; ahora las lee en una sola y se probó que sigue fallando con una página estropeada a propósito.</w:t>
      </w:r>
    </w:p>
    <w:p>
      <w:pPr>
        <w:spacing w:after="120" w:line="276"/>
      </w:pPr>
      <w:r>
        <w:rPr>
          <w:sz w:val="22"/>
          <w:szCs w:val="22"/>
        </w:rPr>
        <w:t xml:space="preserve">El arranque se leyó mal primero. En tres pasadas contra la dirección el primer fotograma tardó entre 0,97 y 1,18 s, 0,57 s y entre 1,15 y 1,52 s, frente al objetivo de 1,0 s del guion, mientras en local se cumplía (entre 0,47 y 0,67 s); como la página es la misma byte a byte (877 KB comprimida), se dedujo que la diferencia estaba en la red. Medido el mismo día, la deducción era falsa. Con la comprobación desde la consola en cuatro pasadas seguidas, alternando el fichero local y la dirección, la dirección pasa entera las dos veces (184 de 184, primer fotograma entre 0,47 y 0,58 s) y el fichero local falla las dos veces esa sola fila, en la primera de sus tres cargas en frío (1,09 y 1,12 s; las otras, entre 0,53 y 0,72 s). El fallo sigue a la pasada, no a la dirección.</w:t>
      </w:r>
    </w:p>
    <w:p>
      <w:pPr>
        <w:spacing w:after="120" w:line="276"/>
      </w:pPr>
      <w:r>
        <w:rPr>
          <w:sz w:val="22"/>
          <w:szCs w:val="22"/>
        </w:rPr>
        <w:t xml:space="preserve">scripts/startup_split.py carga las dos por turnos, cada vez en un navegador nuevo y con la instrumentación de la comprobación, y separa las partes. En sus doce cargas, la red pone la descarga: la respuesta termina entre 49 y 246 ms después de empezar la navegación, contra 27 a 47 ms del fichero local; sin traza, el primer fotograma llegó entre 0,72 y 0,82 s por la dirección y entre 0,50 y 0,72 s en local. Lo demás es el hilo principal del navegador ejecutando los scripts, y no espera a nada más: el primer dibujo se hace en cuanto termina el script, sin esperar a que se compilen los shaders. En cuatro cargas trazadas (la traza ralentiza la página, así que de ellas solo vale el reparto), three.js se compila y ejecuta en 36 a 49 ms y el script de la página corre entre 343 y 486 ms de los 564 a 804 ms que pasan hasta el primer dibujo. Lo más caro de ese script es el encuadre de la cámara de retransmisión, que calcula el plano de toda la penetración (91 a 145 ms); le siguen el primer dibujo ya con los shaders listos (65 a 99 ms), las texturas, los números de las camisetas y la zancada (61 a 87 ms), medir el lienzo, que obliga a maquetar la página (42 a 73 ms), la construcción de la escena (49 a 54 ms) y poner a compilar los shaders (42 a 63 ms). No está medido qué hace lenta una carga en frío concreta. El objetivo no se ha movido: recortar bytes ahorraría como mucho la descarga, y un objetivo solo para local no tiene sentido porque la fila también falla en local, así que lo que queda es hacer menos trabajo antes del primer fotograma, y eso lo decide Javier. Javier no ha leído aún el README (C5).</w:t>
      </w:r>
    </w:p>
    <w:p>
      <w:pPr>
        <w:spacing w:after="120" w:line="276"/>
      </w:pPr>
      <w:r>
        <w:rPr>
          <w:sz w:val="22"/>
          <w:szCs w:val="22"/>
        </w:rPr>
        <w:t xml:space="preserve">El primer recorte se hizo después: el encuadre de la cámara de retransmisión. Calculaba, para cada uno de los 39 fotogramas, unas 45 posiciones de la mirada, y de cada una la distancia mínima por bisección con 22 mitades fijas. Ahora una posición se descarta con una sola comprobación cuando su distancia mínima ya no puede mejorar el coste de la mejor hasta el momento (el coste nunca baja de la distancia), y solo se ajusta del todo la que puede ganar; además el cálculo de límites recorre una tabla plana de números en vez de matrices anidadas. Las 22 mitades no se tocaron: el resultado es el mismo número a número. Se comprobó en el navegador, las cuatro escenas con 390 por 844 (formato cuadrado), 1440 por 900 y 1920 por 1080 (apaisado), comparando la mirada, la distancia y los dos desplazamientos de cada fotograma con los de la versión anterior: la diferencia máxima es 0 en las doce combinaciones. El comparador falla donde debe: con 6 mitades en vez de 22 sale una diferencia de hasta 4,2 ft en la distancia, y lo da por malo. El encuadre se calcula una sola vez en el arranque (una escena, un tamaño), así que no había cálculo repetido que quitar. Tiempo del encuadre solo, en la GPU de la máquina, cuatro bloques alternados de cinco repeticiones por versión: 128 ms de mediana por escena la versión anterior (97 a 174) y 22,5 ms la nueva (15 a 31) con 1440 por 900; 111 ms (78 a 178) y 23,2 ms (17 a 31) con 390 por 844. En arranque, con scripts/startup_split.py en doce rondas alternadas: el fin del análisis de la página (en el que va el encuadre) tarda entre 528 y 1267 ms con mediana de 837 antes y entre 561 y 777 ms con mediana de 684 ahora; el primer fotograma, entre 658 y 1410 ms (mediana 977) antes y entre 719 y 972 ms (mediana 858) ahora. La máquina estaba más lenta que en las medidas anteriores, así que las cifras absolutas no se comparan con las de arriba. La comprobación desde la consola, en tres pasadas contra la página nueva: 184 de 184, 181 de 184 y 184 de 184. La que falló lo hizo solo en el arranque, con cargas en frío de 0,80, 1,08 y 1,52 s; el objetivo de 1,0 s no se ha movido y esa carga lenta sigue sin explicar.</w:t>
      </w:r>
    </w:p>
    <w:p>
      <w:pPr>
        <w:pStyle w:val="Heading1"/>
        <w:pageBreakBefore/>
      </w:pPr>
      <w:r>
        <w:t xml:space="preserve">16.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 curso, adelantada: B1 a B5 hechas entre el 29 y el 30 de octubre, con el arranque rehecho con jugadores (B4b) y aprobado por Javier; la sección de la página en esta memoria (B6, sección 14) hecha el 30 de octubre; queda que Javier la abra en su máquina (B7)</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C1 a C4 hechas el 30 de octubre, antes de su ventana: el README anterior archivado en docs/bounce con la etiqueta bounce-final, el README nuevo de 890 palabras con dos figuras y un comprobador (scripts/check_readme.py) que recalcula desde los CSV sus 29 cifras en negrita, el clon limpio y la sección 15 de esta memoria. C1b publicada el mismo día con el visto bueno de Javier y aceptada (la comprobación desde la consola pasa entera contra la dirección); el arranque, que a veces pasa de 1,0 s en local y por red, queda abierto como asunto de la página (sección 15.4); C5 (que Javier lea el README) espera a Javier</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el tracking no trae cuerpos, así que de cada jugador solo se mide su posición en el suelo (al principio se dibujaron fichas; véase la sección 14);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pStyle w:val="Heading2"/>
      </w:pPr>
      <w:r>
        <w:t xml:space="preserve">16.1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 Esa tabla no se ha contrastado con vídeo (no lo hay en los datos abiertos); la sección 11.9 mide cuánto concuerda con la cercanía y repite el contraste donde está corroborada, y es coherencia, no validación.</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17.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ListParagraph"/>
        <w:numPr>
          <w:ilvl w:val="0"/>
          <w:numId w:val="3"/>
        </w:numPr>
        <w:spacing w:after="60" w:line="276"/>
      </w:pPr>
      <w:r>
        <w:rPr>
          <w:sz w:val="22"/>
          <w:szCs w:val="22"/>
        </w:rPr>
        <w:t xml:space="preserve">El arranque de la página: en una carga en frío el primer fotograma pasa a veces de 1,0 s, contra la dirección o en local (sección 15.4). La red no es la causa; el encuadre de la cámara ya cuesta cinco veces menos (sección 15.4); queda una carga en frío lenta ocasional sin explicar, y el objetivo no se mueve.</w:t>
      </w:r>
    </w:p>
    <w:p>
      <w:pPr>
        <w:pStyle w:val="Heading1"/>
      </w:pPr>
      <w:r>
        <w:t xml:space="preserve">18.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y 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página construida y probada desde la consola; el arranque se rehace con jugadores 3D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 El 30 de octubre, antes de compartirla: el arranque con jugadores, cerrado (B4b, sección 13), con sus cuatro arreglos, la pasada del encuadre y el público, y la regla del margen inferior medida contra la página anterior.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0.5</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"La página": lo que decidió el guion, cómo se construyó y se rehízo el arranque (movido desde el plan), lo que comprueba la consola (184 comprobaciones en la GPU, con sus tiempos y el margen inferior) y las versiones de la página estropeadas a propósito que la hacen fallar, con lo que no cubre. Plan, pendientes y registro pasan a las secciones 14, 15 y 16; el plan conserva la decisión D8 y la publicación en GitHub Pages, con un puntero a la 13. El 30 de octubre, además, el README de la entrada (876 palabras, dos figuras, 31 cifras en negrita recalculadas desde los CSV por scripts/check_readme.py) sustituye al del rebote, archivado en docs/bounce; la dirección de la página en el README sigue siendo el fichero local hasta C1b.</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0.6</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14 nueva, "El repositorio público y el README": la decisión D2 (este repositorio es la entrada, etiqueta bounce-final, README del rebote en docs/bounce), lo que dice y lo que deja fuera el README nuevo, cómo lo vigila scripts/check_readme.py con su prueba de fallo, el resultado del clon limpio y lo que espera a Javier (C1b). Plan, pendientes y registro pasan a las secciones 15, 16 y 17; la fila de la fase C del plan se pone al día (890 palabras, 29 cifras en negrita). El mismo día, la página publicada en GitHub Pages (C1b) con su verificación y el arranque por red como pendiente. Después, la subsección 11.9, "Los emparejamientos del proveedor": la coherencia de la tabla matchups al arrancar y el contraste de la segunda ayuda en subconjuntos donde el emparejamiento está corroborado.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0.7</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13 nueva, "Ayuda cercana y ayuda larga", leída de reports/help_kinds_summary.csv: la distinción del entrenador entre la ayuda cercana (finta o comprometida) y la ayuda larga del último, las definiciones de scbasket.help_kinds, por qué se cambió la regla de la primera sonda, las lecturas fijadas en un commit antes de correr, los resultados a 1,5 s con sus sensibilidades, los tres veredictos y los límites. La página, el repositorio, el plan, los pendientes y el registro pasan a las secciones 14 a 18.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0.8</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arranque por red, medido. La deducción anterior (la diferencia está en la red) era falsa: con la comprobación desde la consola alternando el fichero local y la dirección, la dirección pasa entera y el local falla la fila del primer fotograma. scripts/startup_split.py separa la descarga del trabajo del hilo principal y reparte el script de la página por sus llamadas de arranque. Pendientes (sección 17) y fila de la fase C al día.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0.9</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15.4: el encuadre de la cámara de retransmisión, recortado sin cambiar su resultado (diferencia 0 contra la versión anterior en cuatro escenas y tres tamaños); de 128 a 22,5 ms por escena y la mediana del fin del análisis de la página de 837 a 684 ms. Una carga en frío de la comprobación sigue pasando de 1,0 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9.1: la figura 1 y las cuatro penetraciones de la página, elegidas de nuevo con la misma regla entre las 159 ayudas cercanas comprometidas (el ayudante es el más cercano y el hombre que deja, el suyo); la figura 1 es otra penetración del mismo partido, en el percentil 39 de las 159. El texto de la página, el README y la figura 2 siguen con el ayudante publicado hasta los pasos siguientes.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v1.0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158aae58a6125aa416ebe235b294a2efc8041fd.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2026-10-30T18:08:08.379Z</dcterms:created>
  <dcterms:modified xsi:type="dcterms:W3CDTF">2026-10-30T18:08:08.379Z</dcterms:modified>
</cp:coreProperties>
</file>

<file path=docProps/custom.xml><?xml version="1.0" encoding="utf-8"?>
<Properties xmlns="http://schemas.openxmlformats.org/officeDocument/2006/custom-properties" xmlns:vt="http://schemas.openxmlformats.org/officeDocument/2006/docPropsVTypes"/>
</file>