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0.5,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La página (29 y 30 de octubre de 2026)</w:t>
      </w:r>
    </w:p>
    <w:p>
      <w:pPr>
        <w:spacing w:after="80"/>
      </w:pPr>
      <w:r>
        <w:rPr>
          <w:sz w:val="22"/>
          <w:szCs w:val="22"/>
        </w:rPr>
        <w:t xml:space="preserve">14. Plan y calendario</w:t>
      </w:r>
    </w:p>
    <w:p>
      <w:pPr>
        <w:spacing w:after="80"/>
      </w:pPr>
      <w:r>
        <w:rPr>
          <w:sz w:val="22"/>
          <w:szCs w:val="22"/>
        </w:rPr>
        <w:t xml:space="preserve">15. Pendientes y decisiones abiertas</w:t>
      </w:r>
    </w:p>
    <w:p>
      <w:pPr>
        <w:spacing w:after="80"/>
      </w:pPr>
      <w:r>
        <w:rPr>
          <w:sz w:val="22"/>
          <w:szCs w:val="22"/>
        </w:rPr>
        <w:t xml:space="preserve">16.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9963d19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B4b: merge the frame and crowd pass after checking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a4807ad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B4b's state for the next session: hooks, one pass unmerged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8534983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Check the bottom-room rule and guard every timed row on software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faca83d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Seat the crowd as figures courtside so the arena reads full</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0c1ab86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Shift the broadcast frame down so it stops spending height on apron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21b09a4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Write down the bottom-room rule and a crowd that reads as people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c9e1cfe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Drive the page on the GPU and check it against the amended contract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41adb2d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Settle the canvas readback before B5 compares the wind's ink</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pStyle w:val="Heading2"/>
      </w:pPr>
      <w:r>
        <w:t xml:space="preserve">13.1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13.2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13.3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13.4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14.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13)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13);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14.1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15.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16.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14.1.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14),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v0.5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2026-10-30T08:51:10.270Z</dcterms:created>
  <dcterms:modified xsi:type="dcterms:W3CDTF">2026-10-30T08:51:10.271Z</dcterms:modified>
</cp:coreProperties>
</file>

<file path=docProps/custom.xml><?xml version="1.0" encoding="utf-8"?>
<Properties xmlns="http://schemas.openxmlformats.org/officeDocument/2006/custom-properties" xmlns:vt="http://schemas.openxmlformats.org/officeDocument/2006/docPropsVTypes"/>
</file>