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7bcb0bd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the page to open on the drive in 3D, top-down for the measure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4aa9b69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read on its own: the question as title, players named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18a8e28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figure 1 does not explain itself, and the next steps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4760322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Place the one drive among all helped drives in figure 1</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6ff7474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one drive that shows how the absence is measured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5fab289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Choose the page's drives by rule and cut their scenes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400f374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Redraw figure 1 as context and bring the memoria to v0.4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f260050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Give the corner headline its per-defender base rate</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 que Javier la mire.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y la figura no se genera si los tres no coinciden en los ayudantes.</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 B2 (las penetraciones elegidas por regla y sus escenas) adelantada y hecha el 29 de octubre para la figura 1</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los jugadores son fichas sobre su posición en el suelo, porque el tracking no trae cuerpos;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La figura 1 (la penetración que enseña la medida) no se explicaba sola: al verla, Javier preguntó qué representa, el riesgo de comunicación que señaló el segundo cribado del council (48 sobre 100). Se rehízo el 29 de octubre para que se lea sola, con una lectura en frío antes y después en lugar de otro cribado (sección 9.3); falta que Javier la mire.</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ac4fc35764b4968220e693bfde209f5f57e6d8d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2026-10-29T15:36:45.350Z</dcterms:created>
  <dcterms:modified xsi:type="dcterms:W3CDTF">2026-10-29T15:36:45.351Z</dcterms:modified>
</cp:coreProperties>
</file>

<file path=docProps/custom.xml><?xml version="1.0" encoding="utf-8"?>
<Properties xmlns="http://schemas.openxmlformats.org/officeDocument/2006/custom-properties" xmlns:vt="http://schemas.openxmlformats.org/officeDocument/2006/docPropsVTypes"/>
</file>