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0.21,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2"/>
      </w:pPr>
      <w:r>
        <w:t xml:space="preserve">4.1 Estado del arte: lo publicado sobre la defensa con tracking</w:t>
      </w:r>
    </w:p>
    <w:p>
      <w:pPr>
        <w:spacing w:after="120" w:line="276"/>
      </w:pPr>
      <w:r>
        <w:rPr>
          <w:sz w:val="22"/>
          <w:szCs w:val="22"/>
        </w:rPr>
        <w:t xml:space="preserve">No se encontró ningún trabajo que mida, desde tracking, la rotación hacia el hombre que deja el ayudante (la búsqueda cubrió arXiv, PLOS ONE, Scientific Reports, Sloan, JQAS y J Sports Sci; es ausencia en mis búsquedas, no prueba de que no exista). Lo más cercano, con su relación con esta entrada:</w:t>
      </w:r>
    </w:p>
    <w:p>
      <w:pPr>
        <w:pStyle w:val="ListParagraph"/>
        <w:numPr>
          <w:ilvl w:val="0"/>
          <w:numId w:val="2"/>
        </w:numPr>
        <w:spacing w:after="60" w:line="276"/>
      </w:pPr>
      <w:r>
        <w:rPr>
          <w:b/>
          <w:bCs/>
          <w:sz w:val="22"/>
          <w:szCs w:val="22"/>
        </w:rPr>
        <w:t xml:space="preserve">Franks, Miller, Bornn y Goldsberry (2015)</w:t>
      </w:r>
      <w:r>
        <w:rPr>
          <w:sz w:val="22"/>
          <w:szCs w:val="22"/>
        </w:rPr>
        <w:t xml:space="preserve">, Annals of Applied Statistics 9(1), 94-121, arXiv:1405.0231. Un modelo oculto de Markov infiere quién guarda a quién en cada fotograma sin etiquetas de emparejamiento. Sirve para contrastar los emparejamientos del proveedor; no mide rotaciones.</w:t>
      </w:r>
    </w:p>
    <w:p>
      <w:pPr>
        <w:pStyle w:val="ListParagraph"/>
        <w:numPr>
          <w:ilvl w:val="0"/>
          <w:numId w:val="2"/>
        </w:numPr>
        <w:spacing w:after="60" w:line="276"/>
      </w:pPr>
      <w:r>
        <w:rPr>
          <w:b/>
          <w:bCs/>
          <w:sz w:val="22"/>
          <w:szCs w:val="22"/>
        </w:rPr>
        <w:t xml:space="preserve">Keshri, Oh, Zhang e Iyengar (2019)</w:t>
      </w:r>
      <w:r>
        <w:rPr>
          <w:sz w:val="22"/>
          <w:szCs w:val="22"/>
        </w:rPr>
        <w:t xml:space="preserve">, Journal of Quantitative Analysis in Sports 15(2), 141-154, doi:10.1515/jqas-2017-0126. Asignación defensiva por energía con modelos ocultos de Markov y detección de eventos (pantallas, penetraciones). Otro contraste posible de los emparejamientos.</w:t>
      </w:r>
    </w:p>
    <w:p>
      <w:pPr>
        <w:pStyle w:val="ListParagraph"/>
        <w:numPr>
          <w:ilvl w:val="0"/>
          <w:numId w:val="2"/>
        </w:numPr>
        <w:spacing w:after="60" w:line="276"/>
      </w:pPr>
      <w:r>
        <w:rPr>
          <w:b/>
          <w:bCs/>
          <w:sz w:val="22"/>
          <w:szCs w:val="22"/>
        </w:rPr>
        <w:t xml:space="preserve">Supola, Hoch y Baca (2023)</w:t>
      </w:r>
      <w:r>
        <w:rPr>
          <w:sz w:val="22"/>
          <w:szCs w:val="22"/>
        </w:rPr>
        <w:t xml:space="preserve">, PLOS ONE 18(2): e0281467, doi:10.1371/journal.pone.0281467. Huecos defensivos cuando un compañero corta en una penetración, con SportVU. Es lo más próximo; no se define la ayuda, no controla con un placebo y no sigue al hombre dejado.</w:t>
      </w:r>
    </w:p>
    <w:p>
      <w:pPr>
        <w:pStyle w:val="ListParagraph"/>
        <w:numPr>
          <w:ilvl w:val="0"/>
          <w:numId w:val="2"/>
        </w:numPr>
        <w:spacing w:after="60" w:line="276"/>
      </w:pPr>
      <w:r>
        <w:rPr>
          <w:b/>
          <w:bCs/>
          <w:sz w:val="22"/>
          <w:szCs w:val="22"/>
        </w:rPr>
        <w:t xml:space="preserve">Lucey, Bialkowski, Carr, Yue y Matthews (2014)</w:t>
      </w:r>
      <w:r>
        <w:rPr>
          <w:sz w:val="22"/>
          <w:szCs w:val="22"/>
        </w:rPr>
        <w:t xml:space="preserve">, MIT Sloan Sports Analytics Conference, "How to Get an Open Shot". Los cambios de rol defensivo en los 3 s previos al tiro predicen tiros abiertos; es la magnitud más cercana a una rotación, pero por equipo y sin ligarla a una ayuda.</w:t>
      </w:r>
    </w:p>
    <w:p>
      <w:pPr>
        <w:pStyle w:val="ListParagraph"/>
        <w:numPr>
          <w:ilvl w:val="0"/>
          <w:numId w:val="2"/>
        </w:numPr>
        <w:spacing w:after="60" w:line="276"/>
      </w:pPr>
      <w:r>
        <w:rPr>
          <w:b/>
          <w:bCs/>
          <w:sz w:val="22"/>
          <w:szCs w:val="22"/>
        </w:rPr>
        <w:t xml:space="preserve">Chang y otros (2014)</w:t>
      </w:r>
      <w:r>
        <w:rPr>
          <w:sz w:val="22"/>
          <w:szCs w:val="22"/>
        </w:rPr>
        <w:t xml:space="preserve">, MIT Sloan Sports Analytics Conference, "Quantifying Shot Quality in the NBA". Valor esperado del tiro según posición y distancia del defensor. No verificado (solo un extracto de búsqueda); citar tras abrirlo.</w:t>
      </w:r>
    </w:p>
    <w:p>
      <w:pPr>
        <w:pStyle w:val="Heading2"/>
      </w:pPr>
      <w:r>
        <w:t xml:space="preserve">4.2 Métricas públicas de la ayuda defensiva (búsqueda del 31 de octubre de 2026)</w:t>
      </w:r>
    </w:p>
    <w:p>
      <w:pPr>
        <w:spacing w:after="120" w:line="276"/>
      </w:pPr>
      <w:r>
        <w:rPr>
          <w:sz w:val="22"/>
          <w:szCs w:val="22"/>
        </w:rPr>
        <w:t xml:space="preserve">Los siete enlaces consultados respondieron HTTP 200 el 31 de octubre de 2026 (solo el código de estado; el contenido de las páginas es el que se leyó en la búsqueda).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100"/>
        <w:gridCol w:w="2200"/>
        <w:gridCol w:w="1126"/>
      </w:tblGrid>
      <w:tr>
        <w:trPr>
          <w:tblHeader/>
        </w:trPr>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Métrica</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Quién</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mide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¿Capta ayuda o segunda rotación?</w:t>
            </w:r>
          </w:p>
        </w:tc>
        <w:tc>
          <w:tcPr>
            <w:tcW w:type="dxa" w:w="1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Pública</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Hustle stats (desvíos, tiros disputados con closeouts, cargas, balones sueltos, cortes de rebote)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Conteos de esfuerzo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de forma indirecta; ni ayuda ni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DFG% en el aro; bloqueos ayudados / recibidos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 de tiro permitido cerca del aro; tapones a un jugador que no es tu emparejamiento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primera ayuda en el aro, no la segunda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 MU% / emparejamientos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Parte de las posesiones que se guarda a cada atacante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emparejamientos, no movimientos</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Defensa de closeout, eFG% permitido como defensor más cercano, eficiencia de los cambios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Second Spectrum (vía ESPN)</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Puntos tras closeouts; efecto del cambio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ninguna métrica de ayuda ni de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(cuáles están en NBA.com: sin verificar)</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Roles defensivos ("Helper")</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Describe la rotación ("help the helper") como cualidad del rol</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nombra, sin nota definida en la página</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(registro, de pago)</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D-LEBRON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 priori de boxscore más RAPM, sin tracking</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la ayuda solo a través del resultado del equipo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STL%, BLK%, FOUL%, con/sin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Cleaning the Glass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Tasas de boxscore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"Help rotation metrics" (EuroLeague)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Scouting4U</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Anunciada, sin definir</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Afirmada, no se puede evaluar</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 pago (desde 2.000 EUR por temporada)</w:t>
            </w:r>
          </w:p>
        </w:tc>
      </w:tr>
    </w:tbl>
    <w:p>
      <w:pPr>
        <w:spacing w:after="160"/>
      </w:pPr>
      <w:r>
        <w:rPr>
          <w:i/>
          <w:iCs/>
          <w:color w:val="555555"/>
          <w:sz w:val="18"/>
          <w:szCs w:val="18"/>
        </w:rPr>
        <w:t xml:space="preserve">Fuente: Fuentes: nba.com/stats/help/glossary; africa.espn.com/nba/insider/story/_/id/33584857; bball-index.com/defensive-roles y /lebron-introduction; cleaningtheglass.com/stats/guide/player_def_reb; hhj.scouting4u.com/euroleague-scouting-analytics; pr.nba.com (alianza con Second Spectrum). Detalle en docs/research/help_defense_literature.md, apartado (F).</w:t>
      </w:r>
    </w:p>
    <w:p>
      <w:pPr>
        <w:spacing w:after="120" w:line="276"/>
      </w:pPr>
      <w:r>
        <w:rPr>
          <w:sz w:val="22"/>
          <w:szCs w:val="22"/>
        </w:rPr>
        <w:t xml:space="preserve">Sin verificar: Synergy (solo extractos de búsqueda), DRAPTOR y D-RAPM. Para la Liga ACB no se encontró nada.</w:t>
      </w:r>
    </w:p>
    <w:p>
      <w:pPr>
        <w:spacing w:after="120" w:line="276"/>
      </w:pPr>
      <w:r>
        <w:rPr>
          <w:sz w:val="22"/>
          <w:szCs w:val="22"/>
        </w:rPr>
        <w:t xml:space="preserve">Conclusión: ninguna métrica pública de las que se abrieron mide la segunda rotación; las más cercanas son el closeout y el bloqueo ayudado, ambas de primera ayuda. La medida de esta entrada (el movimiento de cada otro defensor hacia el hombre que deja el ayudante, menos un placebo) parte de posiciones, no de conteos ni de resultados, y hasta donde sabemos no tiene equivalente público.</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3fe9572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14.f results and the README word budget blocker in todo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138d48b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Measure what the man left gets: ball, clearance, shot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945183c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Cross-check the provider's matchups with a Franks HMM</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51f6e1c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public help-defense metrics survey to research and memoria 0.20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0fc3eff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absence's publication and leave the next steps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336a751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Fold the outcome-reading split into the cannot-fail lesson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4ac4b7c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Restore the 28-degree phone camera the owner approved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5f9f340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Frame the phone hook on the court and fix the percentile words</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 La sección 11.10 añade un segundo juicio, un modelo oculto de Markov, que coincide con ella en la mayoría de las penetraciones comprometidas; sigue siendo consistencia entre modelos, no verdad de campo.</w:t>
      </w:r>
    </w:p>
    <w:p>
      <w:pPr>
        <w:pStyle w:val="Heading2"/>
      </w:pPr>
      <w:r>
        <w:t xml:space="preserve">11.10 El contraste con un modelo oculto de Markov (31 de octubre de 2026, versión 0.21)</w:t>
      </w:r>
    </w:p>
    <w:p>
      <w:pPr>
        <w:spacing w:after="120" w:line="276"/>
      </w:pPr>
      <w:r>
        <w:rPr>
          <w:sz w:val="22"/>
          <w:szCs w:val="22"/>
        </w:rPr>
        <w:t xml:space="preserve">La sección 11.9 acababa en que la tabla matchups es coherencia y no validación. Esta sonda añade un segundo juicio, de otro tipo: infiere quién guarda a quién solo desde las posiciones, con el modelo de Franks, Miller, Bornn y Goldsberry (2015), y lo compara con el hombre dejado del proveedor (scripts/hmm_matchups.py, tests/test_hmm_matchups.py, reports/hmm_matchups.csv y hmm_matchups_summary.csv). Cada defensor es un modelo oculto de Markov independiente; el estado es el atacante con el que se le coloca; la emisión es una normal isótropa centrada en 0,62 del atacante, 0,11 del balón y 0,27 del aro (los pesos publicados); la permanencia es 0,975 por fotograma (el punto medio del 0,96 al 0,99 publicado); lo único que se ajusta con nuestros fotogramas es sigma, por EM, sobre 358.895 fotogramas de media pista: 3,02 ft. Todo se fijó en la cabecera del script antes de correr sobre las penetraciones. La etiqueta es causal: el camino de Viterbi se calcula solo con los fotogramas hasta el arranque de la penetración, y un test comprueba que reescribir los posteriores no la cambia.</w:t>
      </w:r>
    </w:p>
    <w:p>
      <w:pPr>
        <w:spacing w:after="120" w:line="276"/>
      </w:pPr>
      <w:r>
        <w:rPr>
          <w:sz w:val="22"/>
          <w:szCs w:val="22"/>
        </w:rPr>
        <w:t xml:space="preserve">Lectura: el modelo coloca al ayudante con el hombre dejado del proveedor en 195 de 246 de las penetraciones comprometidas, el 79,3 % (Wilson 95 %: 73,8 % a 83,9 %), con un 20 % por azar, 83,7 % si se elige el atacante más cercano al ayudante y 59,3 % con la línea base de cercanía de la sección 11.9. Un segundo antes del arranque coincide en 221 de 243 (90,9 %, 86,7 % a 93,9 %); de los 51 desacuerdos, en 45 el modelo coloca al ayudante con el jugador con balón, es decir, el ayudante ya está con él y el desacuerdo es de momento y no de identidad. En el 22,4 % de las penetraciones el hombre del proveedor tiene en el modelo menos de 0,5 de probabilidad (17,6 % a 28,0 %). En la referencia el acuerdo es 168 de 199 (84,4 %); sobre las 547 penetraciones con ayudante resuelto, 81,7 %. Sensibilidades, nunca el resultado: con permanencia 0,96 y 0,99 el acuerdo es 78,9 % y 79,7 %; con los tres pesos ajustados (0,65 atacante, 0,13 balón, 0,22 aro), 86,2 %.</w:t>
      </w:r>
    </w:p>
    <w:p>
      <w:pPr>
        <w:spacing w:after="120" w:line="276"/>
      </w:pPr>
      <w:r>
        <w:rPr>
          <w:sz w:val="22"/>
          <w:szCs w:val="22"/>
        </w:rPr>
        <w:t xml:space="preserve">El titular rehecho solo con las penetraciones donde el modelo coincide (195 comprometidas y 168 de la referencia), por el mismo camino de código que help_kinds.py (la ejecución sin restringir se comprueba igual al CSV publicado antes de escribir nada): a 1,5 s la media propia del grupo comprometido es −0,34 ft (IC 95 %: −0,77 a 0,06), lectura AUSENCIA. El tope del intervalo va de 0,06 ft a 0,09 ft según la sensibilidad (frozen, permanencia 0,96 y 0,99, pesos ajustados), de modo que la ausencia se mantiene. Nota solo de la memoria, que no va al README: a 1,0 s los intervalos restringidos quedan por debajo de cero (−0,33 ft, IC −0,61 a −0,06, y el contraste −0,44 ft, IC −0,82 a −0,07). Es una ventana de tres, no se lee como un alejamiento del hombre dejado, y a 1,5 y 2,0 s el cero vuelve a estar dentro.</w:t>
      </w:r>
    </w:p>
    <w:p>
      <w:pPr>
        <w:spacing w:after="120" w:line="276"/>
      </w:pPr>
      <w:r>
        <w:rPr>
          <w:sz w:val="22"/>
          <w:szCs w:val="22"/>
        </w:rPr>
        <w:t xml:space="preserve">Límite: es consistencia entre dos modelos, no verdad de campo. Si la tabla del proveedor viene de un modelo de esta familia, el acuerdo es entre modelos parecidos y sin vídeo no se puede comprobar. Lo que sí dice la sonda es que, donde dos modelos coinciden en el hombre dejado, la ausencia no cambia.</w:t>
      </w:r>
    </w:p>
    <w:p>
      <w:pPr>
        <w:pStyle w:val="Heading2"/>
      </w:pPr>
      <w:r>
        <w:t xml:space="preserve">11.11 Qué pasa con el hombre dejado (31 de octubre de 2026, versión 0.21)</w:t>
      </w:r>
    </w:p>
    <w:p>
      <w:pPr>
        <w:spacing w:after="120" w:line="276"/>
      </w:pPr>
      <w:r>
        <w:rPr>
          <w:sz w:val="22"/>
          <w:szCs w:val="22"/>
        </w:rPr>
        <w:t xml:space="preserve">La entrada mide que nadie se mueve hacia el hombre que deja el ayudante, pero no qué le cuesta eso al ataque. scripts/man_left_outcome.py (tests/test_man_left_outcome.py, reports/man_left_outcome.csv y man_left_outcome_summary.csv) lee, sobre las mismas penetraciones, tres desenlaces de ese hombre: que el balón llegue a él (un pase completo), su distancia al defensor más cercano en la recepción y el tiro que toma en los 2,0 s siguientes. Abierto es 6 pies o más, el umbral de Lucey y otros (2014) para un tiro abierto en la suelta; aplicarlo en la recepción es nuestro, y el trabajo de Chang y otros (2014) no se abrió. Los umbrales se fijaron en la cabecera antes de la primera ejecución. No es un pre-registro: las cifras de la entrada se vieron antes. Los intervalos del 95 % son por percentiles remuestreando los diez partidos (pocos grupos: probablemente son estrechos de más), y la diferencia se da también remuestreando penetraciones.</w:t>
      </w:r>
    </w:p>
    <w:p>
      <w:pPr>
        <w:spacing w:after="120" w:line="276"/>
      </w:pPr>
      <w:r>
        <w:rPr>
          <w:sz w:val="22"/>
          <w:szCs w:val="22"/>
        </w:rPr>
        <w:t xml:space="preserve">Primer intento, sustituido. La ventana fue un pase soltado entre 2,0 y 5,0 s desde el arranque, comprometidas contra referencia: el balón llega al hombre en el 6,5 % contra el 9,0 % (diferencia −2,5 puntos; IC por partidos −7,2 a 1,6); desde el arranque sin recortar, 13,4 % contra 10,1 % (IC −0,7 a 7,2). Ninguna sirve, por la misma razón: el grupo comprometido se define mirando al ayudante hasta los 2,0 s, y un pase temprano al hombre dejado hace que el ayudante recupere y la penetración salga del grupo. Hubo un pase al hombre antes de 2,0 s en 17 de 246 comprometidas, 3 de 17 recuperadas y 3 de 199 de la referencia: el desenlace elige el grupo. Por eso la ventana de 2,0 a 5,0 s y la comparación comprometidas contra referencia quedan como primer intento y no se usan en el README.</w:t>
      </w:r>
    </w:p>
    <w:p>
      <w:pPr>
        <w:spacing w:after="120" w:line="276"/>
      </w:pPr>
      <w:r>
        <w:rPr>
          <w:sz w:val="22"/>
          <w:szCs w:val="22"/>
        </w:rPr>
        <w:t xml:space="preserve">La partición válida es la que no puede leer el desenlace: toda ayuda cercana (comprometidas y recuperadas, 263 penetraciones; la clasificación por el paso del ayudante, sin la regla de los 2,0 s) contra las que se quedan en casa (199), con la ventana desde el fotograma del paso hasta 3,0 s después (a las de referencia, que no dan paso, se les abre en la mediana del paso de su partido). El balón llega al hombre dejado en el 12,9 % contra el 8,5 %, 4,4 puntos; el IC remuestreando partidos va de 0,4 a 7,8 y no contiene el cero, pero remuestreando penetraciones va de −1,5 a 9,8 y sí lo contiene. Cuando lo recibe (34 contra 17 recepciones), su distancia al defensor más cercano es 6,77 ft contra 6,59 ft (diferencia 0,18 ft, IC −2,13 a 2,21) y tira por recepción 0,50 contra 0,47 (IC −0,22 a 0,35).</w:t>
      </w:r>
    </w:p>
    <w:p>
      <w:pPr>
        <w:spacing w:after="120" w:line="276"/>
      </w:pPr>
      <w:r>
        <w:rPr>
          <w:sz w:val="22"/>
          <w:szCs w:val="22"/>
        </w:rPr>
        <w:t xml:space="preserve">Lectura: tras una ayuda cercana el balón llega al hombre dejado algo más a menudo, y la diferencia aguanta remuestrear partidos pero no penetraciones; cuando lo recibe, no está más libre ni tira más. Con 34 y 17 recepciones, el coste en tiros no se puede medir: no es que no exista, es que estas pocas recepciones no lo ven.</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 La sección 11.11 mide solo adónde va el balón y el tiro del hombre dejado, y no concluye sobre el coste.</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2"/>
      </w:pPr>
      <w:r>
        <w:t xml:space="preserve">14.7 El móvil en vertical, el percentil y la letra (31 de octubre de 2026, versiones 0.18 y 0.19)</w:t>
      </w:r>
    </w:p>
    <w:p>
      <w:pPr>
        <w:spacing w:after="120" w:line="276"/>
      </w:pPr>
      <w:r>
        <w:rPr>
          <w:sz w:val="22"/>
          <w:szCs w:val="22"/>
        </w:rPr>
        <w:t xml:space="preserve">En un móvil en vertical (390 por 844 píxeles) la cámara de retransmisión dejaba a los protagonistas pequeños en el tercio inferior del escenario, y el público llenaba la mitad de arriba. El encuadre está limitado por el ancho: los seis protagonistas ocupan ya en t = 0 entre el 85 % y el 89 % del ancho del lienzo, con cualquier campo de visión (se probaron de 14 a 80 grados), así que ninguna cámara sobre el eje de la canasta puede dibujarlos más grandes sin sacar a alguno del cuadro; quitar el acercamiento inicial gana un 3 %. Lo que sí se puede elegir es en qué se gasta la altura que sobra: con la inclinación de 28 grados iba a las gradas, entre el 29 % y el 33 % del lienzo por encima de la línea de fondo lejana en el peor fotograma de cada penetración.</w:t>
      </w:r>
    </w:p>
    <w:p>
      <w:pPr>
        <w:spacing w:after="120" w:line="276"/>
      </w:pPr>
      <w:r>
        <w:rPr>
          <w:sz w:val="22"/>
          <w:szCs w:val="22"/>
        </w:rPr>
        <w:t xml:space="preserve">Se probó (versión 0.18) que un lienzo más alto que ancho usara su propia inclinación, 43 grados: la menor, en grados enteros, con la que en las cuatro penetraciones y en cada fotograma de 0 a 38, a 390 por 844 y a 360 por 800, como mucho el 10 % del lienzo quedaba entre la franja del título y la línea de fondo lejana (la regla del 10 % del borde inferior, puesta arriba). Con 42 grados la penetración 3 dejaba un 11 %. El precio: los cuerpos medían en pantalla entre un 15 % y un 20 % menos; a cambio, el paso del ayudante y el camino del hombre que deja se veían entre un 1 % y un 47 % más largos, porque crecía la parte que va a lo largo de la pista y no la que va de lado. La caja de la historia (los pies y las cabezas de los seis y el balón) ganaba altura, pero seguía abajo: lo que ocupaba el público lo ocupaba la pista vacía del otro campo. Son las cifras medidas desde la consola, con 28 y con 43 grados: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50"/>
        <w:gridCol w:w="1500"/>
        <w:gridCol w:w="1500"/>
        <w:gridCol w:w="1688"/>
        <w:gridCol w:w="1688"/>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Penetración</w:t>
            </w:r>
          </w:p>
        </w:tc>
        <w:tc>
          <w:tcPr>
            <w:tcW w:type="dxa" w:w="12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Pantalla</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 = 0</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t_h</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 = 0</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t_h</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61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67 → 57</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71 → 58</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59</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 → 46</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27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62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34 %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18 %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 19 %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 → 41</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r>
    </w:tbl>
    <w:p>
      <w:pPr>
        <w:spacing w:after="120" w:line="276"/>
      </w:pPr>
      <w:r>
        <w:rPr>
          <w:sz w:val="22"/>
          <w:szCs w:val="22"/>
        </w:rPr>
        <w:t xml:space="preserve">Con esa cámara la apaisada no cambiaba: a 1440 por 900 y a 1920 por 1080, en las cuatro penetraciones, los 158 números que devuelve el encuadre (la mirada, la distancia y los dos desplazamientos en los 39 fotogramas, más la inclinación y el campo de visión) salían idénticos comparados como texto, es decir, bit a bit, mientras la misma comparación sí veía el cambio en los dos móviles. Una fila de la consola para el vertical (como mucho el 10 % del lienzo pasada la línea de fondo lejana) pasaba con 43 grados (peor caso 9,6 %) y fallaba con 28 (33,1 %) y con 42 (11,2 %).</w:t>
      </w:r>
    </w:p>
    <w:p>
      <w:pPr>
        <w:spacing w:after="120" w:line="276"/>
      </w:pPr>
      <w:r>
        <w:rPr>
          <w:sz w:val="22"/>
          <w:szCs w:val="22"/>
        </w:rPr>
        <w:t xml:space="preserve">Javier lo rechazó y la página vuelve a la cámara de 28 grados en el móvil (versión 0.19): los 43 grados encogen a los jugadores, que era la queja, y quitan el público, que él había aprobado en la primera pantalla. Se quitó también la fila de la consola, que con la cámara anterior solo podía fallar. El encuadre en vertical es idéntico bit a bit al de antes del intento: los 158 números del encuadre coinciden en las cuatro penetraciones a 390 por 844 y a 360 por 800, y también a 1440 por 900 y a 1920 por 1080. Lo que queda de esta pasada es lo que sigue.</w:t>
      </w:r>
    </w:p>
    <w:p>
      <w:pPr>
        <w:spacing w:after="120" w:line="276"/>
      </w:pPr>
      <w:r>
        <w:rPr>
          <w:sz w:val="22"/>
          <w:szCs w:val="22"/>
        </w:rPr>
        <w:t xml:space="preserve">La frase sobre la penetración elegida decía "less clear than most, not typical" en el percentil 54, porque partía en el 50: todo lo que no quedaba por debajo de la mediana era menos claro que la mayoría y no típico. Ahora parte en los cuartiles. Entre el 25 y el 75, la mitad central, la penetración es típica ("in the middle half, a typical one"); por debajo del 25 quedan por encima de ella más de tres cuartos, y es más clara que la mayoría y no típica; por encima del 75, al revés. La regla se aplica al número impreso. Cambia en dos de las cuatro penetraciones, la 0 (percentil 54) y la 3 (67); la 1 (80) y la 2 (86) siguen como menos claras que la mayoría. Una prueba ejecuta con node la regla de la propia plantilla en diez valores y falla con la regla anterior en el 54.</w:t>
      </w:r>
    </w:p>
    <w:p>
      <w:pPr>
        <w:spacing w:after="120" w:line="276"/>
      </w:pPr>
      <w:r>
        <w:rPr>
          <w:sz w:val="22"/>
          <w:szCs w:val="22"/>
        </w:rPr>
        <w:t xml:space="preserve">El -0,634 que seguía en los datos de la página no es el contraste de la partición antigua: ese (-0,6345) no está, porque los datos no llevan ninguna fila near_committed_endpos. Es la media de la fila sin ayudante a 2,0 s de reports/second_help_summary.csv (-0,634193), una tabla que la página lleva entera y de la que solo lee las dos filas de 1,52 s. Se dejó como está.</w:t>
      </w:r>
    </w:p>
    <w:p>
      <w:pPr>
        <w:spacing w:after="120" w:line="276"/>
      </w:pPr>
      <w:r>
        <w:rPr>
          <w:sz w:val="22"/>
          <w:szCs w:val="22"/>
        </w:rPr>
        <w:t xml:space="preserve">La letra más pequeña que se ve es de 12 píxeles, no de 13: las etiquetas pequeñas de los gráficos (la cabecera "black − grey" y "n = 246"). A 13 píxeles van las etiquetas de los protagonistas sobre la pista, las marcas del deslizador, los números y las filas de los gráficos, los antetítulos y los números de la leyenda de bandas; a 14, las etiquetas 1, 2 y 3, las leyendas de los gráficos y del mapa de viento, los títulos del pie y el bloque de órdenes; a 15, los botones y el código dentro de las frases del pie. Ningún párrafo, elemento de lista, resumen ni celda baja de 16. El código dentro de las frases es texto corrido y pasa de 15 a 16; la fila de la consola que mide la letra del cuerpo ahora lo lee con la longitud de su párrafo, y falla en la página anterior en los dos anchos y las dos vistas. Etiquetas, marcas y leyendas quedan como estaban: ninguna baja de 12.</w:t>
      </w:r>
    </w:p>
    <w:p>
      <w:pPr>
        <w:spacing w:after="120" w:line="276"/>
      </w:pPr>
      <w:r>
        <w:rPr>
          <w:sz w:val="22"/>
          <w:szCs w:val="22"/>
        </w:rPr>
        <w:t xml:space="preserve">B5 en la GPU, sin nada más corriendo, sobre la construcción con la cámara anterior: 195 de 196 la primera vez, y la que falla es la fila ya conocida del primer fotograma (1,33, 1,21 y 1,12 s), y 196 de 196 la segunda (0,85, 0,66 y 0,52 s). Con los 43 grados había dado 197 de 197 dos veces.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2"/>
      </w:pPr>
      <w:r>
        <w:t xml:space="preserve">15.6 El README con las dos comprobaciones nuevas (31 de octubre de 2026, versión 0.21)</w:t>
      </w:r>
    </w:p>
    <w:p>
      <w:pPr>
        <w:spacing w:after="120" w:line="276"/>
      </w:pPr>
      <w:r>
        <w:rPr>
          <w:sz w:val="22"/>
          <w:szCs w:val="22"/>
        </w:rPr>
        <w:t xml:space="preserve">El README gana tres cosas, y pasa de 997 a 999 palabras según el comprobador (límite 1000, dos imágenes, 47 filas aprobadas y ninguna fallada): una frase de trabajos relacionados con la conclusión de la sección 4.2 (ninguna métrica pública abierta mide la segunda rotación), el acuerdo con el modelo oculto de Markov (79 % de las comprometidas, 91 % un segundo antes; sección 11.10) en lugar de la coherencia por cercanía, y un párrafo del desenlace del hombre dejado (12,9 % contra 8,5 %, la población de toda ayuda cercana contra la referencia; sección 11.11). Para caber se quitaron: la frase de los objetivos fijos de la robustez (sigue en la sección 17.5), la línea del rebote, el inciso del 3D del arranque, la línea de los diez partidos de los límites y la lista de módulos de lo que se entrega. Se retiraron las filas del comprobador de 519 de 595, 146 de 246 y 121 de 199 (las cifras siguen en la sección 11.9) y las de los objetivos fijos; se añadieron las de 79 %, 91 %, 12,9 % y 8,5 %, atadas a hmm_matchups_summary.csv y man_left_outcome_summary.csv.</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2"/>
      </w:pPr>
      <w:r>
        <w:t xml:space="preserve">16.6 Las palabras aprobadas y el vídeo otra vez (31 de octubre de 2026, versión 0.17)</w:t>
      </w:r>
    </w:p>
    <w:p>
      <w:pPr>
        <w:spacing w:after="120" w:line="276"/>
      </w:pPr>
      <w:r>
        <w:rPr>
          <w:sz w:val="22"/>
          <w:szCs w:val="22"/>
        </w:rPr>
        <w:t xml:space="preserve">Javier eligió la versión corta de la escena 5 y vio en la misma pregunta las de las escenas 2 y 4, así que el guion deja de ser un borrador (tasks/video_script_wind.md lo marca como aprobado). La escena 5 pasa a ser: "Of 618 drives, 246 look like this. Against a placebo, the other attackers, the three move no more toward the man left. If one of them rotated, it would read 1.35 feet; the data rule out more than 0.13." En total 119 palabras (13, 15, 9, 21, 39 y 22); las cifras habladas siguen en el README y la tabla del guion las lista con su línea. Con la voz de guía las líneas duran 5,23, 6,82, 4,80, 7,97, 18,10 y 8,71 s, y las ventanas pasan a 6, 8, 6, 10, 21 y 9 s (suman 60): la escena 3 recupera 1,2 s de silencio tras su línea, la 2 tiene 1,18 s de holgura, y sobran 0,77, 2,03, 2,90 y 0,29 s en las escenas 1, 4, 5 y 6. Los dos recortes de la figura 2 se cortan 0,22 s antes de "Against" (5,12 s en los límites de palabra de edge-tts), a 4,9 s de la escena. El MP4 se grabó otra vez: ffprobe lee 60,000 s y 1500 fotogramas (150, 200, 150, 250, 525 y 225), 1920x1080, sin audio y sin fotogramas negros; zoom de 1,00x a 1,11x. Antes, para que Javier viera la página, se capturó la página local en la GPU a 390 por 844 (escala 2) y a 1440 por 900: sin desbordes horizontales, objetivos de al menos 44 píxeles, letra mínima de 13 píxeles y ninguna cifra vieja visible (-0,63, 159, 8,7); en el móvil los jugadores quedan pequeños en el cuarto inferior del escenario.</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 la 11.10 la contrasta con un modelo oculto de Markov (consistencia entre dos modelos, tampoco verdad de campo).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16.6: guion aprobado por Javier (escena 5 corta; 119 palabras), ventanas de 6, 8, 6, 10, 21 y 9 s con un segundo de silencio tras la escena 3, recortes de la figura 2 recolocados, MP4 vuelto a grabar (60,000 s, 1500 fotogramas) y la vista previa de la página en el móvil y el escritorio.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nueva: la cámara del móvil en vertical (43 grados, la menor inclinación que deja como mucho un 10 % del lienzo pasada la línea de fondo lejana; cuerpos un 15 a 20 % más bajos, pasos sobre la pista hasta un 47 % más largos, la cámara apaisada idéntica bit a bit), la fila nueva de la consola y su copia estropeada, la frase del percentil partida en los cuartiles, el -0,634 de los datos (no es la partición antigua) y la letra más pequeña de la página.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Javier rechaza la cámara de 43 grados en vertical (encoge a los jugadores y quita el público que había aprobado); la página vuelve a los 28 grados, idéntica bit a bit en vertical y en apaisado a la de antes del intento, y se quita la fila de la consola. Se quedan la frase del percentil y la letra del código a 16 píxeles.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4.1 y 4.2 nuevas: estado del arte (Franks, Keshri, Supola, Lucey, Chang) y tabla de métricas públicas de la ayuda defensiva (NBA.com, Second Spectrum, BBall Index, Cleaning the Glass, Scouting4U); ninguna mide la segunda rotación.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11.10 y 11.11 nuevas: el contraste de los emparejamientos con un modelo oculto de Markov (Franks y otros, 2015; acuerdo con el proveedor, el titular restringido a los acuerdos y la nota a 1,0 s) y el desenlace del hombre dejado (ayuda cercana contra quedarse en casa; la primera ventana sustituida y por qué). Corregidos los límites de 11.9, 13.7 y 18.1.</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v0.21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2026-10-31T20:11:11.551Z</dcterms:created>
  <dcterms:modified xsi:type="dcterms:W3CDTF">2026-10-31T20:11:11.552Z</dcterms:modified>
</cp:coreProperties>
</file>

<file path=docProps/custom.xml><?xml version="1.0" encoding="utf-8"?>
<Properties xmlns="http://schemas.openxmlformats.org/officeDocument/2006/custom-properties" xmlns:vt="http://schemas.openxmlformats.org/officeDocument/2006/docPropsVTypes"/>
</file>