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4760322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Place the one drive among all helped drives in figure 1</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6ff7474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one drive that shows how the absence is measured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5fab289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Choose the page's drives by rule and cut their scenes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400f374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Redraw figure 1 as context and bring the memoria to v0.4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f260050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Give the corner headline its per-defender base rate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54e444f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phase A with figure 2 approved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e7cfa09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the corner headline has no base rate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 que Javier la mire.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donde el plan lo pone como gancho.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canvas sin CDN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y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el canvas, la reproducción de las penetraciones y la conducción desde la consola, sin holgura dentro;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La figura 1 (la penetración que enseña la medida) no se explicaba sola: al verla, Javier preguntó qué representa, el riesgo de comunicación que señaló el segundo cribado del council (48 sobre 100). Se rehízo el 29 de octubre para que se lea sola, con una lectura en frío antes y después en lugar de otro cribado (sección 9.3); falta que Javier la mire.</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ac4fc35764b4968220e693bfde209f5f57e6d8d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2026-10-29T15:19:25.253Z</dcterms:created>
  <dcterms:modified xsi:type="dcterms:W3CDTF">2026-10-29T15:19:25.254Z</dcterms:modified>
</cp:coreProperties>
</file>

<file path=docProps/custom.xml><?xml version="1.0" encoding="utf-8"?>
<Properties xmlns="http://schemas.openxmlformats.org/officeDocument/2006/custom-properties" xmlns:vt="http://schemas.openxmlformats.org/officeDocument/2006/docPropsVTypes"/>
</file>