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0.21,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51f6e1c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public help-defense metrics survey to research and memoria 0.20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0fc3eff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absence's publication and leave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336a751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Fold the outcome-reading split into the cannot-fail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4ac4b7c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Restore the 28-degree phone camera the owner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5f9f340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Frame the phone hook on the court and fix the percentile words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38b28c2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Approve the video script and re-film it with the short scene 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ba73698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video lines for the absence and re-film it (D2 13c)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5e30e29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near help by the helper's own move; claim the absence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 La sección 11.10 añade un segundo juicio, un modelo oculto de Markov, que coincide con ella en la mayoría de las penetraciones comprometidas; sigue siendo consistencia entre modelos, no verdad de campo.</w:t>
      </w:r>
    </w:p>
    <w:p>
      <w:pPr>
        <w:pStyle w:val="Heading2"/>
      </w:pPr>
      <w:r>
        <w:t xml:space="preserve">11.10 El contraste con un modelo oculto de Markov (31 de octubre de 2026, versión 0.21)</w:t>
      </w:r>
    </w:p>
    <w:p>
      <w:pPr>
        <w:spacing w:after="120" w:line="276"/>
      </w:pPr>
      <w:r>
        <w:rPr>
          <w:sz w:val="22"/>
          <w:szCs w:val="22"/>
        </w:rPr>
        <w:t xml:space="preserve">La sección 11.9 acababa en que la tabla matchups es coherencia y no validación. Esta sonda añade un segundo juicio, de otro tipo: infiere quién guarda a quién solo desde las posiciones, con el modelo de Franks, Miller, Bornn y Goldsberry (2015), y lo compara con el hombre dejado del proveedor (scripts/hmm_matchups.py, tests/test_hmm_matchups.py, reports/hmm_matchups.csv y hmm_matchups_summary.csv). Cada defensor es un modelo oculto de Markov independiente; el estado es el atacante con el que se le coloca; la emisión es una normal isótropa centrada en 0,62 del atacante, 0,11 del balón y 0,27 del aro (los pesos publicados); la permanencia es 0,975 por fotograma (el punto medio del 0,96 al 0,99 publicado); lo único que se ajusta con nuestros fotogramas es sigma, por EM, sobre 358.895 fotogramas de media pista: 3,02 ft. Todo se fijó en la cabecera del script antes de correr sobre las penetraciones. La etiqueta es causal: el camino de Viterbi se calcula solo con los fotogramas hasta el arranque de la penetración, y un test comprueba que reescribir los posteriores no la cambia.</w:t>
      </w:r>
    </w:p>
    <w:p>
      <w:pPr>
        <w:spacing w:after="120" w:line="276"/>
      </w:pPr>
      <w:r>
        <w:rPr>
          <w:sz w:val="22"/>
          <w:szCs w:val="22"/>
        </w:rPr>
        <w:t xml:space="preserve">Lectura: el modelo coloca al ayudante con el hombre dejado del proveedor en 195 de 246 de las penetraciones comprometidas, el 79,3 % (Wilson 95 %: 73,8 % a 83,9 %), con un 20 % por azar, 83,7 % si se elige el atacante más cercano al ayudante y 59,3 % con la línea base de cercanía de la sección 11.9. Un segundo antes del arranque coincide en 221 de 243 (90,9 %, 86,7 % a 93,9 %); de los 51 desacuerdos, en 45 el modelo coloca al ayudante con el jugador con balón, es decir, el ayudante ya está con él y el desacuerdo es de momento y no de identidad. En el 22,4 % de las penetraciones el hombre del proveedor tiene en el modelo menos de 0,5 de probabilidad (17,6 % a 28,0 %). En la referencia el acuerdo es 168 de 199 (84,4 %); sobre las 547 penetraciones con ayudante resuelto, 81,7 %. Sensibilidades, nunca el resultado: con permanencia 0,96 y 0,99 el acuerdo es 78,9 % y 79,7 %; con los tres pesos ajustados (0,65 atacante, 0,13 balón, 0,22 aro), 86,2 %.</w:t>
      </w:r>
    </w:p>
    <w:p>
      <w:pPr>
        <w:spacing w:after="120" w:line="276"/>
      </w:pPr>
      <w:r>
        <w:rPr>
          <w:sz w:val="22"/>
          <w:szCs w:val="22"/>
        </w:rPr>
        <w:t xml:space="preserve">El titular rehecho solo con las penetraciones donde el modelo coincide (195 comprometidas y 168 de la referencia), por el mismo camino de código que help_kinds.py (la ejecución sin restringir se comprueba igual al CSV publicado antes de escribir nada): a 1,5 s la media propia del grupo comprometido es −0,34 ft (IC 95 %: −0,77 a 0,06), lectura AUSENCIA. El tope del intervalo va de 0,06 ft a 0,09 ft según la sensibilidad (frozen, permanencia 0,96 y 0,99, pesos ajustados), de modo que la ausencia se mantiene. Nota solo de la memoria, que no va al README: a 1,0 s los intervalos restringidos quedan por debajo de cero (−0,33 ft, IC −0,61 a −0,06, y el contraste −0,44 ft, IC −0,82 a −0,07). Es una ventana de tres, no se lee como un alejamiento del hombre dejado, y a 1,5 y 2,0 s el cero vuelve a estar dentro.</w:t>
      </w:r>
    </w:p>
    <w:p>
      <w:pPr>
        <w:spacing w:after="120" w:line="276"/>
      </w:pPr>
      <w:r>
        <w:rPr>
          <w:sz w:val="22"/>
          <w:szCs w:val="22"/>
        </w:rPr>
        <w:t xml:space="preserve">Límite: es consistencia entre dos modelos, no verdad de campo. Si la tabla del proveedor viene de un modelo de esta familia, el acuerdo es entre modelos parecidos y sin vídeo no se puede comprobar. Lo que sí dice la sonda es que, donde dos modelos coinciden en el hombre dejado, la ausencia no cambia.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 la 11.10 la contrasta con un modelo oculto de Markov (consistencia entre dos modelos, tampoco verdad de campo).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11.10 nueva: el contraste de los emparejamientos con un modelo oculto de Markov (Franks y otros, 2015; acuerdo con el proveedor, el titular restringido a los acuerdos y la nota a 1,0 s). Corregidos los límites de 11.9 y 18.1.</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v0.21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2026-10-31T20:07:45.013Z</dcterms:created>
  <dcterms:modified xsi:type="dcterms:W3CDTF">2026-10-31T20:07:45.014Z</dcterms:modified>
</cp:coreProperties>
</file>

<file path=docProps/custom.xml><?xml version="1.0" encoding="utf-8"?>
<Properties xmlns="http://schemas.openxmlformats.org/officeDocument/2006/custom-properties" xmlns:vt="http://schemas.openxmlformats.org/officeDocument/2006/docPropsVTypes"/>
</file>