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40"/>
        <w:contextualSpacing w:val="false"/>
      </w:pPr>
      <w:r>
        <w:rPr/>
        <w:t>21 septiembre de 2013</w:t>
      </w:r>
    </w:p>
    <w:p>
      <w:pPr>
        <w:pStyle w:val="style0"/>
      </w:pPr>
      <w:r>
        <w:rPr/>
        <w:t>Modificar clientes</w:t>
      </w:r>
    </w:p>
    <w:p>
      <w:pPr>
        <w:pStyle w:val="style0"/>
      </w:pPr>
      <w:r>
        <w:rPr/>
        <w:tab/>
      </w:r>
      <w:r>
        <w:rPr>
          <w:shd w:fill="00FF00" w:val="clear"/>
        </w:rPr>
        <w:t>calcular dv</w:t>
      </w:r>
    </w:p>
    <w:p>
      <w:pPr>
        <w:pStyle w:val="style0"/>
        <w:shd w:fill="FFFFFF" w:val="clear"/>
      </w:pPr>
      <w:r>
        <w:rPr>
          <w:shd w:fill="FFFFFF" w:val="clear"/>
        </w:rPr>
        <w:tab/>
      </w:r>
      <w:r>
        <w:rPr>
          <w:shd w:fill="00FF00" w:val="clear"/>
        </w:rPr>
        <w:t>nombre y/o razón social</w:t>
      </w:r>
    </w:p>
    <w:p>
      <w:pPr>
        <w:pStyle w:val="style0"/>
      </w:pPr>
      <w:r>
        <w:rPr/>
        <w:tab/>
      </w:r>
      <w:r>
        <w:rPr>
          <w:shd w:fill="00FF00" w:val="clear"/>
        </w:rPr>
        <w:t>versión de tablas de códigos de actividad, quedaron de buscar los datos de los municipios</w:t>
      </w:r>
    </w:p>
    <w:p>
      <w:pPr>
        <w:pStyle w:val="style0"/>
      </w:pPr>
      <w:r>
        <w:rPr/>
        <w:tab/>
      </w:r>
      <w:r>
        <w:rPr>
          <w:shd w:fill="00FF00" w:val="clear"/>
        </w:rPr>
        <w:t>Asociar colores a proveedores; distinguir ventanas</w:t>
      </w:r>
    </w:p>
    <w:p>
      <w:pPr>
        <w:pStyle w:val="style0"/>
      </w:pPr>
      <w:r>
        <w:rPr/>
        <w:t>Pagos</w:t>
      </w:r>
    </w:p>
    <w:p>
      <w:pPr>
        <w:pStyle w:val="style0"/>
      </w:pPr>
      <w:r>
        <w:rPr/>
        <w:tab/>
      </w:r>
      <w:r>
        <w:rPr>
          <w:shd w:fill="00FF00" w:val="clear"/>
        </w:rPr>
        <w:t>El documento: Número y tipo</w:t>
      </w:r>
    </w:p>
    <w:p>
      <w:pPr>
        <w:pStyle w:val="style0"/>
      </w:pPr>
      <w:r>
        <w:rPr>
          <w:shd w:fill="00FF00" w:val="clear"/>
        </w:rPr>
        <w:tab/>
        <w:t>Cuadro de información de los cálculos</w:t>
      </w:r>
    </w:p>
    <w:p>
      <w:pPr>
        <w:pStyle w:val="style0"/>
      </w:pPr>
      <w:r>
        <w:rPr/>
        <w:tab/>
      </w:r>
      <w:r>
        <w:rPr>
          <w:shd w:fill="00FF00" w:val="clear"/>
        </w:rPr>
        <w:t>Modificación del registro solamente del mismo día y usuario</w:t>
      </w:r>
    </w:p>
    <w:p>
      <w:pPr>
        <w:pStyle w:val="style0"/>
      </w:pPr>
      <w:r>
        <w:rPr/>
        <w:tab/>
      </w:r>
      <w:r>
        <w:rPr>
          <w:shd w:fill="00FF00" w:val="clear"/>
        </w:rPr>
        <w:t>Validar número de documento si ha sido pagado en otro momento</w:t>
      </w:r>
    </w:p>
    <w:p>
      <w:pPr>
        <w:pStyle w:val="style0"/>
      </w:pPr>
      <w:r>
        <w:rPr/>
        <w:tab/>
      </w:r>
      <w:r>
        <w:rPr>
          <w:shd w:fill="00FF00" w:val="clear"/>
        </w:rPr>
        <w:t>Observaciones</w:t>
      </w:r>
    </w:p>
    <w:p>
      <w:pPr>
        <w:pStyle w:val="style0"/>
      </w:pPr>
      <w:r>
        <w:rPr/>
        <w:tab/>
        <w:t>Revisión de iconos</w:t>
      </w:r>
    </w:p>
    <w:p>
      <w:pPr>
        <w:pStyle w:val="style0"/>
      </w:pPr>
      <w:r>
        <w:rPr/>
      </w:r>
    </w:p>
    <w:p>
      <w:pPr>
        <w:pStyle w:val="style1"/>
      </w:pPr>
      <w:r>
        <w:rPr/>
        <w:t>05 octubre de 2013</w:t>
      </w:r>
    </w:p>
    <w:p>
      <w:pPr>
        <w:pStyle w:val="style0"/>
      </w:pPr>
      <w:r>
        <w:rPr/>
      </w:r>
    </w:p>
    <w:p>
      <w:pPr>
        <w:pStyle w:val="style0"/>
      </w:pPr>
      <w:r>
        <w:rPr/>
        <w:t>Retención en la fuente:</w:t>
      </w:r>
    </w:p>
    <w:p>
      <w:pPr>
        <w:pStyle w:val="style0"/>
      </w:pPr>
      <w:r>
        <w:rPr/>
        <w:tab/>
      </w:r>
      <w:r>
        <w:rPr>
          <w:shd w:fill="00FF00" w:val="clear"/>
        </w:rPr>
        <w:t>Parámetro de retención a todos por políticas de la empresa</w:t>
      </w:r>
    </w:p>
    <w:p>
      <w:pPr>
        <w:pStyle w:val="style0"/>
      </w:pPr>
      <w:r>
        <w:rPr/>
        <w:tab/>
      </w:r>
      <w:r>
        <w:rPr>
          <w:shd w:fill="00FF00" w:val="clear"/>
        </w:rPr>
        <w:t>Marcar profesión liberal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00FF00" w:val="clear"/>
        </w:rPr>
        <w:t>Revisión tabla de productos</w:t>
      </w:r>
    </w:p>
    <w:p>
      <w:pPr>
        <w:pStyle w:val="style0"/>
      </w:pPr>
      <w:r>
        <w:rPr/>
        <w:t>Reporte</w:t>
      </w:r>
    </w:p>
    <w:p>
      <w:pPr>
        <w:pStyle w:val="style22"/>
        <w:numPr>
          <w:ilvl w:val="0"/>
          <w:numId w:val="1"/>
        </w:numPr>
      </w:pPr>
      <w:r>
        <w:rPr/>
        <w:t>Resumido</w:t>
      </w:r>
    </w:p>
    <w:p>
      <w:pPr>
        <w:pStyle w:val="style22"/>
        <w:numPr>
          <w:ilvl w:val="0"/>
          <w:numId w:val="1"/>
        </w:numPr>
      </w:pPr>
      <w:r>
        <w:rPr/>
        <w:t>Completo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Mejoras de valor agregado</w:t>
      </w:r>
    </w:p>
    <w:p>
      <w:pPr>
        <w:pStyle w:val="style0"/>
      </w:pPr>
      <w:r>
        <w:rPr/>
        <w:tab/>
        <w:t>Calendarios de vencimientos</w:t>
      </w:r>
    </w:p>
    <w:p>
      <w:pPr>
        <w:pStyle w:val="style0"/>
      </w:pPr>
      <w:r>
        <w:rPr/>
        <w:tab/>
      </w:r>
      <w:r>
        <w:rPr>
          <w:shd w:fill="00FF00" w:val="clear"/>
        </w:rPr>
        <w:t>Configuración servidor para pruebas</w:t>
      </w:r>
    </w:p>
    <w:p>
      <w:pPr>
        <w:pStyle w:val="style0"/>
      </w:pPr>
      <w:r>
        <w:rPr/>
        <w:t>23 octubre 2013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color w:val="00000A"/>
          <w:shd w:fill="00FF00" w:val="clear"/>
        </w:rPr>
        <w:t>Revisar no está guardando actividades económicas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Dejar lista general como defecto, y posibilidad de detallado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Buscar por código, traer nombre  y al contrario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Permitir varias actividades económicas por ciudad, escoger por principal, y al momento de realizar el pago escoger la actividad económica.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Buscar por nombre al  momento de pago para traer los datos del proveedor.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Si es ley 1429 de 2009 no retención en la fuente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Advertencia con nombres iguales en los bienes o servicios</w:t>
      </w:r>
    </w:p>
    <w:p>
      <w:pPr>
        <w:pStyle w:val="style0"/>
        <w:numPr>
          <w:ilvl w:val="0"/>
          <w:numId w:val="2"/>
        </w:numPr>
      </w:pPr>
      <w:r>
        <w:rPr/>
        <w:t>Formato de Excel para subir datos de proveedores</w:t>
      </w:r>
    </w:p>
    <w:p>
      <w:pPr>
        <w:pStyle w:val="style0"/>
        <w:numPr>
          <w:ilvl w:val="0"/>
          <w:numId w:val="2"/>
        </w:numPr>
      </w:pPr>
      <w:r>
        <w:rPr/>
        <w:t>Búsqueda avanzada  de bienes o servicios en el pago</w:t>
      </w:r>
    </w:p>
    <w:p>
      <w:pPr>
        <w:pStyle w:val="style0"/>
        <w:numPr>
          <w:ilvl w:val="0"/>
          <w:numId w:val="2"/>
        </w:numPr>
      </w:pPr>
      <w:r>
        <w:rPr/>
        <w:t>En cliente además de representante legal agregar otros cargos.</w:t>
      </w:r>
    </w:p>
    <w:p>
      <w:pPr>
        <w:pStyle w:val="style0"/>
        <w:numPr>
          <w:ilvl w:val="0"/>
          <w:numId w:val="2"/>
        </w:numPr>
        <w:spacing w:after="160" w:before="0"/>
        <w:contextualSpacing w:val="false"/>
      </w:pPr>
      <w:r>
        <w:rPr/>
        <w:t>Group office para manejo de documentos en la red.</w:t>
      </w:r>
      <w:bookmarkStart w:id="0" w:name="_GoBack"/>
      <w:bookmarkEnd w:id="0"/>
      <w:r>
        <w:rPr/>
        <w:t xml:space="preserve"> 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1065"/>
      </w:pPr>
    </w:lvl>
    <w:lvl w:ilvl="1">
      <w:start w:val="1"/>
      <w:numFmt w:val="lowerLetter"/>
      <w:lvlText w:val="%2."/>
      <w:lvlJc w:val="left"/>
      <w:pPr>
        <w:ind w:hanging="360" w:left="1785"/>
      </w:pPr>
    </w:lvl>
    <w:lvl w:ilvl="2">
      <w:start w:val="1"/>
      <w:numFmt w:val="lowerRoman"/>
      <w:lvlText w:val="%3."/>
      <w:lvlJc w:val="right"/>
      <w:pPr>
        <w:ind w:hanging="180" w:left="2505"/>
      </w:pPr>
    </w:lvl>
    <w:lvl w:ilvl="3">
      <w:start w:val="1"/>
      <w:numFmt w:val="decimal"/>
      <w:lvlText w:val="%4."/>
      <w:lvlJc w:val="left"/>
      <w:pPr>
        <w:ind w:hanging="360" w:left="3225"/>
      </w:pPr>
    </w:lvl>
    <w:lvl w:ilvl="4">
      <w:start w:val="1"/>
      <w:numFmt w:val="lowerLetter"/>
      <w:lvlText w:val="%5."/>
      <w:lvlJc w:val="left"/>
      <w:pPr>
        <w:ind w:hanging="360" w:left="3945"/>
      </w:pPr>
    </w:lvl>
    <w:lvl w:ilvl="5">
      <w:start w:val="1"/>
      <w:numFmt w:val="lowerRoman"/>
      <w:lvlText w:val="%6."/>
      <w:lvlJc w:val="right"/>
      <w:pPr>
        <w:ind w:hanging="180" w:left="4665"/>
      </w:pPr>
    </w:lvl>
    <w:lvl w:ilvl="6">
      <w:start w:val="1"/>
      <w:numFmt w:val="decimal"/>
      <w:lvlText w:val="%7."/>
      <w:lvlJc w:val="left"/>
      <w:pPr>
        <w:ind w:hanging="360" w:left="5385"/>
      </w:pPr>
    </w:lvl>
    <w:lvl w:ilvl="7">
      <w:start w:val="1"/>
      <w:numFmt w:val="lowerLetter"/>
      <w:lvlText w:val="%8."/>
      <w:lvlJc w:val="left"/>
      <w:pPr>
        <w:ind w:hanging="360" w:left="6105"/>
      </w:pPr>
    </w:lvl>
    <w:lvl w:ilvl="8">
      <w:start w:val="1"/>
      <w:numFmt w:val="lowerRoman"/>
      <w:lvlText w:val="%9."/>
      <w:lvlJc w:val="right"/>
      <w:pPr>
        <w:ind w:hanging="180" w:left="6825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s-CO"/>
    </w:rPr>
  </w:style>
  <w:style w:styleId="style1" w:type="paragraph">
    <w:name w:val="Encabezado 1"/>
    <w:basedOn w:val="style0"/>
    <w:next w:val="style1"/>
    <w:pPr>
      <w:keepNext/>
      <w:keepLines/>
      <w:spacing w:after="0" w:before="240"/>
      <w:contextualSpacing w:val="false"/>
    </w:pPr>
    <w:rPr>
      <w:rFonts w:ascii="Calibri Light" w:hAnsi="Calibri Light"/>
      <w:color w:val="2E74B5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libri Light" w:hAnsi="Calibri Light"/>
      <w:color w:val="2E74B5"/>
      <w:sz w:val="32"/>
      <w:szCs w:val="32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Etiquet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LibreOffice/4.0.5.2$Windows_x86 LibreOffice_project/5464147a081647a250913f19c0715bca595af2f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2013-10-05T15:10:00.00Z</dcterms:created>
  <dc:creator>Mauricio Rivera</dc:creator>
  <cp:lastModifiedBy>JUAN CARLOS</cp:lastModifiedBy>
  <dcterms:modified xsi:type="dcterms:W3CDTF">2013-10-23T06:23:00.00Z</dcterms:modified>
  <cp:revision>8</cp:revision>
</cp:coreProperties>
</file>