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70A" w:rsidRDefault="0036270A" w:rsidP="0036270A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</w:t>
      </w:r>
      <w:bookmarkStart w:id="0" w:name="_GoBack"/>
      <w:bookmarkEnd w:id="0"/>
      <w:r>
        <w:rPr>
          <w:rFonts w:ascii="Arvo" w:hAnsi="Arvo"/>
          <w:color w:val="1D1E1E"/>
          <w:sz w:val="30"/>
          <w:szCs w:val="30"/>
        </w:rPr>
        <w:t>n esta obra, Lady Gaga se despliega como un ser mutable, una reina camaleónica que desafía los límites de la expresión y del arte mismo. Su mirada penetra como un faro en la penumbra, y su pose captura la fuerza magnética de un espíritu que atrae y desconcierta a la vez.</w:t>
      </w:r>
    </w:p>
    <w:p w:rsidR="0036270A" w:rsidRDefault="0036270A" w:rsidP="0036270A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Más allá del glamour y la extravagancia, esta pintura nos muestra su lado más íntimo. Sus ojos transmiten una profunda emoción, revelando una vulnerabilidad que contrasta con su imagen pública y su universo lleno de color y provocación.</w:t>
      </w:r>
    </w:p>
    <w:p w:rsidR="006F256A" w:rsidRPr="004346EC" w:rsidRDefault="006F256A" w:rsidP="004346EC"/>
    <w:sectPr w:rsidR="006F256A" w:rsidRPr="00434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703"/>
    <w:rsid w:val="0036270A"/>
    <w:rsid w:val="004346EC"/>
    <w:rsid w:val="00570703"/>
    <w:rsid w:val="006F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79A71-426E-44EF-8D86-E5847351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434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434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3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2026-06-27T15:41:00Z</dcterms:created>
  <dcterms:modified xsi:type="dcterms:W3CDTF">2026-06-27T15:41:00Z</dcterms:modified>
</cp:coreProperties>
</file>