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4"/>
        </w:rPr>
        <w:t>PONTIFICIA UNIVERSIDAD JAVERIANA</w:t>
      </w:r>
    </w:p>
    <w:p>
      <w:pPr>
        <w:jc w:val="center"/>
      </w:pPr>
      <w:r>
        <w:rPr>
          <w:b w:val="0"/>
          <w:i w:val="0"/>
          <w:sz w:val="22"/>
        </w:rPr>
        <w:t>Procesamiento de Datos a Gran Escala</w:t>
      </w:r>
    </w:p>
    <w:p/>
    <w:p/>
    <w:p>
      <w:pPr>
        <w:jc w:val="center"/>
      </w:pPr>
      <w:r>
        <w:rPr>
          <w:b/>
          <w:color w:val="1F4E79"/>
          <w:sz w:val="38"/>
        </w:rPr>
        <w:t>Plan de acción basado en datos para la reducción</w:t>
        <w:br/>
        <w:t>de arrestos y siniestros viales en la ciudad de Nueva York</w:t>
      </w:r>
    </w:p>
    <w:p>
      <w:pPr>
        <w:jc w:val="center"/>
      </w:pPr>
      <w:r>
        <w:rPr>
          <w:i/>
          <w:sz w:val="26"/>
        </w:rPr>
        <w:t>Entrega 1. Entendimiento del negocio y entendimiento de los datos</w:t>
      </w:r>
    </w:p>
    <w:p/>
    <w:p/>
    <w:p/>
    <w:p/>
    <w:p/>
    <w:p/>
    <w:p>
      <w:pPr>
        <w:jc w:val="center"/>
      </w:pPr>
      <w:r>
        <w:rPr>
          <w:b/>
          <w:i w:val="0"/>
          <w:sz w:val="22"/>
        </w:rPr>
        <w:t>Equipo consultor</w:t>
      </w:r>
    </w:p>
    <w:p>
      <w:pPr>
        <w:jc w:val="center"/>
      </w:pPr>
      <w:r>
        <w:rPr>
          <w:b w:val="0"/>
          <w:i w:val="0"/>
          <w:sz w:val="22"/>
        </w:rPr>
        <w:t>Aldana · Ávila · Pardo</w:t>
      </w:r>
    </w:p>
    <w:p>
      <w:pPr>
        <w:jc w:val="center"/>
      </w:pPr>
      <w:r>
        <w:rPr>
          <w:b w:val="0"/>
          <w:i/>
          <w:sz w:val="20"/>
        </w:rPr>
        <w:t>Documento elaborado para el equipo de gobierno del estado de Nueva York</w:t>
      </w:r>
    </w:p>
    <w:p/>
    <w:p/>
    <w:p/>
    <w:p/>
    <w:p/>
    <w:p>
      <w:pPr>
        <w:jc w:val="center"/>
      </w:pPr>
      <w:r>
        <w:rPr>
          <w:b w:val="0"/>
          <w:i w:val="0"/>
          <w:sz w:val="20"/>
        </w:rPr>
        <w:t>2 de octubre de 2026</w:t>
      </w:r>
    </w:p>
    <w:p>
      <w:r>
        <w:br w:type="page"/>
      </w:r>
    </w:p>
    <w:p>
      <w:pPr>
        <w:pStyle w:val="Heading1"/>
        <w:keepNext/>
        <w:spacing w:before="360"/>
      </w:pPr>
      <w:r>
        <w:t>1. Entendimiento del negocio</w:t>
      </w:r>
    </w:p>
    <w:p>
      <w:pPr>
        <w:pStyle w:val="Heading2"/>
        <w:keepNext/>
        <w:spacing w:before="240"/>
      </w:pPr>
      <w:r>
        <w:t>1.1 Contexto general de la ciudad de Nueva York</w:t>
      </w:r>
    </w:p>
    <w:p>
      <w:r>
        <w:rPr>
          <w:b w:val="0"/>
          <w:i w:val="0"/>
          <w:sz w:val="22"/>
        </w:rPr>
        <w:t>La ciudad de Nueva York constituye el mayor centro urbano de los Estados Unidos y uno de los principales nodos económicos del mundo. Con una población estimada de 8.585.000 habitantes a julio de 2025, distribuida en cinco distritos administrativos de características muy dispares, concentra en apenas 778 kilómetros cuadrados una densidad poblacional, una diversidad demográfica y una intensidad de actividad económica sin equivalente en el país.</w:t>
      </w:r>
    </w:p>
    <w:p>
      <w:r>
        <w:rPr>
          <w:b w:val="0"/>
          <w:i w:val="0"/>
          <w:sz w:val="22"/>
        </w:rPr>
        <w:t>Esta escala explica por qué los indicadores de seguridad ciudadana y de seguridad vial resultan particularmente sensibles para el equipo de gobierno. Un desplazamiento de pocos puntos porcentuales en la cantidad de arrestos o de siniestros se traduce en miles de eventos adicionales al año, con su correspondiente costo humano, judicial y fiscal. Al mismo tiempo, la heterogeneidad entre distritos implica que una política uniforme para toda la ciudad resulta necesariamente ineficiente: lo que el Bronx requiere no coincide con lo que requiere Staten Island.</w:t>
      </w:r>
    </w:p>
    <w:p>
      <w:r>
        <w:rPr>
          <w:b w:val="0"/>
          <w:i w:val="0"/>
          <w:sz w:val="22"/>
        </w:rPr>
        <w:t>El territorio presenta además una marcada asimetría socioeconómica. El presente estudio estima, sobre los microdatos del censo correspondientes a 2023, que el 18,00% de la población vive bajo el umbral de pobreza, con una variación que va del 12,70% en Staten Island al 27,67% en el Bronx. Esa brecha de casi quince puntos porcentuales entre distritos de una misma ciudad constituye el telón de fondo de cualquier diagnóstico sobre seguridad.</w:t>
      </w:r>
    </w:p>
    <w:p>
      <w:pPr>
        <w:pStyle w:val="Heading2"/>
        <w:keepNext/>
        <w:spacing w:before="240"/>
      </w:pPr>
      <w:r>
        <w:t>1.2 Indicadores macroeconómicos de interés</w:t>
      </w:r>
    </w:p>
    <w:p>
      <w:r>
        <w:rPr>
          <w:b w:val="0"/>
          <w:i w:val="0"/>
          <w:sz w:val="22"/>
        </w:rPr>
        <w:t>Se seleccionaron los siguientes indicadores por su relación directa con la capacidad fiscal del gobierno para financiar intervenciones y con las condiciones materiales de la población sobre la que se pretende incidir.</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935"/>
            <w:shd w:fill="DCE6F1"/>
          </w:tcPr>
          <w:p>
            <w:pPr>
              <w:jc w:val="center"/>
            </w:pPr>
            <w:r/>
            <w:r>
              <w:rPr>
                <w:b/>
                <w:sz w:val="17"/>
              </w:rPr>
              <w:t>Indicador</w:t>
            </w:r>
          </w:p>
        </w:tc>
        <w:tc>
          <w:tcPr>
            <w:tcW w:type="dxa" w:w="2134"/>
            <w:shd w:fill="DCE6F1"/>
          </w:tcPr>
          <w:p>
            <w:pPr>
              <w:jc w:val="center"/>
            </w:pPr>
            <w:r/>
            <w:r>
              <w:rPr>
                <w:b/>
                <w:sz w:val="17"/>
              </w:rPr>
              <w:t>Valor</w:t>
            </w:r>
          </w:p>
        </w:tc>
        <w:tc>
          <w:tcPr>
            <w:tcW w:type="dxa" w:w="1601"/>
            <w:shd w:fill="DCE6F1"/>
          </w:tcPr>
          <w:p>
            <w:pPr>
              <w:jc w:val="center"/>
            </w:pPr>
            <w:r/>
            <w:r>
              <w:rPr>
                <w:b/>
                <w:sz w:val="17"/>
              </w:rPr>
              <w:t>Periodo</w:t>
            </w:r>
          </w:p>
        </w:tc>
        <w:tc>
          <w:tcPr>
            <w:tcW w:type="dxa" w:w="2401"/>
            <w:shd w:fill="DCE6F1"/>
          </w:tcPr>
          <w:p>
            <w:pPr>
              <w:jc w:val="center"/>
            </w:pPr>
            <w:r/>
            <w:r>
              <w:rPr>
                <w:b/>
                <w:sz w:val="17"/>
              </w:rPr>
              <w:t>Fuente</w:t>
            </w:r>
          </w:p>
        </w:tc>
      </w:tr>
      <w:tr>
        <w:tc>
          <w:tcPr>
            <w:tcW w:type="dxa" w:w="2935"/>
          </w:tcPr>
          <w:p>
            <w:pPr>
              <w:jc w:val="left"/>
            </w:pPr>
            <w:r/>
            <w:r>
              <w:rPr>
                <w:sz w:val="17"/>
              </w:rPr>
              <w:t>Población de la ciudad</w:t>
            </w:r>
          </w:p>
        </w:tc>
        <w:tc>
          <w:tcPr>
            <w:tcW w:type="dxa" w:w="2134"/>
          </w:tcPr>
          <w:p>
            <w:pPr>
              <w:jc w:val="center"/>
            </w:pPr>
            <w:r/>
            <w:r>
              <w:rPr>
                <w:sz w:val="17"/>
              </w:rPr>
              <w:t>8.585.000 hab.</w:t>
            </w:r>
          </w:p>
        </w:tc>
        <w:tc>
          <w:tcPr>
            <w:tcW w:type="dxa" w:w="1601"/>
          </w:tcPr>
          <w:p>
            <w:pPr>
              <w:jc w:val="center"/>
            </w:pPr>
            <w:r/>
            <w:r>
              <w:rPr>
                <w:sz w:val="17"/>
              </w:rPr>
              <w:t>Julio 2025</w:t>
            </w:r>
          </w:p>
        </w:tc>
        <w:tc>
          <w:tcPr>
            <w:tcW w:type="dxa" w:w="2401"/>
          </w:tcPr>
          <w:p>
            <w:pPr>
              <w:jc w:val="center"/>
            </w:pPr>
            <w:r/>
            <w:r>
              <w:rPr>
                <w:sz w:val="17"/>
              </w:rPr>
              <w:t>NYC Dept. of City Planning</w:t>
            </w:r>
          </w:p>
        </w:tc>
      </w:tr>
      <w:tr>
        <w:tc>
          <w:tcPr>
            <w:tcW w:type="dxa" w:w="2935"/>
          </w:tcPr>
          <w:p>
            <w:pPr>
              <w:jc w:val="left"/>
            </w:pPr>
            <w:r/>
            <w:r>
              <w:rPr>
                <w:sz w:val="17"/>
              </w:rPr>
              <w:t>Tasa de desempleo</w:t>
            </w:r>
          </w:p>
        </w:tc>
        <w:tc>
          <w:tcPr>
            <w:tcW w:type="dxa" w:w="2134"/>
          </w:tcPr>
          <w:p>
            <w:pPr>
              <w:jc w:val="center"/>
            </w:pPr>
            <w:r/>
            <w:r>
              <w:rPr>
                <w:sz w:val="17"/>
              </w:rPr>
              <w:t>5,1%</w:t>
            </w:r>
          </w:p>
        </w:tc>
        <w:tc>
          <w:tcPr>
            <w:tcW w:type="dxa" w:w="1601"/>
          </w:tcPr>
          <w:p>
            <w:pPr>
              <w:jc w:val="center"/>
            </w:pPr>
            <w:r/>
            <w:r>
              <w:rPr>
                <w:sz w:val="17"/>
              </w:rPr>
              <w:t>Septiembre 2025</w:t>
            </w:r>
          </w:p>
        </w:tc>
        <w:tc>
          <w:tcPr>
            <w:tcW w:type="dxa" w:w="2401"/>
          </w:tcPr>
          <w:p>
            <w:pPr>
              <w:jc w:val="center"/>
            </w:pPr>
            <w:r/>
            <w:r>
              <w:rPr>
                <w:sz w:val="17"/>
              </w:rPr>
              <w:t>NYC Comptroller</w:t>
            </w:r>
          </w:p>
        </w:tc>
      </w:tr>
      <w:tr>
        <w:tc>
          <w:tcPr>
            <w:tcW w:type="dxa" w:w="2935"/>
          </w:tcPr>
          <w:p>
            <w:pPr>
              <w:jc w:val="left"/>
            </w:pPr>
            <w:r/>
            <w:r>
              <w:rPr>
                <w:sz w:val="17"/>
              </w:rPr>
              <w:t>Razón empleo-población</w:t>
            </w:r>
          </w:p>
        </w:tc>
        <w:tc>
          <w:tcPr>
            <w:tcW w:type="dxa" w:w="2134"/>
          </w:tcPr>
          <w:p>
            <w:pPr>
              <w:jc w:val="center"/>
            </w:pPr>
            <w:r/>
            <w:r>
              <w:rPr>
                <w:sz w:val="17"/>
              </w:rPr>
              <w:t>58,7% (máximo histórico)</w:t>
            </w:r>
          </w:p>
        </w:tc>
        <w:tc>
          <w:tcPr>
            <w:tcW w:type="dxa" w:w="1601"/>
          </w:tcPr>
          <w:p>
            <w:pPr>
              <w:jc w:val="center"/>
            </w:pPr>
            <w:r/>
            <w:r>
              <w:rPr>
                <w:sz w:val="17"/>
              </w:rPr>
              <w:t>Ene–Sep 2025</w:t>
            </w:r>
          </w:p>
        </w:tc>
        <w:tc>
          <w:tcPr>
            <w:tcW w:type="dxa" w:w="2401"/>
          </w:tcPr>
          <w:p>
            <w:pPr>
              <w:jc w:val="center"/>
            </w:pPr>
            <w:r/>
            <w:r>
              <w:rPr>
                <w:sz w:val="17"/>
              </w:rPr>
              <w:t>NYC Comptroller</w:t>
            </w:r>
          </w:p>
        </w:tc>
      </w:tr>
      <w:tr>
        <w:tc>
          <w:tcPr>
            <w:tcW w:type="dxa" w:w="2935"/>
          </w:tcPr>
          <w:p>
            <w:pPr>
              <w:jc w:val="left"/>
            </w:pPr>
            <w:r/>
            <w:r>
              <w:rPr>
                <w:sz w:val="17"/>
              </w:rPr>
              <w:t>Producto metropolitano bruto</w:t>
            </w:r>
          </w:p>
        </w:tc>
        <w:tc>
          <w:tcPr>
            <w:tcW w:type="dxa" w:w="2134"/>
          </w:tcPr>
          <w:p>
            <w:pPr>
              <w:jc w:val="center"/>
            </w:pPr>
            <w:r/>
            <w:r>
              <w:rPr>
                <w:sz w:val="17"/>
              </w:rPr>
              <w:t>&gt; 2,6 billones USD</w:t>
            </w:r>
          </w:p>
        </w:tc>
        <w:tc>
          <w:tcPr>
            <w:tcW w:type="dxa" w:w="1601"/>
          </w:tcPr>
          <w:p>
            <w:pPr>
              <w:jc w:val="center"/>
            </w:pPr>
            <w:r/>
            <w:r>
              <w:rPr>
                <w:sz w:val="17"/>
              </w:rPr>
              <w:t>2024</w:t>
            </w:r>
          </w:p>
        </w:tc>
        <w:tc>
          <w:tcPr>
            <w:tcW w:type="dxa" w:w="2401"/>
          </w:tcPr>
          <w:p>
            <w:pPr>
              <w:jc w:val="center"/>
            </w:pPr>
            <w:r/>
            <w:r>
              <w:rPr>
                <w:sz w:val="17"/>
              </w:rPr>
              <w:t>NYCEDC</w:t>
            </w:r>
          </w:p>
        </w:tc>
      </w:tr>
      <w:tr>
        <w:tc>
          <w:tcPr>
            <w:tcW w:type="dxa" w:w="2935"/>
          </w:tcPr>
          <w:p>
            <w:pPr>
              <w:jc w:val="left"/>
            </w:pPr>
            <w:r/>
            <w:r>
              <w:rPr>
                <w:sz w:val="17"/>
              </w:rPr>
              <w:t>Tasa de pobreza</w:t>
            </w:r>
          </w:p>
        </w:tc>
        <w:tc>
          <w:tcPr>
            <w:tcW w:type="dxa" w:w="2134"/>
          </w:tcPr>
          <w:p>
            <w:pPr>
              <w:jc w:val="center"/>
            </w:pPr>
            <w:r/>
            <w:r>
              <w:rPr>
                <w:sz w:val="17"/>
              </w:rPr>
              <w:t>18,00%</w:t>
            </w:r>
          </w:p>
        </w:tc>
        <w:tc>
          <w:tcPr>
            <w:tcW w:type="dxa" w:w="1601"/>
          </w:tcPr>
          <w:p>
            <w:pPr>
              <w:jc w:val="center"/>
            </w:pPr>
            <w:r/>
            <w:r>
              <w:rPr>
                <w:sz w:val="17"/>
              </w:rPr>
              <w:t>2023</w:t>
            </w:r>
          </w:p>
        </w:tc>
        <w:tc>
          <w:tcPr>
            <w:tcW w:type="dxa" w:w="2401"/>
          </w:tcPr>
          <w:p>
            <w:pPr>
              <w:jc w:val="center"/>
            </w:pPr>
            <w:r/>
            <w:r>
              <w:rPr>
                <w:sz w:val="17"/>
              </w:rPr>
              <w:t>Cálculo propio sobre ACS PUMS</w:t>
            </w:r>
          </w:p>
        </w:tc>
      </w:tr>
      <w:tr>
        <w:tc>
          <w:tcPr>
            <w:tcW w:type="dxa" w:w="2935"/>
          </w:tcPr>
          <w:p>
            <w:pPr>
              <w:jc w:val="left"/>
            </w:pPr>
            <w:r/>
            <w:r>
              <w:rPr>
                <w:sz w:val="17"/>
              </w:rPr>
              <w:t>Presupuesto DOT — operación vial</w:t>
            </w:r>
          </w:p>
        </w:tc>
        <w:tc>
          <w:tcPr>
            <w:tcW w:type="dxa" w:w="2134"/>
          </w:tcPr>
          <w:p>
            <w:pPr>
              <w:jc w:val="center"/>
            </w:pPr>
            <w:r/>
            <w:r>
              <w:rPr>
                <w:sz w:val="17"/>
              </w:rPr>
              <w:t>463 millones USD</w:t>
            </w:r>
          </w:p>
        </w:tc>
        <w:tc>
          <w:tcPr>
            <w:tcW w:type="dxa" w:w="1601"/>
          </w:tcPr>
          <w:p>
            <w:pPr>
              <w:jc w:val="center"/>
            </w:pPr>
            <w:r/>
            <w:r>
              <w:rPr>
                <w:sz w:val="17"/>
              </w:rPr>
              <w:t>FY 2026</w:t>
            </w:r>
          </w:p>
        </w:tc>
        <w:tc>
          <w:tcPr>
            <w:tcW w:type="dxa" w:w="2401"/>
          </w:tcPr>
          <w:p>
            <w:pPr>
              <w:jc w:val="center"/>
            </w:pPr>
            <w:r/>
            <w:r>
              <w:rPr>
                <w:sz w:val="17"/>
              </w:rPr>
              <w:t>NYC DOT</w:t>
            </w:r>
          </w:p>
        </w:tc>
      </w:tr>
      <w:tr>
        <w:tc>
          <w:tcPr>
            <w:tcW w:type="dxa" w:w="2935"/>
          </w:tcPr>
          <w:p>
            <w:pPr>
              <w:jc w:val="left"/>
            </w:pPr>
            <w:r/>
            <w:r>
              <w:rPr>
                <w:sz w:val="17"/>
              </w:rPr>
              <w:t>Plan de capital DOT</w:t>
            </w:r>
          </w:p>
        </w:tc>
        <w:tc>
          <w:tcPr>
            <w:tcW w:type="dxa" w:w="2134"/>
          </w:tcPr>
          <w:p>
            <w:pPr>
              <w:jc w:val="center"/>
            </w:pPr>
            <w:r/>
            <w:r>
              <w:rPr>
                <w:sz w:val="17"/>
              </w:rPr>
              <w:t>33.500 millones USD</w:t>
            </w:r>
          </w:p>
        </w:tc>
        <w:tc>
          <w:tcPr>
            <w:tcW w:type="dxa" w:w="1601"/>
          </w:tcPr>
          <w:p>
            <w:pPr>
              <w:jc w:val="center"/>
            </w:pPr>
            <w:r/>
            <w:r>
              <w:rPr>
                <w:sz w:val="17"/>
              </w:rPr>
              <w:t>FY 2025–2035</w:t>
            </w:r>
          </w:p>
        </w:tc>
        <w:tc>
          <w:tcPr>
            <w:tcW w:type="dxa" w:w="2401"/>
          </w:tcPr>
          <w:p>
            <w:pPr>
              <w:jc w:val="center"/>
            </w:pPr>
            <w:r/>
            <w:r>
              <w:rPr>
                <w:sz w:val="17"/>
              </w:rPr>
              <w:t>NYC DOT</w:t>
            </w:r>
          </w:p>
        </w:tc>
      </w:tr>
    </w:tbl>
    <w:p>
      <w:pPr>
        <w:spacing w:after="0" w:before="0"/>
      </w:pPr>
      <w:r>
        <w:rPr>
          <w:sz w:val="8"/>
        </w:rPr>
      </w:r>
    </w:p>
    <w:p>
      <w:r>
        <w:rPr>
          <w:b w:val="0"/>
          <w:i w:val="0"/>
          <w:sz w:val="22"/>
        </w:rPr>
        <w:t>La lectura conjunta de estos indicadores revela una tensión relevante para el encargo: la ciudad atraviesa un momento de empleo históricamente alto y dispone de una capacidad de inversión considerable en infraestructura vial, pero ese desempeño agregado convive con una incidencia de la pobreza que supera el 27% en el distrito más afectado. La prosperidad no se distribuye de manera homogénea sobre el territorio, y es precisamente esa distribución desigual la que este proyecto se propone relacionar con los indicadores de seguridad.</w:t>
      </w:r>
    </w:p>
    <w:p>
      <w:pPr>
        <w:pStyle w:val="Heading2"/>
        <w:keepNext/>
        <w:spacing w:before="240"/>
      </w:pPr>
      <w:r>
        <w:t>1.3 Situación de los indicadores objeto del encargo</w:t>
      </w:r>
    </w:p>
    <w:p>
      <w:r>
        <w:rPr>
          <w:b w:val="0"/>
          <w:i w:val="0"/>
          <w:sz w:val="22"/>
        </w:rPr>
        <w:t>Conviene precisar el punto de partida, puesto que ninguno de los dos indicadores se encuentra en una situación de deterioro descontrolado.</w:t>
      </w:r>
    </w:p>
    <w:p>
      <w:r>
        <w:rPr>
          <w:b w:val="0"/>
          <w:i w:val="0"/>
          <w:sz w:val="22"/>
        </w:rPr>
        <w:t>En materia de seguridad vial, la ciudad cerró 2025 con 205 fallecidos en siniestros de tránsito, la cifra más baja jamás registrada desde que existen estadísticas, en 1910, lo que representa una reducción del 19% frente a los 253 fallecidos del año anterior. La iniciativa Vision Zero, vigente desde 2014, ha sido el instrumento principal de esa trayectoria. El análisis efectuado sobre los datos confirma la tendencia: los siniestros registrados pasaron de un máximo de 231.564 en 2018 a 85.546 en 2025.</w:t>
      </w:r>
    </w:p>
    <w:p>
      <w:r>
        <w:rPr>
          <w:b w:val="0"/>
          <w:i w:val="0"/>
          <w:sz w:val="22"/>
        </w:rPr>
        <w:t>En materia de arrestos, la serie histórica muestra un descenso sostenido desde el máximo de 422.322 arrestos en 2010 hasta el mínimo de 140.413 en 2020, seguido de una recuperación parcial que alcanza los 278.953 arrestos en 2025.</w:t>
      </w:r>
    </w:p>
    <w:p>
      <w:r>
        <w:rPr>
          <w:b w:val="0"/>
          <w:i/>
          <w:sz w:val="22"/>
        </w:rPr>
        <w:t>Esta constatación reorienta el encargo. El objetivo del equipo consultor no consiste en revertir una crisis, sino en identificar dónde persiste la concentración del problema y cómo asignar recursos de manera más eficiente sobre un territorio desigual. La pregunta pertinente no es cuánto reducir, sino dónde y sobre quién intervenir.</w:t>
      </w:r>
    </w:p>
    <w:p>
      <w:pPr>
        <w:pStyle w:val="Heading2"/>
        <w:keepNext/>
        <w:spacing w:before="240"/>
      </w:pPr>
      <w:r>
        <w:t>1.4 Objetivo de negocio del equipo consultor</w:t>
      </w:r>
    </w:p>
    <w:p>
      <w:r>
        <w:rPr>
          <w:b/>
          <w:i w:val="0"/>
          <w:sz w:val="22"/>
        </w:rPr>
        <w:t>Objetivo general</w:t>
      </w:r>
    </w:p>
    <w:p>
      <w:r>
        <w:rPr>
          <w:b w:val="0"/>
          <w:i w:val="0"/>
          <w:sz w:val="22"/>
        </w:rPr>
        <w:t>Diseñar un plan de acción territorializado, sustentado en el procesamiento analítico de datos abiertos de la ciudad de Nueva York, que permita al equipo de gobierno priorizar la asignación de recursos en las zonas de mayor incidencia de arrestos y de siniestros viales, incorporando las condiciones socioeconómicas y educativas como factores de contexto del diagnóstico.</w:t>
      </w:r>
    </w:p>
    <w:p>
      <w:r>
        <w:rPr>
          <w:b/>
          <w:i w:val="0"/>
          <w:sz w:val="22"/>
        </w:rPr>
        <w:t>Objetivos específicos</w:t>
      </w:r>
    </w:p>
    <w:p>
      <w:pPr>
        <w:pStyle w:val="ListNumber"/>
        <w:jc w:val="both"/>
      </w:pPr>
      <w:r>
        <w:rPr>
          <w:sz w:val="22"/>
        </w:rPr>
        <w:t>Caracterizar la distribución territorial y temporal de los arrestos y de los siniestros viales, empleando indicadores normalizados por población que permitan comparar distritos de tamaños distintos.</w:t>
      </w:r>
    </w:p>
    <w:p>
      <w:pPr>
        <w:pStyle w:val="ListNumber"/>
        <w:jc w:val="both"/>
      </w:pPr>
      <w:r>
        <w:rPr>
          <w:sz w:val="22"/>
        </w:rPr>
        <w:t>Identificar las unidades geográficas de mayor incidencia con el mayor grado de desagregación que los datos permitan, a fin de orientar intervenciones focalizadas en lugar de políticas uniformes.</w:t>
      </w:r>
    </w:p>
    <w:p>
      <w:pPr>
        <w:pStyle w:val="ListNumber"/>
        <w:jc w:val="both"/>
      </w:pPr>
      <w:r>
        <w:rPr>
          <w:sz w:val="22"/>
        </w:rPr>
        <w:t>Describir la coincidencia territorial entre los indicadores de seguridad y los de pobreza y desempeño educativo, referidos todos a un mismo año.</w:t>
      </w:r>
    </w:p>
    <w:p>
      <w:pPr>
        <w:pStyle w:val="ListNumber"/>
        <w:jc w:val="both"/>
      </w:pPr>
      <w:r>
        <w:rPr>
          <w:sz w:val="22"/>
        </w:rPr>
        <w:t>Determinar si el ordenamiento territorial de los indicadores es estable en el tiempo, de lo cual depende la vigencia de cualquier priorización que se recomiende.</w:t>
      </w:r>
    </w:p>
    <w:p>
      <w:pPr>
        <w:pStyle w:val="ListNumber"/>
        <w:jc w:val="both"/>
      </w:pPr>
      <w:r>
        <w:rPr>
          <w:sz w:val="22"/>
        </w:rPr>
        <w:t>Establecer una línea base verificable y reproducible que haga posible evaluar el efecto de las intervenciones que se implementen.</w:t>
      </w:r>
    </w:p>
    <w:p>
      <w:pPr>
        <w:pStyle w:val="Heading1"/>
        <w:keepNext/>
        <w:spacing w:before="360"/>
      </w:pPr>
      <w:r>
        <w:t>2. Selección de los datos a utilizar</w:t>
      </w:r>
    </w:p>
    <w:p>
      <w:pPr>
        <w:pStyle w:val="Heading2"/>
        <w:keepNext/>
        <w:spacing w:before="240"/>
      </w:pPr>
      <w:r>
        <w:t>2.1 Conjuntos de datos seleccionados</w:t>
      </w:r>
    </w:p>
    <w:p>
      <w:r>
        <w:rPr>
          <w:b w:val="0"/>
          <w:i w:val="0"/>
          <w:sz w:val="22"/>
        </w:rPr>
        <w:t>Se emplean nueve conjuntos de datos. Cinco corresponden a los suministrados en el enunciado del caso y cuatro fueron incorporados por el equipo consultor, acogiéndose a la autorización expresa de investigar fuentes actualizadas.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327"/>
            <w:shd w:fill="DCE6F1"/>
          </w:tcPr>
          <w:p>
            <w:pPr>
              <w:jc w:val="center"/>
            </w:pPr>
            <w:r/>
            <w:r>
              <w:rPr>
                <w:b/>
                <w:sz w:val="17"/>
              </w:rPr>
              <w:t>Origen</w:t>
            </w:r>
          </w:p>
        </w:tc>
        <w:tc>
          <w:tcPr>
            <w:tcW w:type="dxa" w:w="3650"/>
            <w:shd w:fill="DCE6F1"/>
          </w:tcPr>
          <w:p>
            <w:pPr>
              <w:jc w:val="center"/>
            </w:pPr>
            <w:r/>
            <w:r>
              <w:rPr>
                <w:b/>
                <w:sz w:val="17"/>
              </w:rPr>
              <w:t>Conjunto de datos</w:t>
            </w:r>
          </w:p>
        </w:tc>
        <w:tc>
          <w:tcPr>
            <w:tcW w:type="dxa" w:w="1438"/>
            <w:shd w:fill="DCE6F1"/>
          </w:tcPr>
          <w:p>
            <w:pPr>
              <w:jc w:val="center"/>
            </w:pPr>
            <w:r/>
            <w:r>
              <w:rPr>
                <w:b/>
                <w:sz w:val="17"/>
              </w:rPr>
              <w:t>Registros</w:t>
            </w:r>
          </w:p>
        </w:tc>
        <w:tc>
          <w:tcPr>
            <w:tcW w:type="dxa" w:w="885"/>
            <w:shd w:fill="DCE6F1"/>
          </w:tcPr>
          <w:p>
            <w:pPr>
              <w:jc w:val="center"/>
            </w:pPr>
            <w:r/>
            <w:r>
              <w:rPr>
                <w:b/>
                <w:sz w:val="17"/>
              </w:rPr>
              <w:t>Atrib.</w:t>
            </w:r>
          </w:p>
        </w:tc>
        <w:tc>
          <w:tcPr>
            <w:tcW w:type="dxa" w:w="1770"/>
            <w:shd w:fill="DCE6F1"/>
          </w:tcPr>
          <w:p>
            <w:pPr>
              <w:jc w:val="center"/>
            </w:pPr>
            <w:r/>
            <w:r>
              <w:rPr>
                <w:b/>
                <w:sz w:val="17"/>
              </w:rPr>
              <w:t>Periodo</w:t>
            </w:r>
          </w:p>
        </w:tc>
      </w:tr>
      <w:tr>
        <w:tc>
          <w:tcPr>
            <w:tcW w:type="dxa" w:w="1327"/>
          </w:tcPr>
          <w:p>
            <w:pPr>
              <w:jc w:val="left"/>
            </w:pPr>
            <w:r/>
            <w:r>
              <w:rPr>
                <w:sz w:val="17"/>
              </w:rPr>
              <w:t>Enunciado</w:t>
            </w:r>
          </w:p>
        </w:tc>
        <w:tc>
          <w:tcPr>
            <w:tcW w:type="dxa" w:w="3650"/>
          </w:tcPr>
          <w:p>
            <w:pPr>
              <w:jc w:val="center"/>
            </w:pPr>
            <w:r/>
            <w:r>
              <w:rPr>
                <w:sz w:val="17"/>
              </w:rPr>
              <w:t>NYPD Arrest Data (Year to Date)</w:t>
            </w:r>
          </w:p>
        </w:tc>
        <w:tc>
          <w:tcPr>
            <w:tcW w:type="dxa" w:w="1438"/>
          </w:tcPr>
          <w:p>
            <w:pPr>
              <w:jc w:val="center"/>
            </w:pPr>
            <w:r/>
            <w:r>
              <w:rPr>
                <w:sz w:val="17"/>
              </w:rPr>
              <w:t>141.870</w:t>
            </w:r>
          </w:p>
        </w:tc>
        <w:tc>
          <w:tcPr>
            <w:tcW w:type="dxa" w:w="885"/>
          </w:tcPr>
          <w:p>
            <w:pPr>
              <w:jc w:val="center"/>
            </w:pPr>
            <w:r/>
            <w:r>
              <w:rPr>
                <w:sz w:val="17"/>
              </w:rPr>
              <w:t>19</w:t>
            </w:r>
          </w:p>
        </w:tc>
        <w:tc>
          <w:tcPr>
            <w:tcW w:type="dxa" w:w="1770"/>
          </w:tcPr>
          <w:p>
            <w:pPr>
              <w:jc w:val="center"/>
            </w:pPr>
            <w:r/>
            <w:r>
              <w:rPr>
                <w:sz w:val="17"/>
              </w:rPr>
              <w:t>Ene–Jun 2026</w:t>
            </w:r>
          </w:p>
        </w:tc>
      </w:tr>
      <w:tr>
        <w:tc>
          <w:tcPr>
            <w:tcW w:type="dxa" w:w="1327"/>
          </w:tcPr>
          <w:p>
            <w:pPr>
              <w:jc w:val="left"/>
            </w:pPr>
            <w:r/>
            <w:r>
              <w:rPr>
                <w:sz w:val="17"/>
              </w:rPr>
              <w:t>Enunciado</w:t>
            </w:r>
          </w:p>
        </w:tc>
        <w:tc>
          <w:tcPr>
            <w:tcW w:type="dxa" w:w="3650"/>
          </w:tcPr>
          <w:p>
            <w:pPr>
              <w:jc w:val="center"/>
            </w:pPr>
            <w:r/>
            <w:r>
              <w:rPr>
                <w:sz w:val="17"/>
              </w:rPr>
              <w:t>NYCgov Poverty Measure Data (2018)</w:t>
            </w:r>
          </w:p>
        </w:tc>
        <w:tc>
          <w:tcPr>
            <w:tcW w:type="dxa" w:w="1438"/>
          </w:tcPr>
          <w:p>
            <w:pPr>
              <w:jc w:val="center"/>
            </w:pPr>
            <w:r/>
            <w:r>
              <w:rPr>
                <w:sz w:val="17"/>
              </w:rPr>
              <w:t>68.273</w:t>
            </w:r>
          </w:p>
        </w:tc>
        <w:tc>
          <w:tcPr>
            <w:tcW w:type="dxa" w:w="885"/>
          </w:tcPr>
          <w:p>
            <w:pPr>
              <w:jc w:val="center"/>
            </w:pPr>
            <w:r/>
            <w:r>
              <w:rPr>
                <w:sz w:val="17"/>
              </w:rPr>
              <w:t>61</w:t>
            </w:r>
          </w:p>
        </w:tc>
        <w:tc>
          <w:tcPr>
            <w:tcW w:type="dxa" w:w="1770"/>
          </w:tcPr>
          <w:p>
            <w:pPr>
              <w:jc w:val="center"/>
            </w:pPr>
            <w:r/>
            <w:r>
              <w:rPr>
                <w:sz w:val="17"/>
              </w:rPr>
              <w:t>2018</w:t>
            </w:r>
          </w:p>
        </w:tc>
      </w:tr>
      <w:tr>
        <w:tc>
          <w:tcPr>
            <w:tcW w:type="dxa" w:w="1327"/>
          </w:tcPr>
          <w:p>
            <w:pPr>
              <w:jc w:val="left"/>
            </w:pPr>
            <w:r/>
            <w:r>
              <w:rPr>
                <w:sz w:val="17"/>
              </w:rPr>
              <w:t>Enunciado</w:t>
            </w:r>
          </w:p>
        </w:tc>
        <w:tc>
          <w:tcPr>
            <w:tcW w:type="dxa" w:w="3650"/>
          </w:tcPr>
          <w:p>
            <w:pPr>
              <w:jc w:val="center"/>
            </w:pPr>
            <w:r/>
            <w:r>
              <w:rPr>
                <w:sz w:val="17"/>
              </w:rPr>
              <w:t>Motor Vehicle Collisions – Vehicles</w:t>
            </w:r>
          </w:p>
        </w:tc>
        <w:tc>
          <w:tcPr>
            <w:tcW w:type="dxa" w:w="1438"/>
          </w:tcPr>
          <w:p>
            <w:pPr>
              <w:jc w:val="center"/>
            </w:pPr>
            <w:r/>
            <w:r>
              <w:rPr>
                <w:sz w:val="17"/>
              </w:rPr>
              <w:t>4.551.002</w:t>
            </w:r>
          </w:p>
        </w:tc>
        <w:tc>
          <w:tcPr>
            <w:tcW w:type="dxa" w:w="885"/>
          </w:tcPr>
          <w:p>
            <w:pPr>
              <w:jc w:val="center"/>
            </w:pPr>
            <w:r/>
            <w:r>
              <w:rPr>
                <w:sz w:val="17"/>
              </w:rPr>
              <w:t>25</w:t>
            </w:r>
          </w:p>
        </w:tc>
        <w:tc>
          <w:tcPr>
            <w:tcW w:type="dxa" w:w="1770"/>
          </w:tcPr>
          <w:p>
            <w:pPr>
              <w:jc w:val="center"/>
            </w:pPr>
            <w:r/>
            <w:r>
              <w:rPr>
                <w:sz w:val="17"/>
              </w:rPr>
              <w:t>2012–2026</w:t>
            </w:r>
          </w:p>
        </w:tc>
      </w:tr>
      <w:tr>
        <w:tc>
          <w:tcPr>
            <w:tcW w:type="dxa" w:w="1327"/>
          </w:tcPr>
          <w:p>
            <w:pPr>
              <w:jc w:val="left"/>
            </w:pPr>
            <w:r/>
            <w:r>
              <w:rPr>
                <w:sz w:val="17"/>
              </w:rPr>
              <w:t>Enunciado</w:t>
            </w:r>
          </w:p>
        </w:tc>
        <w:tc>
          <w:tcPr>
            <w:tcW w:type="dxa" w:w="3650"/>
          </w:tcPr>
          <w:p>
            <w:pPr>
              <w:jc w:val="center"/>
            </w:pPr>
            <w:r/>
            <w:r>
              <w:rPr>
                <w:sz w:val="17"/>
              </w:rPr>
              <w:t>2012 SAT Results</w:t>
            </w:r>
          </w:p>
        </w:tc>
        <w:tc>
          <w:tcPr>
            <w:tcW w:type="dxa" w:w="1438"/>
          </w:tcPr>
          <w:p>
            <w:pPr>
              <w:jc w:val="center"/>
            </w:pPr>
            <w:r/>
            <w:r>
              <w:rPr>
                <w:sz w:val="17"/>
              </w:rPr>
              <w:t>478</w:t>
            </w:r>
          </w:p>
        </w:tc>
        <w:tc>
          <w:tcPr>
            <w:tcW w:type="dxa" w:w="885"/>
          </w:tcPr>
          <w:p>
            <w:pPr>
              <w:jc w:val="center"/>
            </w:pPr>
            <w:r/>
            <w:r>
              <w:rPr>
                <w:sz w:val="17"/>
              </w:rPr>
              <w:t>6</w:t>
            </w:r>
          </w:p>
        </w:tc>
        <w:tc>
          <w:tcPr>
            <w:tcW w:type="dxa" w:w="1770"/>
          </w:tcPr>
          <w:p>
            <w:pPr>
              <w:jc w:val="center"/>
            </w:pPr>
            <w:r/>
            <w:r>
              <w:rPr>
                <w:sz w:val="17"/>
              </w:rPr>
              <w:t>2012</w:t>
            </w:r>
          </w:p>
        </w:tc>
      </w:tr>
      <w:tr>
        <w:tc>
          <w:tcPr>
            <w:tcW w:type="dxa" w:w="1327"/>
          </w:tcPr>
          <w:p>
            <w:pPr>
              <w:jc w:val="left"/>
            </w:pPr>
            <w:r/>
            <w:r>
              <w:rPr>
                <w:sz w:val="17"/>
              </w:rPr>
              <w:t>Enunciado</w:t>
            </w:r>
          </w:p>
        </w:tc>
        <w:tc>
          <w:tcPr>
            <w:tcW w:type="dxa" w:w="3650"/>
          </w:tcPr>
          <w:p>
            <w:pPr>
              <w:jc w:val="center"/>
            </w:pPr>
            <w:r/>
            <w:r>
              <w:rPr>
                <w:sz w:val="17"/>
              </w:rPr>
              <w:t>NY SAT Suite of Assessments Report</w:t>
            </w:r>
          </w:p>
        </w:tc>
        <w:tc>
          <w:tcPr>
            <w:tcW w:type="dxa" w:w="1438"/>
          </w:tcPr>
          <w:p>
            <w:pPr>
              <w:jc w:val="center"/>
            </w:pPr>
            <w:r/>
            <w:r>
              <w:rPr>
                <w:sz w:val="17"/>
              </w:rPr>
              <w:t>20 págs.</w:t>
            </w:r>
          </w:p>
        </w:tc>
        <w:tc>
          <w:tcPr>
            <w:tcW w:type="dxa" w:w="885"/>
          </w:tcPr>
          <w:p>
            <w:pPr>
              <w:jc w:val="center"/>
            </w:pPr>
            <w:r/>
            <w:r>
              <w:rPr>
                <w:sz w:val="17"/>
              </w:rPr>
              <w:t>—</w:t>
            </w:r>
          </w:p>
        </w:tc>
        <w:tc>
          <w:tcPr>
            <w:tcW w:type="dxa" w:w="1770"/>
          </w:tcPr>
          <w:p>
            <w:pPr>
              <w:jc w:val="center"/>
            </w:pPr>
            <w:r/>
            <w:r>
              <w:rPr>
                <w:sz w:val="17"/>
              </w:rPr>
              <w:t>2024</w:t>
            </w:r>
          </w:p>
        </w:tc>
      </w:tr>
      <w:tr>
        <w:tc>
          <w:tcPr>
            <w:tcW w:type="dxa" w:w="1327"/>
          </w:tcPr>
          <w:p>
            <w:pPr>
              <w:jc w:val="left"/>
            </w:pPr>
            <w:r/>
            <w:r>
              <w:rPr>
                <w:sz w:val="17"/>
              </w:rPr>
              <w:t>Equipo</w:t>
            </w:r>
          </w:p>
        </w:tc>
        <w:tc>
          <w:tcPr>
            <w:tcW w:type="dxa" w:w="3650"/>
          </w:tcPr>
          <w:p>
            <w:pPr>
              <w:jc w:val="center"/>
            </w:pPr>
            <w:r/>
            <w:r>
              <w:rPr>
                <w:sz w:val="17"/>
              </w:rPr>
              <w:t>Motor Vehicle Collisions – Crashes</w:t>
            </w:r>
          </w:p>
        </w:tc>
        <w:tc>
          <w:tcPr>
            <w:tcW w:type="dxa" w:w="1438"/>
          </w:tcPr>
          <w:p>
            <w:pPr>
              <w:jc w:val="center"/>
            </w:pPr>
            <w:r/>
            <w:r>
              <w:rPr>
                <w:sz w:val="17"/>
              </w:rPr>
              <w:t>2.269.187</w:t>
            </w:r>
          </w:p>
        </w:tc>
        <w:tc>
          <w:tcPr>
            <w:tcW w:type="dxa" w:w="885"/>
          </w:tcPr>
          <w:p>
            <w:pPr>
              <w:jc w:val="center"/>
            </w:pPr>
            <w:r/>
            <w:r>
              <w:rPr>
                <w:sz w:val="17"/>
              </w:rPr>
              <w:t>29</w:t>
            </w:r>
          </w:p>
        </w:tc>
        <w:tc>
          <w:tcPr>
            <w:tcW w:type="dxa" w:w="1770"/>
          </w:tcPr>
          <w:p>
            <w:pPr>
              <w:jc w:val="center"/>
            </w:pPr>
            <w:r/>
            <w:r>
              <w:rPr>
                <w:sz w:val="17"/>
              </w:rPr>
              <w:t>2012–2026</w:t>
            </w:r>
          </w:p>
        </w:tc>
      </w:tr>
      <w:tr>
        <w:tc>
          <w:tcPr>
            <w:tcW w:type="dxa" w:w="1327"/>
          </w:tcPr>
          <w:p>
            <w:pPr>
              <w:jc w:val="left"/>
            </w:pPr>
            <w:r/>
            <w:r>
              <w:rPr>
                <w:sz w:val="17"/>
              </w:rPr>
              <w:t>Equipo</w:t>
            </w:r>
          </w:p>
        </w:tc>
        <w:tc>
          <w:tcPr>
            <w:tcW w:type="dxa" w:w="3650"/>
          </w:tcPr>
          <w:p>
            <w:pPr>
              <w:jc w:val="center"/>
            </w:pPr>
            <w:r/>
            <w:r>
              <w:rPr>
                <w:sz w:val="17"/>
              </w:rPr>
              <w:t>NYPD Arrests Data (Historic)</w:t>
            </w:r>
          </w:p>
        </w:tc>
        <w:tc>
          <w:tcPr>
            <w:tcW w:type="dxa" w:w="1438"/>
          </w:tcPr>
          <w:p>
            <w:pPr>
              <w:jc w:val="center"/>
            </w:pPr>
            <w:r/>
            <w:r>
              <w:rPr>
                <w:sz w:val="17"/>
              </w:rPr>
              <w:t>6.264.978</w:t>
            </w:r>
          </w:p>
        </w:tc>
        <w:tc>
          <w:tcPr>
            <w:tcW w:type="dxa" w:w="885"/>
          </w:tcPr>
          <w:p>
            <w:pPr>
              <w:jc w:val="center"/>
            </w:pPr>
            <w:r/>
            <w:r>
              <w:rPr>
                <w:sz w:val="17"/>
              </w:rPr>
              <w:t>19</w:t>
            </w:r>
          </w:p>
        </w:tc>
        <w:tc>
          <w:tcPr>
            <w:tcW w:type="dxa" w:w="1770"/>
          </w:tcPr>
          <w:p>
            <w:pPr>
              <w:jc w:val="center"/>
            </w:pPr>
            <w:r/>
            <w:r>
              <w:rPr>
                <w:sz w:val="17"/>
              </w:rPr>
              <w:t>2006–2025</w:t>
            </w:r>
          </w:p>
        </w:tc>
      </w:tr>
      <w:tr>
        <w:tc>
          <w:tcPr>
            <w:tcW w:type="dxa" w:w="1327"/>
          </w:tcPr>
          <w:p>
            <w:pPr>
              <w:jc w:val="left"/>
            </w:pPr>
            <w:r/>
            <w:r>
              <w:rPr>
                <w:sz w:val="17"/>
              </w:rPr>
              <w:t>Equipo</w:t>
            </w:r>
          </w:p>
        </w:tc>
        <w:tc>
          <w:tcPr>
            <w:tcW w:type="dxa" w:w="3650"/>
          </w:tcPr>
          <w:p>
            <w:pPr>
              <w:jc w:val="center"/>
            </w:pPr>
            <w:r/>
            <w:r>
              <w:rPr>
                <w:sz w:val="17"/>
              </w:rPr>
              <w:t>ACS PUMS 2023, estado de Nueva York</w:t>
            </w:r>
          </w:p>
        </w:tc>
        <w:tc>
          <w:tcPr>
            <w:tcW w:type="dxa" w:w="1438"/>
          </w:tcPr>
          <w:p>
            <w:pPr>
              <w:jc w:val="center"/>
            </w:pPr>
            <w:r/>
            <w:r>
              <w:rPr>
                <w:sz w:val="17"/>
              </w:rPr>
              <w:t>206.408</w:t>
            </w:r>
          </w:p>
        </w:tc>
        <w:tc>
          <w:tcPr>
            <w:tcW w:type="dxa" w:w="885"/>
          </w:tcPr>
          <w:p>
            <w:pPr>
              <w:jc w:val="center"/>
            </w:pPr>
            <w:r/>
            <w:r>
              <w:rPr>
                <w:sz w:val="17"/>
              </w:rPr>
              <w:t>287</w:t>
            </w:r>
          </w:p>
        </w:tc>
        <w:tc>
          <w:tcPr>
            <w:tcW w:type="dxa" w:w="1770"/>
          </w:tcPr>
          <w:p>
            <w:pPr>
              <w:jc w:val="center"/>
            </w:pPr>
            <w:r/>
            <w:r>
              <w:rPr>
                <w:sz w:val="17"/>
              </w:rPr>
              <w:t>2023</w:t>
            </w:r>
          </w:p>
        </w:tc>
      </w:tr>
      <w:tr>
        <w:tc>
          <w:tcPr>
            <w:tcW w:type="dxa" w:w="1327"/>
          </w:tcPr>
          <w:p>
            <w:pPr>
              <w:jc w:val="left"/>
            </w:pPr>
            <w:r/>
            <w:r>
              <w:rPr>
                <w:sz w:val="17"/>
              </w:rPr>
              <w:t>Equipo</w:t>
            </w:r>
          </w:p>
        </w:tc>
        <w:tc>
          <w:tcPr>
            <w:tcW w:type="dxa" w:w="3650"/>
          </w:tcPr>
          <w:p>
            <w:pPr>
              <w:jc w:val="center"/>
            </w:pPr>
            <w:r/>
            <w:r>
              <w:rPr>
                <w:sz w:val="17"/>
              </w:rPr>
              <w:t>Graduation results, cohortes 2012–2019</w:t>
            </w:r>
          </w:p>
        </w:tc>
        <w:tc>
          <w:tcPr>
            <w:tcW w:type="dxa" w:w="1438"/>
          </w:tcPr>
          <w:p>
            <w:pPr>
              <w:jc w:val="center"/>
            </w:pPr>
            <w:r/>
            <w:r>
              <w:rPr>
                <w:sz w:val="17"/>
              </w:rPr>
              <w:t>321.002</w:t>
            </w:r>
          </w:p>
        </w:tc>
        <w:tc>
          <w:tcPr>
            <w:tcW w:type="dxa" w:w="885"/>
          </w:tcPr>
          <w:p>
            <w:pPr>
              <w:jc w:val="center"/>
            </w:pPr>
            <w:r/>
            <w:r>
              <w:rPr>
                <w:sz w:val="17"/>
              </w:rPr>
              <w:t>29</w:t>
            </w:r>
          </w:p>
        </w:tc>
        <w:tc>
          <w:tcPr>
            <w:tcW w:type="dxa" w:w="1770"/>
          </w:tcPr>
          <w:p>
            <w:pPr>
              <w:jc w:val="center"/>
            </w:pPr>
            <w:r/>
            <w:r>
              <w:rPr>
                <w:sz w:val="17"/>
              </w:rPr>
              <w:t>2016–2023</w:t>
            </w:r>
          </w:p>
        </w:tc>
      </w:tr>
      <w:tr>
        <w:tc>
          <w:tcPr>
            <w:tcW w:type="dxa" w:w="1327"/>
          </w:tcPr>
          <w:p>
            <w:pPr>
              <w:jc w:val="left"/>
            </w:pPr>
            <w:r/>
            <w:r>
              <w:rPr>
                <w:sz w:val="17"/>
              </w:rPr>
              <w:t>Equipo</w:t>
            </w:r>
          </w:p>
        </w:tc>
        <w:tc>
          <w:tcPr>
            <w:tcW w:type="dxa" w:w="3650"/>
          </w:tcPr>
          <w:p>
            <w:pPr>
              <w:jc w:val="center"/>
            </w:pPr>
            <w:r/>
            <w:r>
              <w:rPr>
                <w:sz w:val="17"/>
              </w:rPr>
              <w:t>NYC Regents Exam Results</w:t>
            </w:r>
          </w:p>
        </w:tc>
        <w:tc>
          <w:tcPr>
            <w:tcW w:type="dxa" w:w="1438"/>
          </w:tcPr>
          <w:p>
            <w:pPr>
              <w:jc w:val="center"/>
            </w:pPr>
            <w:r/>
            <w:r>
              <w:rPr>
                <w:sz w:val="17"/>
              </w:rPr>
              <w:t>82.964</w:t>
            </w:r>
          </w:p>
        </w:tc>
        <w:tc>
          <w:tcPr>
            <w:tcW w:type="dxa" w:w="885"/>
          </w:tcPr>
          <w:p>
            <w:pPr>
              <w:jc w:val="center"/>
            </w:pPr>
            <w:r/>
            <w:r>
              <w:rPr>
                <w:sz w:val="17"/>
              </w:rPr>
              <w:t>18</w:t>
            </w:r>
          </w:p>
        </w:tc>
        <w:tc>
          <w:tcPr>
            <w:tcW w:type="dxa" w:w="1770"/>
          </w:tcPr>
          <w:p>
            <w:pPr>
              <w:jc w:val="center"/>
            </w:pPr>
            <w:r/>
            <w:r>
              <w:rPr>
                <w:sz w:val="17"/>
              </w:rPr>
              <w:t>2015–2019</w:t>
            </w:r>
          </w:p>
        </w:tc>
      </w:tr>
    </w:tbl>
    <w:p>
      <w:pPr>
        <w:spacing w:after="0" w:before="0"/>
      </w:pPr>
      <w:r>
        <w:rPr>
          <w:sz w:val="8"/>
        </w:rPr>
      </w:r>
    </w:p>
    <w:p>
      <w:r>
        <w:rPr>
          <w:b w:val="0"/>
          <w:i/>
          <w:sz w:val="20"/>
        </w:rPr>
        <w:t>Se añade además el cruce oficial tracto-PUMA del Censo, empleado para derivar el distrito en los microdatos de pobreza. El total asciende a 2,8 GB de datos en el clúster.</w:t>
      </w:r>
    </w:p>
    <w:p>
      <w:pPr>
        <w:pStyle w:val="Heading2"/>
        <w:keepNext/>
        <w:spacing w:before="240"/>
      </w:pPr>
      <w:r>
        <w:t>2.2 Justificación de la selección</w:t>
      </w:r>
    </w:p>
    <w:p>
      <w:r>
        <w:rPr>
          <w:b w:val="0"/>
          <w:i w:val="0"/>
          <w:sz w:val="22"/>
        </w:rPr>
        <w:t>La selección responde directamente al objetivo de negocio. Los conjuntos de arrestos y de siniestros constituyen la medición de los dos indicadores que motivan el encargo. Los de pobreza y educación aportan las variables de contexto que permiten pasar de una descripción del fenómeno a una hipótesis sobre sus condiciones asociadas, que es lo que distingue un plan de acción de un informe estadístico.</w:t>
      </w:r>
    </w:p>
    <w:p>
      <w:r>
        <w:rPr>
          <w:b w:val="0"/>
          <w:i w:val="0"/>
          <w:sz w:val="22"/>
        </w:rPr>
        <w:t>Los microdatos de pobreza cumplen además una función instrumental determinante: sus factores de expansión muestral permiten estimar la población de cada distrito y, con ella, normalizar los indicadores de seguridad. Sin esa normalización, cualquier priorización territorial quedaría sesgada hacia los distritos más poblados.</w:t>
      </w:r>
    </w:p>
    <w:p>
      <w:pPr>
        <w:pStyle w:val="Heading2"/>
        <w:keepNext/>
        <w:spacing w:before="240"/>
      </w:pPr>
      <w:r>
        <w:t>2.3 Conjuntos incorporados por el equipo consultor</w:t>
      </w:r>
    </w:p>
    <w:p>
      <w:r>
        <w:rPr>
          <w:b w:val="0"/>
          <w:i w:val="0"/>
          <w:sz w:val="22"/>
        </w:rPr>
        <w:t>La incorporación de los cuatro conjuntos complementarios obedece a dos limitaciones distintas de los datos originalmente suministrados: la ausencia de atributos indispensables y el desfase temporal entre fuentes.</w:t>
      </w:r>
    </w:p>
    <w:p>
      <w:r>
        <w:rPr>
          <w:b/>
          <w:i w:val="0"/>
          <w:sz w:val="22"/>
        </w:rPr>
        <w:t>Motor Vehicle Collisions – Crashes</w:t>
      </w:r>
    </w:p>
    <w:p>
      <w:r>
        <w:rPr>
          <w:b w:val="0"/>
          <w:i w:val="0"/>
          <w:sz w:val="22"/>
        </w:rPr>
        <w:t>El conjunto Vehicles registra un vehículo por fila y describe las circunstancias del hecho, pero carece por completo de atributos de localización y de gravedad: no contiene distrito, código postal, coordenadas ni número de heridos o fallecidos. Con ese conjunto de manera aislada resulta imposible responder dónde se concentran los siniestros, que es el indicador territorial solicitado. El conjunto Crashes aporta esos atributos y se vincula con Vehicles mediante el identificador COLLISION_ID.</w:t>
      </w:r>
    </w:p>
    <w:p>
      <w:r>
        <w:rPr>
          <w:b/>
          <w:i w:val="0"/>
          <w:sz w:val="22"/>
        </w:rPr>
        <w:t>NYPD Arrests Data (Historic)</w:t>
      </w:r>
    </w:p>
    <w:p>
      <w:r>
        <w:rPr>
          <w:b w:val="0"/>
          <w:i w:val="0"/>
          <w:sz w:val="22"/>
        </w:rPr>
        <w:t>El conjunto del año en curso abarca únicamente el primer semestre de 2026, lo que impide analizar tendencias interanuales y estacionalidad. El conjunto histórico comparte la misma estructura y extiende la cobertura hasta 2006, permitiendo construir una serie de 6.406.848 arrestos.</w:t>
      </w:r>
    </w:p>
    <w:p>
      <w:r>
        <w:rPr>
          <w:b/>
          <w:i w:val="0"/>
          <w:sz w:val="22"/>
        </w:rPr>
        <w:t>ACS PUMS 2023 y resultados de graduación</w:t>
      </w:r>
    </w:p>
    <w:p>
      <w:r>
        <w:rPr>
          <w:b w:val="0"/>
          <w:i w:val="0"/>
          <w:sz w:val="22"/>
        </w:rPr>
        <w:t>Ambos responden al problema de alineación temporal que se expone en el apartado siguiente, y sustituyen en el corte transversal a las fuentes de 2018 y 2012.</w:t>
      </w:r>
    </w:p>
    <w:p>
      <w:pPr>
        <w:pStyle w:val="Heading2"/>
        <w:keepNext/>
        <w:spacing w:before="240"/>
      </w:pPr>
      <w:r>
        <w:t>2.4 Alineación temporal de los conjuntos</w:t>
      </w:r>
    </w:p>
    <w:p>
      <w:r>
        <w:rPr>
          <w:b w:val="0"/>
          <w:i w:val="0"/>
          <w:sz w:val="22"/>
        </w:rPr>
        <w:t>El conjunto de pobreza suministrado corresponde a 2018 y el de resultados SAT a 2012, mientras que los de arrestos y siniestros alcanzan junio de 2026. Cruzar indicadores referidos a años distintos dentro de una misma tabla no resulta admisible desde el punto de vista metodológico: cualquier coincidencia territorial que se observara podría atribuirse al desfase y no al fenómeno estudiado.</w:t>
      </w:r>
    </w:p>
    <w:p>
      <w:r>
        <w:rPr>
          <w:b w:val="0"/>
          <w:i w:val="0"/>
          <w:sz w:val="22"/>
        </w:rPr>
        <w:t>El equipo verificó que la vía de la actualización directa está agotada. El portal NYC Open Data publica catorce ediciones de la medida de pobreza, de 2005 a 2018, sin que exista ninguna posterior; de los resultados SAT solo se encuentran disponibles las ediciones de 2010 y 2012. Los conjuntos suministrados son, en ambos casos, los más recientes publicados.</w:t>
      </w:r>
    </w:p>
    <w:p>
      <w:r>
        <w:rPr>
          <w:b w:val="0"/>
          <w:i w:val="0"/>
          <w:sz w:val="22"/>
        </w:rPr>
        <w:t>Se recurrió en consecuencia a dos fuentes equivalentes que sí alcanzan 2023:</w:t>
      </w:r>
    </w:p>
    <w:p>
      <w:pPr>
        <w:pStyle w:val="ListBullet"/>
        <w:jc w:val="both"/>
      </w:pPr>
      <w:r>
        <w:rPr>
          <w:sz w:val="22"/>
        </w:rPr>
        <w:t>ACS PUMS 2023. Son los microdatos de persona de la American Community Survey, sobre los cuales el propio NYCgov construye su medida de pobreza, de modo que se preserva la continuidad metodológica. El archivo no incluye el condado, pero sí el PUMA; dado que los cinco distritos de Nueva York son condados, el distrito se deriva del cruce oficial tracto-PUMA del Censo. Se verificó que cada uno de los 55 PUMAs de la ciudad pertenece a un único distrito.</w:t>
      </w:r>
    </w:p>
    <w:p>
      <w:pPr>
        <w:pStyle w:val="ListBullet"/>
        <w:jc w:val="both"/>
      </w:pPr>
      <w:r>
        <w:rPr>
          <w:sz w:val="22"/>
        </w:rPr>
        <w:t>Resultados de graduación por cohorte. La cohorte 2019 corresponde a la clase de 2023, lo que proporciona un indicador educativo contemporáneo de la pobreza medida.</w:t>
      </w:r>
    </w:p>
    <w:p>
      <w:r>
        <w:rPr>
          <w:b/>
          <w:i w:val="0"/>
          <w:sz w:val="22"/>
        </w:rPr>
        <w:t>Se adopta por consiguiente 2023 como año de referencia del corte transversal. Los análisis de serie temporal conservan la cobertura completa, puesto que una variable observada a lo largo del tiempo no requiere alineación alguna.</w:t>
      </w:r>
    </w:p>
    <w:p>
      <w:r>
        <w:rPr>
          <w:b w:val="0"/>
          <w:i w:val="0"/>
          <w:sz w:val="22"/>
        </w:rPr>
        <w:t>Los conjuntos de 2018 y 2012 se conservan en el análisis con una función distinta: la de contraste histórico que permite evaluar la persistencia del ordenamiento territorial, según se desarrolla en los elementos 11, 12 y 14 de la exploración.</w:t>
      </w:r>
    </w:p>
    <w:p>
      <w:r>
        <w:rPr>
          <w:b w:val="0"/>
          <w:i/>
          <w:sz w:val="22"/>
        </w:rPr>
        <w:t>Validación de la sustitución. La tasa de pobreza obtenida para el conjunto de la ciudad a partir del ACS, 18,00%, coincide con la cifra de 18,2% publicada para 2023, lo que confirma tanto la identificación de los códigos geográficos como la correcta aplicación de los factores de expansión.</w:t>
      </w:r>
    </w:p>
    <w:p>
      <w:pPr>
        <w:pStyle w:val="Heading2"/>
        <w:keepNext/>
        <w:spacing w:before="240"/>
      </w:pPr>
      <w:r>
        <w:t>2.5 Limitaciones reconocidas de la selección</w:t>
      </w:r>
    </w:p>
    <w:p>
      <w:pPr>
        <w:pStyle w:val="ListBullet"/>
        <w:jc w:val="both"/>
      </w:pPr>
      <w:r>
        <w:rPr>
          <w:sz w:val="22"/>
        </w:rPr>
        <w:t>Granularidad geográfica desigual. Los arrestos ofrecen precinto policial, los siniestros ofrecen código postal y coordenadas, mientras que la pobreza solo permite descender hasta el PUMA, agregable a distrito. El distrito es, en consecuencia, la única unidad común y constituye el límite de cualquier cruce entre las tres fuentes.</w:t>
      </w:r>
    </w:p>
    <w:p>
      <w:pPr>
        <w:pStyle w:val="ListBullet"/>
        <w:jc w:val="both"/>
      </w:pPr>
      <w:r>
        <w:rPr>
          <w:sz w:val="22"/>
        </w:rPr>
        <w:t>Lugar de ocurrencia frente a lugar de residencia. Los arrestos y los siniestros se registran donde suceden, no donde residen las personas involucradas. En distritos con elevada población flotante, como Manhattan, la normalización por población residente sobreestima las tasas resultantes.</w:t>
      </w:r>
    </w:p>
    <w:p>
      <w:pPr>
        <w:pStyle w:val="ListBullet"/>
        <w:jc w:val="both"/>
      </w:pPr>
      <w:r>
        <w:rPr>
          <w:sz w:val="22"/>
        </w:rPr>
        <w:t>Comparabilidad entre medidas de pobreza. La medida NYCgov de 2018 y la del ACS de 2023 no son directamente comparables: la primera ajusta por costo de vida, impuestos y transferencias, mientras que la segunda emplea el umbral federal, que subestima la pobreza en una ciudad de costos elevados. El contraste entre ambas se presenta para apreciar la persistencia del ordenamiento, no para medir su variación.</w:t>
      </w:r>
    </w:p>
    <w:p>
      <w:pPr>
        <w:pStyle w:val="ListBullet"/>
        <w:jc w:val="both"/>
      </w:pPr>
      <w:r>
        <w:rPr>
          <w:sz w:val="22"/>
        </w:rPr>
        <w:t>Población de referencia. La estimación poblacional derivada del ACS, 8.257.860 habitantes, corresponde a la población en viviendas y resulta por ello inferior a la cifra oficial de 8.585.000, que incluye la población en alojamientos colectivos.</w:t>
      </w:r>
    </w:p>
    <w:p>
      <w:pPr>
        <w:pStyle w:val="Heading2"/>
        <w:keepNext/>
        <w:spacing w:before="240"/>
      </w:pPr>
      <w:r>
        <w:t>2.6 Enlaces de acceso a las fuentes</w:t>
      </w:r>
    </w:p>
    <w:p>
      <w:pPr>
        <w:spacing w:after="60"/>
      </w:pPr>
      <w:r>
        <w:rPr>
          <w:sz w:val="19"/>
        </w:rPr>
        <w:t xml:space="preserve">• NYPD Arrest Data (Year to Date): </w:t>
      </w:r>
      <w:hyperlink r:id="rId9">
        <w:r>
          <w:rPr>
            <w:color w:val="0563C1"/>
            <w:u w:val="single"/>
            <w:sz w:val="17"/>
          </w:rPr>
          <w:t>https://data.cityofnewyork.us/Public-Safety/NYPD-Arrest-Data-Year-to-Date-/uip8-fykc/about_data</w:t>
        </w:r>
      </w:hyperlink>
    </w:p>
    <w:p>
      <w:pPr>
        <w:spacing w:after="60"/>
      </w:pPr>
      <w:r>
        <w:rPr>
          <w:sz w:val="19"/>
        </w:rPr>
        <w:t xml:space="preserve">• NYCgov Poverty Measure Data (2018): </w:t>
      </w:r>
      <w:hyperlink r:id="rId10">
        <w:r>
          <w:rPr>
            <w:color w:val="0563C1"/>
            <w:u w:val="single"/>
            <w:sz w:val="17"/>
          </w:rPr>
          <w:t>https://data.cityofnewyork.us/City-Government/NYCgov-Poverty-Measure-Data-2018-/cts7-vksw/about_data</w:t>
        </w:r>
      </w:hyperlink>
    </w:p>
    <w:p>
      <w:pPr>
        <w:spacing w:after="60"/>
      </w:pPr>
      <w:r>
        <w:rPr>
          <w:sz w:val="19"/>
        </w:rPr>
        <w:t xml:space="preserve">• Motor Vehicle Collisions – Vehicles: </w:t>
      </w:r>
      <w:hyperlink r:id="rId11">
        <w:r>
          <w:rPr>
            <w:color w:val="0563C1"/>
            <w:u w:val="single"/>
            <w:sz w:val="17"/>
          </w:rPr>
          <w:t>https://data.cityofnewyork.us/Public-Safety/Motor-Vehicle-Collisions-Vehicles/bm4k-52h4/about_data</w:t>
        </w:r>
      </w:hyperlink>
    </w:p>
    <w:p>
      <w:pPr>
        <w:spacing w:after="60"/>
      </w:pPr>
      <w:r>
        <w:rPr>
          <w:sz w:val="19"/>
        </w:rPr>
        <w:t xml:space="preserve">• 2012 SAT Results: </w:t>
      </w:r>
      <w:hyperlink r:id="rId12">
        <w:r>
          <w:rPr>
            <w:color w:val="0563C1"/>
            <w:u w:val="single"/>
            <w:sz w:val="17"/>
          </w:rPr>
          <w:t>https://data.cityofnewyork.us/Education/2012-SAT-Results/f9bf-2cp4/about_data</w:t>
        </w:r>
      </w:hyperlink>
    </w:p>
    <w:p>
      <w:pPr>
        <w:spacing w:after="60"/>
      </w:pPr>
      <w:r>
        <w:rPr>
          <w:sz w:val="19"/>
        </w:rPr>
        <w:t xml:space="preserve">• New York SAT Suite of Assessments Annual Report 2024: </w:t>
      </w:r>
      <w:hyperlink r:id="rId13">
        <w:r>
          <w:rPr>
            <w:color w:val="0563C1"/>
            <w:u w:val="single"/>
            <w:sz w:val="17"/>
          </w:rPr>
          <w:t>https://reports.collegeboard.org/media/pdf/2024-new-york-sat-suite-of-assessments-annual-report-ADA.pdf</w:t>
        </w:r>
      </w:hyperlink>
    </w:p>
    <w:p>
      <w:pPr>
        <w:spacing w:after="60"/>
      </w:pPr>
      <w:r>
        <w:rPr>
          <w:sz w:val="19"/>
        </w:rPr>
        <w:t xml:space="preserve">• Motor Vehicle Collisions – Crashes: </w:t>
      </w:r>
      <w:hyperlink r:id="rId14">
        <w:r>
          <w:rPr>
            <w:color w:val="0563C1"/>
            <w:u w:val="single"/>
            <w:sz w:val="17"/>
          </w:rPr>
          <w:t>https://data.cityofnewyork.us/Public-Safety/Motor-Vehicle-Collisions-Crashes/h9gi-nx95/about_data</w:t>
        </w:r>
      </w:hyperlink>
    </w:p>
    <w:p>
      <w:pPr>
        <w:spacing w:after="60"/>
      </w:pPr>
      <w:r>
        <w:rPr>
          <w:sz w:val="19"/>
        </w:rPr>
        <w:t xml:space="preserve">• NYPD Arrests Data (Historic): </w:t>
      </w:r>
      <w:hyperlink r:id="rId15">
        <w:r>
          <w:rPr>
            <w:color w:val="0563C1"/>
            <w:u w:val="single"/>
            <w:sz w:val="17"/>
          </w:rPr>
          <w:t>https://data.cityofnewyork.us/Public-Safety/NYPD-Arrests-Data-Historic-/8h9b-rp9u/about_data</w:t>
        </w:r>
      </w:hyperlink>
    </w:p>
    <w:p>
      <w:pPr>
        <w:spacing w:after="60"/>
      </w:pPr>
      <w:r>
        <w:rPr>
          <w:sz w:val="19"/>
        </w:rPr>
        <w:t xml:space="preserve">• ACS 2023 Public Use Microdata Sample, Nueva York: </w:t>
      </w:r>
      <w:hyperlink r:id="rId16">
        <w:r>
          <w:rPr>
            <w:color w:val="0563C1"/>
            <w:u w:val="single"/>
            <w:sz w:val="17"/>
          </w:rPr>
          <w:t>https://www2.census.gov/programs-surveys/acs/data/pums/2023/1-Year/csv_pny.zip</w:t>
        </w:r>
      </w:hyperlink>
    </w:p>
    <w:p>
      <w:pPr>
        <w:spacing w:after="60"/>
      </w:pPr>
      <w:r>
        <w:rPr>
          <w:sz w:val="19"/>
        </w:rPr>
        <w:t xml:space="preserve">• Cruce 2020 Census Tract to 2020 PUMA: </w:t>
      </w:r>
      <w:hyperlink r:id="rId17">
        <w:r>
          <w:rPr>
            <w:color w:val="0563C1"/>
            <w:u w:val="single"/>
            <w:sz w:val="17"/>
          </w:rPr>
          <w:t>https://www2.census.gov/geo/docs/reference/puma2020/2020_Census_Tract_to_2020_PUMA.txt</w:t>
        </w:r>
      </w:hyperlink>
    </w:p>
    <w:p>
      <w:pPr>
        <w:spacing w:after="60"/>
      </w:pPr>
      <w:r>
        <w:rPr>
          <w:sz w:val="19"/>
        </w:rPr>
        <w:t xml:space="preserve">• Graduation results for Cohorts 2012 to 2019: </w:t>
      </w:r>
      <w:hyperlink r:id="rId18">
        <w:r>
          <w:rPr>
            <w:color w:val="0563C1"/>
            <w:u w:val="single"/>
            <w:sz w:val="17"/>
          </w:rPr>
          <w:t>https://data.cityofnewyork.us/Education/Graduation-results-for-Cohorts-2012-to-2019-Classes/mjm3-8dw8/about_data</w:t>
        </w:r>
      </w:hyperlink>
    </w:p>
    <w:p>
      <w:pPr>
        <w:spacing w:after="60"/>
      </w:pPr>
      <w:r>
        <w:rPr>
          <w:sz w:val="19"/>
        </w:rPr>
        <w:t xml:space="preserve">• NYC Regents Exam Results 2014-15 a 2018-19: </w:t>
      </w:r>
      <w:hyperlink r:id="rId19">
        <w:r>
          <w:rPr>
            <w:color w:val="0563C1"/>
            <w:u w:val="single"/>
            <w:sz w:val="17"/>
          </w:rPr>
          <w:t>https://data.cityofnewyork.us/Education/2014-15-2018-19-NYC-Regents-Exam-Public/2h3w-9uj9/about_data</w:t>
        </w:r>
      </w:hyperlink>
    </w:p>
    <w:p>
      <w:pPr>
        <w:pStyle w:val="Heading1"/>
        <w:keepNext/>
        <w:spacing w:before="360"/>
      </w:pPr>
      <w:r>
        <w:t>3. Colección y descripción de los datos</w:t>
      </w:r>
    </w:p>
    <w:p>
      <w:pPr>
        <w:pStyle w:val="Heading2"/>
        <w:keepNext/>
        <w:spacing w:before="240"/>
      </w:pPr>
      <w:r>
        <w:t>3.1 Características del clúster de procesamiento</w:t>
      </w:r>
    </w:p>
    <w:p>
      <w:r>
        <w:rPr>
          <w:b w:val="0"/>
          <w:i w:val="0"/>
          <w:sz w:val="22"/>
        </w:rPr>
        <w:t>El procesamiento se ejecuta sobre un clúster Apache Spark de seis nodos desplegado sobre máquinas virtuales de la universidad, en modo standalone, con un nodo que desempeña simultáneamente los roles de maestro y trabajador.</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120"/>
            <w:shd w:fill="DCE6F1"/>
          </w:tcPr>
          <w:p>
            <w:pPr>
              <w:jc w:val="center"/>
            </w:pPr>
            <w:r/>
            <w:r>
              <w:rPr>
                <w:b/>
                <w:sz w:val="17"/>
              </w:rPr>
              <w:t>Nodo</w:t>
            </w:r>
          </w:p>
        </w:tc>
        <w:tc>
          <w:tcPr>
            <w:tcW w:type="dxa" w:w="1568"/>
            <w:shd w:fill="DCE6F1"/>
          </w:tcPr>
          <w:p>
            <w:pPr>
              <w:jc w:val="center"/>
            </w:pPr>
            <w:r/>
            <w:r>
              <w:rPr>
                <w:b/>
                <w:sz w:val="17"/>
              </w:rPr>
              <w:t>Dirección IP</w:t>
            </w:r>
          </w:p>
        </w:tc>
        <w:tc>
          <w:tcPr>
            <w:tcW w:type="dxa" w:w="2016"/>
            <w:shd w:fill="DCE6F1"/>
          </w:tcPr>
          <w:p>
            <w:pPr>
              <w:jc w:val="center"/>
            </w:pPr>
            <w:r/>
            <w:r>
              <w:rPr>
                <w:b/>
                <w:sz w:val="17"/>
              </w:rPr>
              <w:t>Rol</w:t>
            </w:r>
          </w:p>
        </w:tc>
        <w:tc>
          <w:tcPr>
            <w:tcW w:type="dxa" w:w="1792"/>
            <w:shd w:fill="DCE6F1"/>
          </w:tcPr>
          <w:p>
            <w:pPr>
              <w:jc w:val="center"/>
            </w:pPr>
            <w:r/>
            <w:r>
              <w:rPr>
                <w:b/>
                <w:sz w:val="17"/>
              </w:rPr>
              <w:t>Procesador</w:t>
            </w:r>
          </w:p>
        </w:tc>
        <w:tc>
          <w:tcPr>
            <w:tcW w:type="dxa" w:w="896"/>
            <w:shd w:fill="DCE6F1"/>
          </w:tcPr>
          <w:p>
            <w:pPr>
              <w:jc w:val="center"/>
            </w:pPr>
            <w:r/>
            <w:r>
              <w:rPr>
                <w:b/>
                <w:sz w:val="17"/>
              </w:rPr>
              <w:t>Núcleos</w:t>
            </w:r>
          </w:p>
        </w:tc>
        <w:tc>
          <w:tcPr>
            <w:tcW w:type="dxa" w:w="840"/>
            <w:shd w:fill="DCE6F1"/>
          </w:tcPr>
          <w:p>
            <w:pPr>
              <w:jc w:val="center"/>
            </w:pPr>
            <w:r/>
            <w:r>
              <w:rPr>
                <w:b/>
                <w:sz w:val="17"/>
              </w:rPr>
              <w:t>RAM</w:t>
            </w:r>
          </w:p>
        </w:tc>
        <w:tc>
          <w:tcPr>
            <w:tcW w:type="dxa" w:w="840"/>
            <w:shd w:fill="DCE6F1"/>
          </w:tcPr>
          <w:p>
            <w:pPr>
              <w:jc w:val="center"/>
            </w:pPr>
            <w:r/>
            <w:r>
              <w:rPr>
                <w:b/>
                <w:sz w:val="17"/>
              </w:rPr>
              <w:t>Disco</w:t>
            </w:r>
          </w:p>
        </w:tc>
      </w:tr>
      <w:tr>
        <w:tc>
          <w:tcPr>
            <w:tcW w:type="dxa" w:w="1120"/>
          </w:tcPr>
          <w:p>
            <w:pPr>
              <w:jc w:val="left"/>
            </w:pPr>
            <w:r/>
            <w:r>
              <w:rPr>
                <w:sz w:val="17"/>
              </w:rPr>
              <w:t>NBDG41</w:t>
            </w:r>
          </w:p>
        </w:tc>
        <w:tc>
          <w:tcPr>
            <w:tcW w:type="dxa" w:w="1568"/>
          </w:tcPr>
          <w:p>
            <w:pPr>
              <w:jc w:val="center"/>
            </w:pPr>
            <w:r/>
            <w:r>
              <w:rPr>
                <w:sz w:val="17"/>
              </w:rPr>
              <w:t>10.43.97.58</w:t>
            </w:r>
          </w:p>
        </w:tc>
        <w:tc>
          <w:tcPr>
            <w:tcW w:type="dxa" w:w="2016"/>
          </w:tcPr>
          <w:p>
            <w:pPr>
              <w:jc w:val="center"/>
            </w:pPr>
            <w:r/>
            <w:r>
              <w:rPr>
                <w:sz w:val="17"/>
              </w:rPr>
              <w:t>Maestro + Trabajador</w:t>
            </w:r>
          </w:p>
        </w:tc>
        <w:tc>
          <w:tcPr>
            <w:tcW w:type="dxa" w:w="1792"/>
          </w:tcPr>
          <w:p>
            <w:pPr>
              <w:jc w:val="center"/>
            </w:pPr>
            <w:r/>
            <w:r>
              <w:rPr>
                <w:sz w:val="17"/>
              </w:rPr>
              <w:t>Xeon Gold 5520+</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NBDG42</w:t>
            </w:r>
          </w:p>
        </w:tc>
        <w:tc>
          <w:tcPr>
            <w:tcW w:type="dxa" w:w="1568"/>
          </w:tcPr>
          <w:p>
            <w:pPr>
              <w:jc w:val="center"/>
            </w:pPr>
            <w:r/>
            <w:r>
              <w:rPr>
                <w:sz w:val="17"/>
              </w:rPr>
              <w:t>10.43.97.59</w:t>
            </w:r>
          </w:p>
        </w:tc>
        <w:tc>
          <w:tcPr>
            <w:tcW w:type="dxa" w:w="2016"/>
          </w:tcPr>
          <w:p>
            <w:pPr>
              <w:jc w:val="center"/>
            </w:pPr>
            <w:r/>
            <w:r>
              <w:rPr>
                <w:sz w:val="17"/>
              </w:rPr>
              <w:t>Trabajador</w:t>
            </w:r>
          </w:p>
        </w:tc>
        <w:tc>
          <w:tcPr>
            <w:tcW w:type="dxa" w:w="1792"/>
          </w:tcPr>
          <w:p>
            <w:pPr>
              <w:jc w:val="center"/>
            </w:pPr>
            <w:r/>
            <w:r>
              <w:rPr>
                <w:sz w:val="17"/>
              </w:rPr>
              <w:t>Xeon Gold 5520+</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NBDG44</w:t>
            </w:r>
          </w:p>
        </w:tc>
        <w:tc>
          <w:tcPr>
            <w:tcW w:type="dxa" w:w="1568"/>
          </w:tcPr>
          <w:p>
            <w:pPr>
              <w:jc w:val="center"/>
            </w:pPr>
            <w:r/>
            <w:r>
              <w:rPr>
                <w:sz w:val="17"/>
              </w:rPr>
              <w:t>10.43.97.61</w:t>
            </w:r>
          </w:p>
        </w:tc>
        <w:tc>
          <w:tcPr>
            <w:tcW w:type="dxa" w:w="2016"/>
          </w:tcPr>
          <w:p>
            <w:pPr>
              <w:jc w:val="center"/>
            </w:pPr>
            <w:r/>
            <w:r>
              <w:rPr>
                <w:sz w:val="17"/>
              </w:rPr>
              <w:t>Trabajador</w:t>
            </w:r>
          </w:p>
        </w:tc>
        <w:tc>
          <w:tcPr>
            <w:tcW w:type="dxa" w:w="1792"/>
          </w:tcPr>
          <w:p>
            <w:pPr>
              <w:jc w:val="center"/>
            </w:pPr>
            <w:r/>
            <w:r>
              <w:rPr>
                <w:sz w:val="17"/>
              </w:rPr>
              <w:t>Xeon Gold 6348</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NBDG46</w:t>
            </w:r>
          </w:p>
        </w:tc>
        <w:tc>
          <w:tcPr>
            <w:tcW w:type="dxa" w:w="1568"/>
          </w:tcPr>
          <w:p>
            <w:pPr>
              <w:jc w:val="center"/>
            </w:pPr>
            <w:r/>
            <w:r>
              <w:rPr>
                <w:sz w:val="17"/>
              </w:rPr>
              <w:t>10.43.97.63</w:t>
            </w:r>
          </w:p>
        </w:tc>
        <w:tc>
          <w:tcPr>
            <w:tcW w:type="dxa" w:w="2016"/>
          </w:tcPr>
          <w:p>
            <w:pPr>
              <w:jc w:val="center"/>
            </w:pPr>
            <w:r/>
            <w:r>
              <w:rPr>
                <w:sz w:val="17"/>
              </w:rPr>
              <w:t>Trabajador</w:t>
            </w:r>
          </w:p>
        </w:tc>
        <w:tc>
          <w:tcPr>
            <w:tcW w:type="dxa" w:w="1792"/>
          </w:tcPr>
          <w:p>
            <w:pPr>
              <w:jc w:val="center"/>
            </w:pPr>
            <w:r/>
            <w:r>
              <w:rPr>
                <w:sz w:val="17"/>
              </w:rPr>
              <w:t>Xeon Gold 6240R</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NBDG50</w:t>
            </w:r>
          </w:p>
        </w:tc>
        <w:tc>
          <w:tcPr>
            <w:tcW w:type="dxa" w:w="1568"/>
          </w:tcPr>
          <w:p>
            <w:pPr>
              <w:jc w:val="center"/>
            </w:pPr>
            <w:r/>
            <w:r>
              <w:rPr>
                <w:sz w:val="17"/>
              </w:rPr>
              <w:t>10.43.97.67</w:t>
            </w:r>
          </w:p>
        </w:tc>
        <w:tc>
          <w:tcPr>
            <w:tcW w:type="dxa" w:w="2016"/>
          </w:tcPr>
          <w:p>
            <w:pPr>
              <w:jc w:val="center"/>
            </w:pPr>
            <w:r/>
            <w:r>
              <w:rPr>
                <w:sz w:val="17"/>
              </w:rPr>
              <w:t>Trabajador</w:t>
            </w:r>
          </w:p>
        </w:tc>
        <w:tc>
          <w:tcPr>
            <w:tcW w:type="dxa" w:w="1792"/>
          </w:tcPr>
          <w:p>
            <w:pPr>
              <w:jc w:val="center"/>
            </w:pPr>
            <w:r/>
            <w:r>
              <w:rPr>
                <w:sz w:val="17"/>
              </w:rPr>
              <w:t>Xeon E5-2650 v4</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r>
        <w:tc>
          <w:tcPr>
            <w:tcW w:type="dxa" w:w="1120"/>
          </w:tcPr>
          <w:p>
            <w:pPr>
              <w:jc w:val="left"/>
            </w:pPr>
            <w:r/>
            <w:r>
              <w:rPr>
                <w:sz w:val="17"/>
              </w:rPr>
              <w:t>NBDG54</w:t>
            </w:r>
          </w:p>
        </w:tc>
        <w:tc>
          <w:tcPr>
            <w:tcW w:type="dxa" w:w="1568"/>
          </w:tcPr>
          <w:p>
            <w:pPr>
              <w:jc w:val="center"/>
            </w:pPr>
            <w:r/>
            <w:r>
              <w:rPr>
                <w:sz w:val="17"/>
              </w:rPr>
              <w:t>10.43.97.71</w:t>
            </w:r>
          </w:p>
        </w:tc>
        <w:tc>
          <w:tcPr>
            <w:tcW w:type="dxa" w:w="2016"/>
          </w:tcPr>
          <w:p>
            <w:pPr>
              <w:jc w:val="center"/>
            </w:pPr>
            <w:r/>
            <w:r>
              <w:rPr>
                <w:sz w:val="17"/>
              </w:rPr>
              <w:t>Trabajador</w:t>
            </w:r>
          </w:p>
        </w:tc>
        <w:tc>
          <w:tcPr>
            <w:tcW w:type="dxa" w:w="1792"/>
          </w:tcPr>
          <w:p>
            <w:pPr>
              <w:jc w:val="center"/>
            </w:pPr>
            <w:r/>
            <w:r>
              <w:rPr>
                <w:sz w:val="17"/>
              </w:rPr>
              <w:t>Xeon Gold 6348</w:t>
            </w:r>
          </w:p>
        </w:tc>
        <w:tc>
          <w:tcPr>
            <w:tcW w:type="dxa" w:w="896"/>
          </w:tcPr>
          <w:p>
            <w:pPr>
              <w:jc w:val="center"/>
            </w:pPr>
            <w:r/>
            <w:r>
              <w:rPr>
                <w:sz w:val="17"/>
              </w:rPr>
              <w:t>4</w:t>
            </w:r>
          </w:p>
        </w:tc>
        <w:tc>
          <w:tcPr>
            <w:tcW w:type="dxa" w:w="840"/>
          </w:tcPr>
          <w:p>
            <w:pPr>
              <w:jc w:val="center"/>
            </w:pPr>
            <w:r/>
            <w:r>
              <w:rPr>
                <w:sz w:val="17"/>
              </w:rPr>
              <w:t>15 GB</w:t>
            </w:r>
          </w:p>
        </w:tc>
        <w:tc>
          <w:tcPr>
            <w:tcW w:type="dxa" w:w="840"/>
          </w:tcPr>
          <w:p>
            <w:pPr>
              <w:jc w:val="center"/>
            </w:pPr>
            <w:r/>
            <w:r>
              <w:rPr>
                <w:sz w:val="17"/>
              </w:rPr>
              <w:t>24 GB</w:t>
            </w:r>
          </w:p>
        </w:tc>
      </w:tr>
    </w:tbl>
    <w:p>
      <w:pPr>
        <w:spacing w:after="0" w:before="0"/>
      </w:pPr>
      <w:r>
        <w:rPr>
          <w:sz w:val="8"/>
        </w:rPr>
      </w:r>
    </w:p>
    <w:p>
      <w:r>
        <w:rPr>
          <w:b w:val="0"/>
          <w:i w:val="0"/>
          <w:sz w:val="22"/>
        </w:rPr>
        <w:t>Capacidad agregada verificada mediante la interfaz de administración del maestro: 24 núcleos de procesamiento y 88.056 MB de memoria destinada a ejecutores, correspondientes a 14.676 MB por nodo trabajador. La ejecución completa del cuaderno de análisis requiere aproximadamente tres minutos.</w:t>
      </w:r>
    </w:p>
    <w:p>
      <w:pPr>
        <w:pStyle w:val="Heading3"/>
        <w:keepNext/>
      </w:pPr>
      <w:r>
        <w:t>Pila de software y configuración</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fill="DCE6F1"/>
          </w:tcPr>
          <w:p>
            <w:pPr>
              <w:jc w:val="center"/>
            </w:pPr>
            <w:r/>
            <w:r>
              <w:rPr>
                <w:b/>
                <w:sz w:val="17"/>
              </w:rPr>
              <w:t>Componente</w:t>
            </w:r>
          </w:p>
        </w:tc>
        <w:tc>
          <w:tcPr>
            <w:tcW w:type="dxa" w:w="5669"/>
            <w:shd w:fill="DCE6F1"/>
          </w:tcPr>
          <w:p>
            <w:pPr>
              <w:jc w:val="center"/>
            </w:pPr>
            <w:r/>
            <w:r>
              <w:rPr>
                <w:b/>
                <w:sz w:val="17"/>
              </w:rPr>
              <w:t>Versión o valor</w:t>
            </w:r>
          </w:p>
        </w:tc>
      </w:tr>
      <w:tr>
        <w:tc>
          <w:tcPr>
            <w:tcW w:type="dxa" w:w="3402"/>
          </w:tcPr>
          <w:p>
            <w:pPr>
              <w:jc w:val="left"/>
            </w:pPr>
            <w:r/>
            <w:r>
              <w:rPr>
                <w:sz w:val="17"/>
              </w:rPr>
              <w:t>Sistema operativo</w:t>
            </w:r>
          </w:p>
        </w:tc>
        <w:tc>
          <w:tcPr>
            <w:tcW w:type="dxa" w:w="5669"/>
          </w:tcPr>
          <w:p>
            <w:pPr>
              <w:jc w:val="center"/>
            </w:pPr>
            <w:r/>
            <w:r>
              <w:rPr>
                <w:sz w:val="17"/>
              </w:rPr>
              <w:t>Rocky Linux 9.8 (Blue Onyx), kernel 5.14.0</w:t>
            </w:r>
          </w:p>
        </w:tc>
      </w:tr>
      <w:tr>
        <w:tc>
          <w:tcPr>
            <w:tcW w:type="dxa" w:w="3402"/>
          </w:tcPr>
          <w:p>
            <w:pPr>
              <w:jc w:val="left"/>
            </w:pPr>
            <w:r/>
            <w:r>
              <w:rPr>
                <w:sz w:val="17"/>
              </w:rPr>
              <w:t>Motor de procesamiento</w:t>
            </w:r>
          </w:p>
        </w:tc>
        <w:tc>
          <w:tcPr>
            <w:tcW w:type="dxa" w:w="5669"/>
          </w:tcPr>
          <w:p>
            <w:pPr>
              <w:jc w:val="center"/>
            </w:pPr>
            <w:r/>
            <w:r>
              <w:rPr>
                <w:sz w:val="17"/>
              </w:rPr>
              <w:t>Apache Spark 4.2.0, modo standalone</w:t>
            </w:r>
          </w:p>
        </w:tc>
      </w:tr>
      <w:tr>
        <w:tc>
          <w:tcPr>
            <w:tcW w:type="dxa" w:w="3402"/>
          </w:tcPr>
          <w:p>
            <w:pPr>
              <w:jc w:val="left"/>
            </w:pPr>
            <w:r/>
            <w:r>
              <w:rPr>
                <w:sz w:val="17"/>
              </w:rPr>
              <w:t>Bibliotecas Hadoop</w:t>
            </w:r>
          </w:p>
        </w:tc>
        <w:tc>
          <w:tcPr>
            <w:tcW w:type="dxa" w:w="5669"/>
          </w:tcPr>
          <w:p>
            <w:pPr>
              <w:jc w:val="center"/>
            </w:pPr>
            <w:r/>
            <w:r>
              <w:rPr>
                <w:sz w:val="17"/>
              </w:rPr>
              <w:t>Apache Hadoop 3.5.0</w:t>
            </w:r>
          </w:p>
        </w:tc>
      </w:tr>
      <w:tr>
        <w:tc>
          <w:tcPr>
            <w:tcW w:type="dxa" w:w="3402"/>
          </w:tcPr>
          <w:p>
            <w:pPr>
              <w:jc w:val="left"/>
            </w:pPr>
            <w:r/>
            <w:r>
              <w:rPr>
                <w:sz w:val="17"/>
              </w:rPr>
              <w:t>Máquina virtual Java</w:t>
            </w:r>
          </w:p>
        </w:tc>
        <w:tc>
          <w:tcPr>
            <w:tcW w:type="dxa" w:w="5669"/>
          </w:tcPr>
          <w:p>
            <w:pPr>
              <w:jc w:val="center"/>
            </w:pPr>
            <w:r/>
            <w:r>
              <w:rPr>
                <w:sz w:val="17"/>
              </w:rPr>
              <w:t>OpenJDK 17.0.20.1 LTS</w:t>
            </w:r>
          </w:p>
        </w:tc>
      </w:tr>
      <w:tr>
        <w:tc>
          <w:tcPr>
            <w:tcW w:type="dxa" w:w="3402"/>
          </w:tcPr>
          <w:p>
            <w:pPr>
              <w:jc w:val="left"/>
            </w:pPr>
            <w:r/>
            <w:r>
              <w:rPr>
                <w:sz w:val="17"/>
              </w:rPr>
              <w:t>Intérprete de Python</w:t>
            </w:r>
          </w:p>
        </w:tc>
        <w:tc>
          <w:tcPr>
            <w:tcW w:type="dxa" w:w="5669"/>
          </w:tcPr>
          <w:p>
            <w:pPr>
              <w:jc w:val="center"/>
            </w:pPr>
            <w:r/>
            <w:r>
              <w:rPr>
                <w:sz w:val="17"/>
              </w:rPr>
              <w:t>CPython 3.11.16</w:t>
            </w:r>
          </w:p>
        </w:tc>
      </w:tr>
      <w:tr>
        <w:tc>
          <w:tcPr>
            <w:tcW w:type="dxa" w:w="3402"/>
          </w:tcPr>
          <w:p>
            <w:pPr>
              <w:jc w:val="left"/>
            </w:pPr>
            <w:r/>
            <w:r>
              <w:rPr>
                <w:sz w:val="17"/>
              </w:rPr>
              <w:t>spark.executor.memory</w:t>
            </w:r>
          </w:p>
        </w:tc>
        <w:tc>
          <w:tcPr>
            <w:tcW w:type="dxa" w:w="5669"/>
          </w:tcPr>
          <w:p>
            <w:pPr>
              <w:jc w:val="center"/>
            </w:pPr>
            <w:r/>
            <w:r>
              <w:rPr>
                <w:sz w:val="17"/>
              </w:rPr>
              <w:t>12 GB, con 2 GB de sobrecarga</w:t>
            </w:r>
          </w:p>
        </w:tc>
      </w:tr>
      <w:tr>
        <w:tc>
          <w:tcPr>
            <w:tcW w:type="dxa" w:w="3402"/>
          </w:tcPr>
          <w:p>
            <w:pPr>
              <w:jc w:val="left"/>
            </w:pPr>
            <w:r/>
            <w:r>
              <w:rPr>
                <w:sz w:val="17"/>
              </w:rPr>
              <w:t>spark.executor.cores</w:t>
            </w:r>
          </w:p>
        </w:tc>
        <w:tc>
          <w:tcPr>
            <w:tcW w:type="dxa" w:w="5669"/>
          </w:tcPr>
          <w:p>
            <w:pPr>
              <w:jc w:val="center"/>
            </w:pPr>
            <w:r/>
            <w:r>
              <w:rPr>
                <w:sz w:val="17"/>
              </w:rPr>
              <w:t>4</w:t>
            </w:r>
          </w:p>
        </w:tc>
      </w:tr>
      <w:tr>
        <w:tc>
          <w:tcPr>
            <w:tcW w:type="dxa" w:w="3402"/>
          </w:tcPr>
          <w:p>
            <w:pPr>
              <w:jc w:val="left"/>
            </w:pPr>
            <w:r/>
            <w:r>
              <w:rPr>
                <w:sz w:val="17"/>
              </w:rPr>
              <w:t>spark.scheduler.mode</w:t>
            </w:r>
          </w:p>
        </w:tc>
        <w:tc>
          <w:tcPr>
            <w:tcW w:type="dxa" w:w="5669"/>
          </w:tcPr>
          <w:p>
            <w:pPr>
              <w:jc w:val="center"/>
            </w:pPr>
            <w:r/>
            <w:r>
              <w:rPr>
                <w:sz w:val="17"/>
              </w:rPr>
              <w:t>FAIR</w:t>
            </w:r>
          </w:p>
        </w:tc>
      </w:tr>
      <w:tr>
        <w:tc>
          <w:tcPr>
            <w:tcW w:type="dxa" w:w="3402"/>
          </w:tcPr>
          <w:p>
            <w:pPr>
              <w:jc w:val="left"/>
            </w:pPr>
            <w:r/>
            <w:r>
              <w:rPr>
                <w:sz w:val="17"/>
              </w:rPr>
              <w:t>spark.dynamicAllocation.enabled</w:t>
            </w:r>
          </w:p>
        </w:tc>
        <w:tc>
          <w:tcPr>
            <w:tcW w:type="dxa" w:w="5669"/>
          </w:tcPr>
          <w:p>
            <w:pPr>
              <w:jc w:val="center"/>
            </w:pPr>
            <w:r/>
            <w:r>
              <w:rPr>
                <w:sz w:val="17"/>
              </w:rPr>
              <w:t>true</w:t>
            </w:r>
          </w:p>
        </w:tc>
      </w:tr>
      <w:tr>
        <w:tc>
          <w:tcPr>
            <w:tcW w:type="dxa" w:w="3402"/>
          </w:tcPr>
          <w:p>
            <w:pPr>
              <w:jc w:val="left"/>
            </w:pPr>
            <w:r/>
            <w:r>
              <w:rPr>
                <w:sz w:val="17"/>
              </w:rPr>
              <w:t>Interfaz de administración</w:t>
            </w:r>
          </w:p>
        </w:tc>
        <w:tc>
          <w:tcPr>
            <w:tcW w:type="dxa" w:w="5669"/>
          </w:tcPr>
          <w:p>
            <w:pPr>
              <w:jc w:val="center"/>
            </w:pPr>
            <w:r/>
            <w:r>
              <w:rPr>
                <w:sz w:val="17"/>
              </w:rPr>
              <w:t>http://10.43.97.58:8081</w:t>
            </w:r>
          </w:p>
        </w:tc>
      </w:tr>
    </w:tbl>
    <w:p>
      <w:pPr>
        <w:spacing w:after="0" w:before="0"/>
      </w:pPr>
      <w:r>
        <w:rPr>
          <w:sz w:val="8"/>
        </w:rPr>
      </w:r>
    </w:p>
    <w:p>
      <w:r>
        <w:rPr>
          <w:b w:val="0"/>
          <w:i w:val="0"/>
          <w:sz w:val="22"/>
        </w:rPr>
        <w:t>Se deja constancia de dos particularidades del entorno que condicionaron la implementación. En primer lugar, Apache Spark 4.2.0 requiere Python 3.10 o superior, mientras que el intérprete instalado en el sistema operativo corresponde a la versión 3.9; fue necesario desplegar CPython 3.11.16 en el directorio compartido del clúster. En segundo lugar, Spark 4 aplica semántica ANSI en las conversiones de tipo, de modo que un valor no numérico interrumpe la ejecución en lugar de resolverse como nulo, lo que exigió emplear conversiones tolerantes en los conjuntos educativos.</w:t>
      </w:r>
    </w:p>
    <w:p>
      <w:pPr>
        <w:pStyle w:val="Heading3"/>
        <w:keepNext/>
      </w:pPr>
      <w:r>
        <w:t>Arquitectura de almacenamiento</w:t>
      </w:r>
    </w:p>
    <w:p>
      <w:r>
        <w:rPr>
          <w:b w:val="0"/>
          <w:i w:val="0"/>
          <w:sz w:val="22"/>
        </w:rPr>
        <w:t>El clúster no dispone de un sistema de archivos distribuido HDFS en operación. Si bien las bibliotecas de Hadoop se encuentran instaladas, no existen demonios NameNode ni DataNode activos, y el sistema de archivos por defecto corresponde al local de cada máquina. La compartición se resuelve mediante NFS versión 4.2: el nodo maestro exporta el directorio /opt/cluster y los cinco trabajadores lo montan en esa misma ruta, de manera que todos los ejecutores acceden a los datos con rutas idénticas.</w:t>
      </w:r>
    </w:p>
    <w:p>
      <w:r>
        <w:rPr>
          <w:b w:val="0"/>
          <w:i w:val="0"/>
          <w:sz w:val="22"/>
        </w:rPr>
        <w:t>Esta arquitectura tiene una consecuencia de diseño que conviene señalar: al centralizarse el almacenamiento en el nodo maestro, toda lectura de los ejecutores atraviesa la red hacia dicho nodo, que se constituye en el limitante de entrada y salida del sistema.</w:t>
      </w:r>
    </w:p>
    <w:p>
      <w:pPr>
        <w:pStyle w:val="Heading2"/>
        <w:keepNext/>
        <w:spacing w:before="240"/>
      </w:pPr>
      <w:r>
        <w:t>3.2 Procedimiento de colección y verificación</w:t>
      </w:r>
    </w:p>
    <w:p>
      <w:r>
        <w:rPr>
          <w:b w:val="0"/>
          <w:i w:val="0"/>
          <w:sz w:val="22"/>
        </w:rPr>
        <w:t>Los conjuntos se descargaron desde el portal NYC Open Data mediante su interfaz de exportación en formato CSV y desde el repositorio público del Censo de los Estados Unidos, totalizando 2,8 GB, y se transfirieron al directorio /opt/cluster/data del clúster. La integridad de la transferencia se verificó mediante la comparación de las sumas de control MD5 de origen y destino para la totalidad de los archivos, con coincidencia en todos los casos.</w:t>
      </w:r>
    </w:p>
    <w:p>
      <w:r>
        <w:rPr>
          <w:b w:val="0"/>
          <w:i w:val="0"/>
          <w:sz w:val="22"/>
        </w:rPr>
        <w:t>Como verificación adicional, los conteos de registros obtenidos en Spark se contrastaron con los metadatos publicados por el portal, con coincidencia exacta.</w:t>
      </w:r>
    </w:p>
    <w:p>
      <w:pPr>
        <w:pStyle w:val="Heading2"/>
        <w:keepNext/>
        <w:spacing w:before="240"/>
      </w:pPr>
      <w:r>
        <w:t>3.3 Descripción general del contenido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381"/>
            <w:shd w:fill="DCE6F1"/>
          </w:tcPr>
          <w:p>
            <w:pPr>
              <w:jc w:val="center"/>
            </w:pPr>
            <w:r/>
            <w:r>
              <w:rPr>
                <w:b/>
                <w:sz w:val="17"/>
              </w:rPr>
              <w:t>Conjunto</w:t>
            </w:r>
          </w:p>
        </w:tc>
        <w:tc>
          <w:tcPr>
            <w:tcW w:type="dxa" w:w="1361"/>
            <w:shd w:fill="DCE6F1"/>
          </w:tcPr>
          <w:p>
            <w:pPr>
              <w:jc w:val="center"/>
            </w:pPr>
            <w:r/>
            <w:r>
              <w:rPr>
                <w:b/>
                <w:sz w:val="17"/>
              </w:rPr>
              <w:t>Registros</w:t>
            </w:r>
          </w:p>
        </w:tc>
        <w:tc>
          <w:tcPr>
            <w:tcW w:type="dxa" w:w="907"/>
            <w:shd w:fill="DCE6F1"/>
          </w:tcPr>
          <w:p>
            <w:pPr>
              <w:jc w:val="center"/>
            </w:pPr>
            <w:r/>
            <w:r>
              <w:rPr>
                <w:b/>
                <w:sz w:val="17"/>
              </w:rPr>
              <w:t>Atrib.</w:t>
            </w:r>
          </w:p>
        </w:tc>
        <w:tc>
          <w:tcPr>
            <w:tcW w:type="dxa" w:w="2608"/>
            <w:shd w:fill="DCE6F1"/>
          </w:tcPr>
          <w:p>
            <w:pPr>
              <w:jc w:val="center"/>
            </w:pPr>
            <w:r/>
            <w:r>
              <w:rPr>
                <w:b/>
                <w:sz w:val="17"/>
              </w:rPr>
              <w:t>Cobertura temporal</w:t>
            </w:r>
          </w:p>
        </w:tc>
        <w:tc>
          <w:tcPr>
            <w:tcW w:type="dxa" w:w="1814"/>
            <w:shd w:fill="DCE6F1"/>
          </w:tcPr>
          <w:p>
            <w:pPr>
              <w:jc w:val="center"/>
            </w:pPr>
            <w:r/>
            <w:r>
              <w:rPr>
                <w:b/>
                <w:sz w:val="17"/>
              </w:rPr>
              <w:t>Unidad de observación</w:t>
            </w:r>
          </w:p>
        </w:tc>
      </w:tr>
      <w:tr>
        <w:tc>
          <w:tcPr>
            <w:tcW w:type="dxa" w:w="2381"/>
          </w:tcPr>
          <w:p>
            <w:pPr>
              <w:jc w:val="left"/>
            </w:pPr>
            <w:r/>
            <w:r>
              <w:rPr>
                <w:sz w:val="17"/>
              </w:rPr>
              <w:t>Arrestos (histórico)</w:t>
            </w:r>
          </w:p>
        </w:tc>
        <w:tc>
          <w:tcPr>
            <w:tcW w:type="dxa" w:w="1361"/>
          </w:tcPr>
          <w:p>
            <w:pPr>
              <w:jc w:val="center"/>
            </w:pPr>
            <w:r/>
            <w:r>
              <w:rPr>
                <w:sz w:val="17"/>
              </w:rPr>
              <w:t>6.264.978</w:t>
            </w:r>
          </w:p>
        </w:tc>
        <w:tc>
          <w:tcPr>
            <w:tcW w:type="dxa" w:w="907"/>
          </w:tcPr>
          <w:p>
            <w:pPr>
              <w:jc w:val="center"/>
            </w:pPr>
            <w:r/>
            <w:r>
              <w:rPr>
                <w:sz w:val="17"/>
              </w:rPr>
              <w:t>19</w:t>
            </w:r>
          </w:p>
        </w:tc>
        <w:tc>
          <w:tcPr>
            <w:tcW w:type="dxa" w:w="2608"/>
          </w:tcPr>
          <w:p>
            <w:pPr>
              <w:jc w:val="center"/>
            </w:pPr>
            <w:r/>
            <w:r>
              <w:rPr>
                <w:sz w:val="17"/>
              </w:rPr>
              <w:t>01/01/2006 – 31/12/2025</w:t>
            </w:r>
          </w:p>
        </w:tc>
        <w:tc>
          <w:tcPr>
            <w:tcW w:type="dxa" w:w="1814"/>
          </w:tcPr>
          <w:p>
            <w:pPr>
              <w:jc w:val="center"/>
            </w:pPr>
            <w:r/>
            <w:r>
              <w:rPr>
                <w:sz w:val="17"/>
              </w:rPr>
              <w:t>Un arresto</w:t>
            </w:r>
          </w:p>
        </w:tc>
      </w:tr>
      <w:tr>
        <w:tc>
          <w:tcPr>
            <w:tcW w:type="dxa" w:w="2381"/>
          </w:tcPr>
          <w:p>
            <w:pPr>
              <w:jc w:val="left"/>
            </w:pPr>
            <w:r/>
            <w:r>
              <w:rPr>
                <w:sz w:val="17"/>
              </w:rPr>
              <w:t>Arrestos (año en curso)</w:t>
            </w:r>
          </w:p>
        </w:tc>
        <w:tc>
          <w:tcPr>
            <w:tcW w:type="dxa" w:w="1361"/>
          </w:tcPr>
          <w:p>
            <w:pPr>
              <w:jc w:val="center"/>
            </w:pPr>
            <w:r/>
            <w:r>
              <w:rPr>
                <w:sz w:val="17"/>
              </w:rPr>
              <w:t>141.870</w:t>
            </w:r>
          </w:p>
        </w:tc>
        <w:tc>
          <w:tcPr>
            <w:tcW w:type="dxa" w:w="907"/>
          </w:tcPr>
          <w:p>
            <w:pPr>
              <w:jc w:val="center"/>
            </w:pPr>
            <w:r/>
            <w:r>
              <w:rPr>
                <w:sz w:val="17"/>
              </w:rPr>
              <w:t>19</w:t>
            </w:r>
          </w:p>
        </w:tc>
        <w:tc>
          <w:tcPr>
            <w:tcW w:type="dxa" w:w="2608"/>
          </w:tcPr>
          <w:p>
            <w:pPr>
              <w:jc w:val="center"/>
            </w:pPr>
            <w:r/>
            <w:r>
              <w:rPr>
                <w:sz w:val="17"/>
              </w:rPr>
              <w:t>01/01/2026 – 30/06/2026</w:t>
            </w:r>
          </w:p>
        </w:tc>
        <w:tc>
          <w:tcPr>
            <w:tcW w:type="dxa" w:w="1814"/>
          </w:tcPr>
          <w:p>
            <w:pPr>
              <w:jc w:val="center"/>
            </w:pPr>
            <w:r/>
            <w:r>
              <w:rPr>
                <w:sz w:val="17"/>
              </w:rPr>
              <w:t>Un arresto</w:t>
            </w:r>
          </w:p>
        </w:tc>
      </w:tr>
      <w:tr>
        <w:tc>
          <w:tcPr>
            <w:tcW w:type="dxa" w:w="2381"/>
          </w:tcPr>
          <w:p>
            <w:pPr>
              <w:jc w:val="left"/>
            </w:pPr>
            <w:r/>
            <w:r>
              <w:rPr>
                <w:sz w:val="17"/>
              </w:rPr>
              <w:t>Siniestros – Crashes</w:t>
            </w:r>
          </w:p>
        </w:tc>
        <w:tc>
          <w:tcPr>
            <w:tcW w:type="dxa" w:w="1361"/>
          </w:tcPr>
          <w:p>
            <w:pPr>
              <w:jc w:val="center"/>
            </w:pPr>
            <w:r/>
            <w:r>
              <w:rPr>
                <w:sz w:val="17"/>
              </w:rPr>
              <w:t>2.269.187</w:t>
            </w:r>
          </w:p>
        </w:tc>
        <w:tc>
          <w:tcPr>
            <w:tcW w:type="dxa" w:w="907"/>
          </w:tcPr>
          <w:p>
            <w:pPr>
              <w:jc w:val="center"/>
            </w:pPr>
            <w:r/>
            <w:r>
              <w:rPr>
                <w:sz w:val="17"/>
              </w:rPr>
              <w:t>29</w:t>
            </w:r>
          </w:p>
        </w:tc>
        <w:tc>
          <w:tcPr>
            <w:tcW w:type="dxa" w:w="2608"/>
          </w:tcPr>
          <w:p>
            <w:pPr>
              <w:jc w:val="center"/>
            </w:pPr>
            <w:r/>
            <w:r>
              <w:rPr>
                <w:sz w:val="17"/>
              </w:rPr>
              <w:t>01/07/2012 – 11/06/2026</w:t>
            </w:r>
          </w:p>
        </w:tc>
        <w:tc>
          <w:tcPr>
            <w:tcW w:type="dxa" w:w="1814"/>
          </w:tcPr>
          <w:p>
            <w:pPr>
              <w:jc w:val="center"/>
            </w:pPr>
            <w:r/>
            <w:r>
              <w:rPr>
                <w:sz w:val="17"/>
              </w:rPr>
              <w:t>Un siniestro</w:t>
            </w:r>
          </w:p>
        </w:tc>
      </w:tr>
      <w:tr>
        <w:tc>
          <w:tcPr>
            <w:tcW w:type="dxa" w:w="2381"/>
          </w:tcPr>
          <w:p>
            <w:pPr>
              <w:jc w:val="left"/>
            </w:pPr>
            <w:r/>
            <w:r>
              <w:rPr>
                <w:sz w:val="17"/>
              </w:rPr>
              <w:t>Siniestros – Vehicles</w:t>
            </w:r>
          </w:p>
        </w:tc>
        <w:tc>
          <w:tcPr>
            <w:tcW w:type="dxa" w:w="1361"/>
          </w:tcPr>
          <w:p>
            <w:pPr>
              <w:jc w:val="center"/>
            </w:pPr>
            <w:r/>
            <w:r>
              <w:rPr>
                <w:sz w:val="17"/>
              </w:rPr>
              <w:t>4.551.002</w:t>
            </w:r>
          </w:p>
        </w:tc>
        <w:tc>
          <w:tcPr>
            <w:tcW w:type="dxa" w:w="907"/>
          </w:tcPr>
          <w:p>
            <w:pPr>
              <w:jc w:val="center"/>
            </w:pPr>
            <w:r/>
            <w:r>
              <w:rPr>
                <w:sz w:val="17"/>
              </w:rPr>
              <w:t>25</w:t>
            </w:r>
          </w:p>
        </w:tc>
        <w:tc>
          <w:tcPr>
            <w:tcW w:type="dxa" w:w="2608"/>
          </w:tcPr>
          <w:p>
            <w:pPr>
              <w:jc w:val="center"/>
            </w:pPr>
            <w:r/>
            <w:r>
              <w:rPr>
                <w:sz w:val="17"/>
              </w:rPr>
              <w:t>01/07/2012 – 11/06/2026</w:t>
            </w:r>
          </w:p>
        </w:tc>
        <w:tc>
          <w:tcPr>
            <w:tcW w:type="dxa" w:w="1814"/>
          </w:tcPr>
          <w:p>
            <w:pPr>
              <w:jc w:val="center"/>
            </w:pPr>
            <w:r/>
            <w:r>
              <w:rPr>
                <w:sz w:val="17"/>
              </w:rPr>
              <w:t>Un vehículo</w:t>
            </w:r>
          </w:p>
        </w:tc>
      </w:tr>
      <w:tr>
        <w:tc>
          <w:tcPr>
            <w:tcW w:type="dxa" w:w="2381"/>
          </w:tcPr>
          <w:p>
            <w:pPr>
              <w:jc w:val="left"/>
            </w:pPr>
            <w:r/>
            <w:r>
              <w:rPr>
                <w:sz w:val="17"/>
              </w:rPr>
              <w:t>ACS PUMS 2023</w:t>
            </w:r>
          </w:p>
        </w:tc>
        <w:tc>
          <w:tcPr>
            <w:tcW w:type="dxa" w:w="1361"/>
          </w:tcPr>
          <w:p>
            <w:pPr>
              <w:jc w:val="center"/>
            </w:pPr>
            <w:r/>
            <w:r>
              <w:rPr>
                <w:sz w:val="17"/>
              </w:rPr>
              <w:t>206.408</w:t>
            </w:r>
          </w:p>
        </w:tc>
        <w:tc>
          <w:tcPr>
            <w:tcW w:type="dxa" w:w="907"/>
          </w:tcPr>
          <w:p>
            <w:pPr>
              <w:jc w:val="center"/>
            </w:pPr>
            <w:r/>
            <w:r>
              <w:rPr>
                <w:sz w:val="17"/>
              </w:rPr>
              <w:t>287</w:t>
            </w:r>
          </w:p>
        </w:tc>
        <w:tc>
          <w:tcPr>
            <w:tcW w:type="dxa" w:w="2608"/>
          </w:tcPr>
          <w:p>
            <w:pPr>
              <w:jc w:val="center"/>
            </w:pPr>
            <w:r/>
            <w:r>
              <w:rPr>
                <w:sz w:val="17"/>
              </w:rPr>
              <w:t>Año 2023</w:t>
            </w:r>
          </w:p>
        </w:tc>
        <w:tc>
          <w:tcPr>
            <w:tcW w:type="dxa" w:w="1814"/>
          </w:tcPr>
          <w:p>
            <w:pPr>
              <w:jc w:val="center"/>
            </w:pPr>
            <w:r/>
            <w:r>
              <w:rPr>
                <w:sz w:val="17"/>
              </w:rPr>
              <w:t>Una persona</w:t>
            </w:r>
          </w:p>
        </w:tc>
      </w:tr>
      <w:tr>
        <w:tc>
          <w:tcPr>
            <w:tcW w:type="dxa" w:w="2381"/>
          </w:tcPr>
          <w:p>
            <w:pPr>
              <w:jc w:val="left"/>
            </w:pPr>
            <w:r/>
            <w:r>
              <w:rPr>
                <w:sz w:val="17"/>
              </w:rPr>
              <w:t>Pobreza NYCgov 2018</w:t>
            </w:r>
          </w:p>
        </w:tc>
        <w:tc>
          <w:tcPr>
            <w:tcW w:type="dxa" w:w="1361"/>
          </w:tcPr>
          <w:p>
            <w:pPr>
              <w:jc w:val="center"/>
            </w:pPr>
            <w:r/>
            <w:r>
              <w:rPr>
                <w:sz w:val="17"/>
              </w:rPr>
              <w:t>68.273</w:t>
            </w:r>
          </w:p>
        </w:tc>
        <w:tc>
          <w:tcPr>
            <w:tcW w:type="dxa" w:w="907"/>
          </w:tcPr>
          <w:p>
            <w:pPr>
              <w:jc w:val="center"/>
            </w:pPr>
            <w:r/>
            <w:r>
              <w:rPr>
                <w:sz w:val="17"/>
              </w:rPr>
              <w:t>61</w:t>
            </w:r>
          </w:p>
        </w:tc>
        <w:tc>
          <w:tcPr>
            <w:tcW w:type="dxa" w:w="2608"/>
          </w:tcPr>
          <w:p>
            <w:pPr>
              <w:jc w:val="center"/>
            </w:pPr>
            <w:r/>
            <w:r>
              <w:rPr>
                <w:sz w:val="17"/>
              </w:rPr>
              <w:t>Año 2018</w:t>
            </w:r>
          </w:p>
        </w:tc>
        <w:tc>
          <w:tcPr>
            <w:tcW w:type="dxa" w:w="1814"/>
          </w:tcPr>
          <w:p>
            <w:pPr>
              <w:jc w:val="center"/>
            </w:pPr>
            <w:r/>
            <w:r>
              <w:rPr>
                <w:sz w:val="17"/>
              </w:rPr>
              <w:t>Una persona</w:t>
            </w:r>
          </w:p>
        </w:tc>
      </w:tr>
      <w:tr>
        <w:tc>
          <w:tcPr>
            <w:tcW w:type="dxa" w:w="2381"/>
          </w:tcPr>
          <w:p>
            <w:pPr>
              <w:jc w:val="left"/>
            </w:pPr>
            <w:r/>
            <w:r>
              <w:rPr>
                <w:sz w:val="17"/>
              </w:rPr>
              <w:t>Graduación por cohorte</w:t>
            </w:r>
          </w:p>
        </w:tc>
        <w:tc>
          <w:tcPr>
            <w:tcW w:type="dxa" w:w="1361"/>
          </w:tcPr>
          <w:p>
            <w:pPr>
              <w:jc w:val="center"/>
            </w:pPr>
            <w:r/>
            <w:r>
              <w:rPr>
                <w:sz w:val="17"/>
              </w:rPr>
              <w:t>321.002</w:t>
            </w:r>
          </w:p>
        </w:tc>
        <w:tc>
          <w:tcPr>
            <w:tcW w:type="dxa" w:w="907"/>
          </w:tcPr>
          <w:p>
            <w:pPr>
              <w:jc w:val="center"/>
            </w:pPr>
            <w:r/>
            <w:r>
              <w:rPr>
                <w:sz w:val="17"/>
              </w:rPr>
              <w:t>29</w:t>
            </w:r>
          </w:p>
        </w:tc>
        <w:tc>
          <w:tcPr>
            <w:tcW w:type="dxa" w:w="2608"/>
          </w:tcPr>
          <w:p>
            <w:pPr>
              <w:jc w:val="center"/>
            </w:pPr>
            <w:r/>
            <w:r>
              <w:rPr>
                <w:sz w:val="17"/>
              </w:rPr>
              <w:t>Cohortes 2012–2019</w:t>
            </w:r>
          </w:p>
        </w:tc>
        <w:tc>
          <w:tcPr>
            <w:tcW w:type="dxa" w:w="1814"/>
          </w:tcPr>
          <w:p>
            <w:pPr>
              <w:jc w:val="center"/>
            </w:pPr>
            <w:r/>
            <w:r>
              <w:rPr>
                <w:sz w:val="17"/>
              </w:rPr>
              <w:t>Un grupo-cohorte</w:t>
            </w:r>
          </w:p>
        </w:tc>
      </w:tr>
      <w:tr>
        <w:tc>
          <w:tcPr>
            <w:tcW w:type="dxa" w:w="2381"/>
          </w:tcPr>
          <w:p>
            <w:pPr>
              <w:jc w:val="left"/>
            </w:pPr>
            <w:r/>
            <w:r>
              <w:rPr>
                <w:sz w:val="17"/>
              </w:rPr>
              <w:t>Regents</w:t>
            </w:r>
          </w:p>
        </w:tc>
        <w:tc>
          <w:tcPr>
            <w:tcW w:type="dxa" w:w="1361"/>
          </w:tcPr>
          <w:p>
            <w:pPr>
              <w:jc w:val="center"/>
            </w:pPr>
            <w:r/>
            <w:r>
              <w:rPr>
                <w:sz w:val="17"/>
              </w:rPr>
              <w:t>82.964</w:t>
            </w:r>
          </w:p>
        </w:tc>
        <w:tc>
          <w:tcPr>
            <w:tcW w:type="dxa" w:w="907"/>
          </w:tcPr>
          <w:p>
            <w:pPr>
              <w:jc w:val="center"/>
            </w:pPr>
            <w:r/>
            <w:r>
              <w:rPr>
                <w:sz w:val="17"/>
              </w:rPr>
              <w:t>18</w:t>
            </w:r>
          </w:p>
        </w:tc>
        <w:tc>
          <w:tcPr>
            <w:tcW w:type="dxa" w:w="2608"/>
          </w:tcPr>
          <w:p>
            <w:pPr>
              <w:jc w:val="center"/>
            </w:pPr>
            <w:r/>
            <w:r>
              <w:rPr>
                <w:sz w:val="17"/>
              </w:rPr>
              <w:t>2014-15 – 2018-19</w:t>
            </w:r>
          </w:p>
        </w:tc>
        <w:tc>
          <w:tcPr>
            <w:tcW w:type="dxa" w:w="1814"/>
          </w:tcPr>
          <w:p>
            <w:pPr>
              <w:jc w:val="center"/>
            </w:pPr>
            <w:r/>
            <w:r>
              <w:rPr>
                <w:sz w:val="17"/>
              </w:rPr>
              <w:t>Institución-examen</w:t>
            </w:r>
          </w:p>
        </w:tc>
      </w:tr>
      <w:tr>
        <w:tc>
          <w:tcPr>
            <w:tcW w:type="dxa" w:w="2381"/>
          </w:tcPr>
          <w:p>
            <w:pPr>
              <w:jc w:val="left"/>
            </w:pPr>
            <w:r/>
            <w:r>
              <w:rPr>
                <w:sz w:val="17"/>
              </w:rPr>
              <w:t>Resultados SAT</w:t>
            </w:r>
          </w:p>
        </w:tc>
        <w:tc>
          <w:tcPr>
            <w:tcW w:type="dxa" w:w="1361"/>
          </w:tcPr>
          <w:p>
            <w:pPr>
              <w:jc w:val="center"/>
            </w:pPr>
            <w:r/>
            <w:r>
              <w:rPr>
                <w:sz w:val="17"/>
              </w:rPr>
              <w:t>478</w:t>
            </w:r>
          </w:p>
        </w:tc>
        <w:tc>
          <w:tcPr>
            <w:tcW w:type="dxa" w:w="907"/>
          </w:tcPr>
          <w:p>
            <w:pPr>
              <w:jc w:val="center"/>
            </w:pPr>
            <w:r/>
            <w:r>
              <w:rPr>
                <w:sz w:val="17"/>
              </w:rPr>
              <w:t>6</w:t>
            </w:r>
          </w:p>
        </w:tc>
        <w:tc>
          <w:tcPr>
            <w:tcW w:type="dxa" w:w="2608"/>
          </w:tcPr>
          <w:p>
            <w:pPr>
              <w:jc w:val="center"/>
            </w:pPr>
            <w:r/>
            <w:r>
              <w:rPr>
                <w:sz w:val="17"/>
              </w:rPr>
              <w:t>Año 2012</w:t>
            </w:r>
          </w:p>
        </w:tc>
        <w:tc>
          <w:tcPr>
            <w:tcW w:type="dxa" w:w="1814"/>
          </w:tcPr>
          <w:p>
            <w:pPr>
              <w:jc w:val="center"/>
            </w:pPr>
            <w:r/>
            <w:r>
              <w:rPr>
                <w:sz w:val="17"/>
              </w:rPr>
              <w:t>Una institución</w:t>
            </w:r>
          </w:p>
        </w:tc>
      </w:tr>
    </w:tbl>
    <w:p>
      <w:pPr>
        <w:spacing w:after="0" w:before="0"/>
      </w:pPr>
      <w:r>
        <w:rPr>
          <w:sz w:val="8"/>
        </w:rPr>
      </w:r>
    </w:p>
    <w:p>
      <w:r>
        <w:rPr>
          <w:b w:val="0"/>
          <w:i w:val="0"/>
          <w:sz w:val="22"/>
        </w:rPr>
        <w:t>De los 206.408 registros del ACS correspondientes al estado de Nueva York, 66.390 pertenecen a la ciudad una vez aplicado el cruce de PUMAs. La unión de las dos tablas de arrestos, previa normalización del nombre de su último atributo, produce una serie continua de 6.406.848 registros que abarca veinte años y medio.</w:t>
      </w:r>
    </w:p>
    <w:p>
      <w:pPr>
        <w:pStyle w:val="Heading2"/>
        <w:keepNext/>
        <w:spacing w:before="240"/>
      </w:pPr>
      <w:r>
        <w:t>3.4 Tipos de datos y significado de los atributos</w:t>
      </w:r>
    </w:p>
    <w:p>
      <w:pPr>
        <w:pStyle w:val="Heading3"/>
        <w:keepNext/>
      </w:pPr>
      <w:r>
        <w:t>3.4.1 Arrestos del NYPD</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ARREST_KEY</w:t>
            </w:r>
          </w:p>
        </w:tc>
        <w:tc>
          <w:tcPr>
            <w:tcW w:type="dxa" w:w="1077"/>
          </w:tcPr>
          <w:p>
            <w:pPr>
              <w:jc w:val="center"/>
            </w:pPr>
            <w:r/>
            <w:r>
              <w:rPr>
                <w:sz w:val="17"/>
              </w:rPr>
              <w:t>string</w:t>
            </w:r>
          </w:p>
        </w:tc>
        <w:tc>
          <w:tcPr>
            <w:tcW w:type="dxa" w:w="5499"/>
          </w:tcPr>
          <w:p>
            <w:pPr>
              <w:jc w:val="center"/>
            </w:pPr>
            <w:r/>
            <w:r>
              <w:rPr>
                <w:sz w:val="17"/>
              </w:rPr>
              <w:t>Identificador único del arresto</w:t>
            </w:r>
          </w:p>
        </w:tc>
      </w:tr>
      <w:tr>
        <w:tc>
          <w:tcPr>
            <w:tcW w:type="dxa" w:w="2494"/>
          </w:tcPr>
          <w:p>
            <w:pPr>
              <w:jc w:val="left"/>
            </w:pPr>
            <w:r/>
            <w:r>
              <w:rPr>
                <w:sz w:val="17"/>
              </w:rPr>
              <w:t>ARREST_DATE</w:t>
            </w:r>
          </w:p>
        </w:tc>
        <w:tc>
          <w:tcPr>
            <w:tcW w:type="dxa" w:w="1077"/>
          </w:tcPr>
          <w:p>
            <w:pPr>
              <w:jc w:val="center"/>
            </w:pPr>
            <w:r/>
            <w:r>
              <w:rPr>
                <w:sz w:val="17"/>
              </w:rPr>
              <w:t>date</w:t>
            </w:r>
          </w:p>
        </w:tc>
        <w:tc>
          <w:tcPr>
            <w:tcW w:type="dxa" w:w="5499"/>
          </w:tcPr>
          <w:p>
            <w:pPr>
              <w:jc w:val="center"/>
            </w:pPr>
            <w:r/>
            <w:r>
              <w:rPr>
                <w:sz w:val="17"/>
              </w:rPr>
              <w:t>Fecha del arresto (origen en formato MM/dd/yyyy)</w:t>
            </w:r>
          </w:p>
        </w:tc>
      </w:tr>
      <w:tr>
        <w:tc>
          <w:tcPr>
            <w:tcW w:type="dxa" w:w="2494"/>
          </w:tcPr>
          <w:p>
            <w:pPr>
              <w:jc w:val="left"/>
            </w:pPr>
            <w:r/>
            <w:r>
              <w:rPr>
                <w:sz w:val="17"/>
              </w:rPr>
              <w:t>PD_CD / KY_CD</w:t>
            </w:r>
          </w:p>
        </w:tc>
        <w:tc>
          <w:tcPr>
            <w:tcW w:type="dxa" w:w="1077"/>
          </w:tcPr>
          <w:p>
            <w:pPr>
              <w:jc w:val="center"/>
            </w:pPr>
            <w:r/>
            <w:r>
              <w:rPr>
                <w:sz w:val="17"/>
              </w:rPr>
              <w:t>integer</w:t>
            </w:r>
          </w:p>
        </w:tc>
        <w:tc>
          <w:tcPr>
            <w:tcW w:type="dxa" w:w="5499"/>
          </w:tcPr>
          <w:p>
            <w:pPr>
              <w:jc w:val="center"/>
            </w:pPr>
            <w:r/>
            <w:r>
              <w:rPr>
                <w:sz w:val="17"/>
              </w:rPr>
              <w:t>Códigos interno y general de clasificación del delito</w:t>
            </w:r>
          </w:p>
        </w:tc>
      </w:tr>
      <w:tr>
        <w:tc>
          <w:tcPr>
            <w:tcW w:type="dxa" w:w="2494"/>
          </w:tcPr>
          <w:p>
            <w:pPr>
              <w:jc w:val="left"/>
            </w:pPr>
            <w:r/>
            <w:r>
              <w:rPr>
                <w:sz w:val="17"/>
              </w:rPr>
              <w:t>PD_DESC / OFNS_DESC</w:t>
            </w:r>
          </w:p>
        </w:tc>
        <w:tc>
          <w:tcPr>
            <w:tcW w:type="dxa" w:w="1077"/>
          </w:tcPr>
          <w:p>
            <w:pPr>
              <w:jc w:val="center"/>
            </w:pPr>
            <w:r/>
            <w:r>
              <w:rPr>
                <w:sz w:val="17"/>
              </w:rPr>
              <w:t>string</w:t>
            </w:r>
          </w:p>
        </w:tc>
        <w:tc>
          <w:tcPr>
            <w:tcW w:type="dxa" w:w="5499"/>
          </w:tcPr>
          <w:p>
            <w:pPr>
              <w:jc w:val="center"/>
            </w:pPr>
            <w:r/>
            <w:r>
              <w:rPr>
                <w:sz w:val="17"/>
              </w:rPr>
              <w:t>Descripciones detallada y general del delito</w:t>
            </w:r>
          </w:p>
        </w:tc>
      </w:tr>
      <w:tr>
        <w:tc>
          <w:tcPr>
            <w:tcW w:type="dxa" w:w="2494"/>
          </w:tcPr>
          <w:p>
            <w:pPr>
              <w:jc w:val="left"/>
            </w:pPr>
            <w:r/>
            <w:r>
              <w:rPr>
                <w:sz w:val="17"/>
              </w:rPr>
              <w:t>LAW_CODE</w:t>
            </w:r>
          </w:p>
        </w:tc>
        <w:tc>
          <w:tcPr>
            <w:tcW w:type="dxa" w:w="1077"/>
          </w:tcPr>
          <w:p>
            <w:pPr>
              <w:jc w:val="center"/>
            </w:pPr>
            <w:r/>
            <w:r>
              <w:rPr>
                <w:sz w:val="17"/>
              </w:rPr>
              <w:t>string</w:t>
            </w:r>
          </w:p>
        </w:tc>
        <w:tc>
          <w:tcPr>
            <w:tcW w:type="dxa" w:w="5499"/>
          </w:tcPr>
          <w:p>
            <w:pPr>
              <w:jc w:val="center"/>
            </w:pPr>
            <w:r/>
            <w:r>
              <w:rPr>
                <w:sz w:val="17"/>
              </w:rPr>
              <w:t>Referencia al artículo de la ley infringida</w:t>
            </w:r>
          </w:p>
        </w:tc>
      </w:tr>
      <w:tr>
        <w:tc>
          <w:tcPr>
            <w:tcW w:type="dxa" w:w="2494"/>
          </w:tcPr>
          <w:p>
            <w:pPr>
              <w:jc w:val="left"/>
            </w:pPr>
            <w:r/>
            <w:r>
              <w:rPr>
                <w:sz w:val="17"/>
              </w:rPr>
              <w:t>LAW_CAT_CD</w:t>
            </w:r>
          </w:p>
        </w:tc>
        <w:tc>
          <w:tcPr>
            <w:tcW w:type="dxa" w:w="1077"/>
          </w:tcPr>
          <w:p>
            <w:pPr>
              <w:jc w:val="center"/>
            </w:pPr>
            <w:r/>
            <w:r>
              <w:rPr>
                <w:sz w:val="17"/>
              </w:rPr>
              <w:t>string</w:t>
            </w:r>
          </w:p>
        </w:tc>
        <w:tc>
          <w:tcPr>
            <w:tcW w:type="dxa" w:w="5499"/>
          </w:tcPr>
          <w:p>
            <w:pPr>
              <w:jc w:val="center"/>
            </w:pPr>
            <w:r/>
            <w:r>
              <w:rPr>
                <w:sz w:val="17"/>
              </w:rPr>
              <w:t>Gravedad: F felony, M misdemeanor, V violation, I infracción</w:t>
            </w:r>
          </w:p>
        </w:tc>
      </w:tr>
      <w:tr>
        <w:tc>
          <w:tcPr>
            <w:tcW w:type="dxa" w:w="2494"/>
          </w:tcPr>
          <w:p>
            <w:pPr>
              <w:jc w:val="left"/>
            </w:pPr>
            <w:r/>
            <w:r>
              <w:rPr>
                <w:sz w:val="17"/>
              </w:rPr>
              <w:t>ARREST_BORO</w:t>
            </w:r>
          </w:p>
        </w:tc>
        <w:tc>
          <w:tcPr>
            <w:tcW w:type="dxa" w:w="1077"/>
          </w:tcPr>
          <w:p>
            <w:pPr>
              <w:jc w:val="center"/>
            </w:pPr>
            <w:r/>
            <w:r>
              <w:rPr>
                <w:sz w:val="17"/>
              </w:rPr>
              <w:t>string</w:t>
            </w:r>
          </w:p>
        </w:tc>
        <w:tc>
          <w:tcPr>
            <w:tcW w:type="dxa" w:w="5499"/>
          </w:tcPr>
          <w:p>
            <w:pPr>
              <w:jc w:val="center"/>
            </w:pPr>
            <w:r/>
            <w:r>
              <w:rPr>
                <w:sz w:val="17"/>
              </w:rPr>
              <w:t>Distrito: B Bronx, K Brooklyn, M Manhattan, Q Queens, S Staten Island</w:t>
            </w:r>
          </w:p>
        </w:tc>
      </w:tr>
      <w:tr>
        <w:tc>
          <w:tcPr>
            <w:tcW w:type="dxa" w:w="2494"/>
          </w:tcPr>
          <w:p>
            <w:pPr>
              <w:jc w:val="left"/>
            </w:pPr>
            <w:r/>
            <w:r>
              <w:rPr>
                <w:sz w:val="17"/>
              </w:rPr>
              <w:t>ARREST_PRECINCT</w:t>
            </w:r>
          </w:p>
        </w:tc>
        <w:tc>
          <w:tcPr>
            <w:tcW w:type="dxa" w:w="1077"/>
          </w:tcPr>
          <w:p>
            <w:pPr>
              <w:jc w:val="center"/>
            </w:pPr>
            <w:r/>
            <w:r>
              <w:rPr>
                <w:sz w:val="17"/>
              </w:rPr>
              <w:t>integer</w:t>
            </w:r>
          </w:p>
        </w:tc>
        <w:tc>
          <w:tcPr>
            <w:tcW w:type="dxa" w:w="5499"/>
          </w:tcPr>
          <w:p>
            <w:pPr>
              <w:jc w:val="center"/>
            </w:pPr>
            <w:r/>
            <w:r>
              <w:rPr>
                <w:sz w:val="17"/>
              </w:rPr>
              <w:t>Precinto policial donde se produjo el arresto</w:t>
            </w:r>
          </w:p>
        </w:tc>
      </w:tr>
      <w:tr>
        <w:tc>
          <w:tcPr>
            <w:tcW w:type="dxa" w:w="2494"/>
          </w:tcPr>
          <w:p>
            <w:pPr>
              <w:jc w:val="left"/>
            </w:pPr>
            <w:r/>
            <w:r>
              <w:rPr>
                <w:sz w:val="17"/>
              </w:rPr>
              <w:t>JURISDICTION_CODE</w:t>
            </w:r>
          </w:p>
        </w:tc>
        <w:tc>
          <w:tcPr>
            <w:tcW w:type="dxa" w:w="1077"/>
          </w:tcPr>
          <w:p>
            <w:pPr>
              <w:jc w:val="center"/>
            </w:pPr>
            <w:r/>
            <w:r>
              <w:rPr>
                <w:sz w:val="17"/>
              </w:rPr>
              <w:t>integer</w:t>
            </w:r>
          </w:p>
        </w:tc>
        <w:tc>
          <w:tcPr>
            <w:tcW w:type="dxa" w:w="5499"/>
          </w:tcPr>
          <w:p>
            <w:pPr>
              <w:jc w:val="center"/>
            </w:pPr>
            <w:r/>
            <w:r>
              <w:rPr>
                <w:sz w:val="17"/>
              </w:rPr>
              <w:t>Jurisdicción responsable del procedimiento</w:t>
            </w:r>
          </w:p>
        </w:tc>
      </w:tr>
      <w:tr>
        <w:tc>
          <w:tcPr>
            <w:tcW w:type="dxa" w:w="2494"/>
          </w:tcPr>
          <w:p>
            <w:pPr>
              <w:jc w:val="left"/>
            </w:pPr>
            <w:r/>
            <w:r>
              <w:rPr>
                <w:sz w:val="17"/>
              </w:rPr>
              <w:t>AGE_GROUP</w:t>
            </w:r>
          </w:p>
        </w:tc>
        <w:tc>
          <w:tcPr>
            <w:tcW w:type="dxa" w:w="1077"/>
          </w:tcPr>
          <w:p>
            <w:pPr>
              <w:jc w:val="center"/>
            </w:pPr>
            <w:r/>
            <w:r>
              <w:rPr>
                <w:sz w:val="17"/>
              </w:rPr>
              <w:t>string</w:t>
            </w:r>
          </w:p>
        </w:tc>
        <w:tc>
          <w:tcPr>
            <w:tcW w:type="dxa" w:w="5499"/>
          </w:tcPr>
          <w:p>
            <w:pPr>
              <w:jc w:val="center"/>
            </w:pPr>
            <w:r/>
            <w:r>
              <w:rPr>
                <w:sz w:val="17"/>
              </w:rPr>
              <w:t>Grupo etario: &lt;18, 18-24, 25-44, 45-64, 65+</w:t>
            </w:r>
          </w:p>
        </w:tc>
      </w:tr>
      <w:tr>
        <w:tc>
          <w:tcPr>
            <w:tcW w:type="dxa" w:w="2494"/>
          </w:tcPr>
          <w:p>
            <w:pPr>
              <w:jc w:val="left"/>
            </w:pPr>
            <w:r/>
            <w:r>
              <w:rPr>
                <w:sz w:val="17"/>
              </w:rPr>
              <w:t>PERP_SEX / PERP_RACE</w:t>
            </w:r>
          </w:p>
        </w:tc>
        <w:tc>
          <w:tcPr>
            <w:tcW w:type="dxa" w:w="1077"/>
          </w:tcPr>
          <w:p>
            <w:pPr>
              <w:jc w:val="center"/>
            </w:pPr>
            <w:r/>
            <w:r>
              <w:rPr>
                <w:sz w:val="17"/>
              </w:rPr>
              <w:t>string</w:t>
            </w:r>
          </w:p>
        </w:tc>
        <w:tc>
          <w:tcPr>
            <w:tcW w:type="dxa" w:w="5499"/>
          </w:tcPr>
          <w:p>
            <w:pPr>
              <w:jc w:val="center"/>
            </w:pPr>
            <w:r/>
            <w:r>
              <w:rPr>
                <w:sz w:val="17"/>
              </w:rPr>
              <w:t>Sexo y grupo racial de la persona arrestada</w:t>
            </w:r>
          </w:p>
        </w:tc>
      </w:tr>
      <w:tr>
        <w:tc>
          <w:tcPr>
            <w:tcW w:type="dxa" w:w="2494"/>
          </w:tcPr>
          <w:p>
            <w:pPr>
              <w:jc w:val="left"/>
            </w:pPr>
            <w:r/>
            <w:r>
              <w:rPr>
                <w:sz w:val="17"/>
              </w:rPr>
              <w:t>X_COORD_CD / Y_COORD_CD</w:t>
            </w:r>
          </w:p>
        </w:tc>
        <w:tc>
          <w:tcPr>
            <w:tcW w:type="dxa" w:w="1077"/>
          </w:tcPr>
          <w:p>
            <w:pPr>
              <w:jc w:val="center"/>
            </w:pPr>
            <w:r/>
            <w:r>
              <w:rPr>
                <w:sz w:val="17"/>
              </w:rPr>
              <w:t>double</w:t>
            </w:r>
          </w:p>
        </w:tc>
        <w:tc>
          <w:tcPr>
            <w:tcW w:type="dxa" w:w="5499"/>
          </w:tcPr>
          <w:p>
            <w:pPr>
              <w:jc w:val="center"/>
            </w:pPr>
            <w:r/>
            <w:r>
              <w:rPr>
                <w:sz w:val="17"/>
              </w:rPr>
              <w:t>Coordenadas planas del sistema estatal de Nueva York</w:t>
            </w:r>
          </w:p>
        </w:tc>
      </w:tr>
      <w:tr>
        <w:tc>
          <w:tcPr>
            <w:tcW w:type="dxa" w:w="2494"/>
          </w:tcPr>
          <w:p>
            <w:pPr>
              <w:jc w:val="left"/>
            </w:pPr>
            <w:r/>
            <w:r>
              <w:rPr>
                <w:sz w:val="17"/>
              </w:rPr>
              <w:t>Latitude / Longitude</w:t>
            </w:r>
          </w:p>
        </w:tc>
        <w:tc>
          <w:tcPr>
            <w:tcW w:type="dxa" w:w="1077"/>
          </w:tcPr>
          <w:p>
            <w:pPr>
              <w:jc w:val="center"/>
            </w:pPr>
            <w:r/>
            <w:r>
              <w:rPr>
                <w:sz w:val="17"/>
              </w:rPr>
              <w:t>double</w:t>
            </w:r>
          </w:p>
        </w:tc>
        <w:tc>
          <w:tcPr>
            <w:tcW w:type="dxa" w:w="5499"/>
          </w:tcPr>
          <w:p>
            <w:pPr>
              <w:jc w:val="center"/>
            </w:pPr>
            <w:r/>
            <w:r>
              <w:rPr>
                <w:sz w:val="17"/>
              </w:rPr>
              <w:t>Coordenadas geográficas</w:t>
            </w:r>
          </w:p>
        </w:tc>
      </w:tr>
      <w:tr>
        <w:tc>
          <w:tcPr>
            <w:tcW w:type="dxa" w:w="2494"/>
          </w:tcPr>
          <w:p>
            <w:pPr>
              <w:jc w:val="left"/>
            </w:pPr>
            <w:r/>
            <w:r>
              <w:rPr>
                <w:sz w:val="17"/>
              </w:rPr>
              <w:t>geo_punto</w:t>
            </w:r>
          </w:p>
        </w:tc>
        <w:tc>
          <w:tcPr>
            <w:tcW w:type="dxa" w:w="1077"/>
          </w:tcPr>
          <w:p>
            <w:pPr>
              <w:jc w:val="center"/>
            </w:pPr>
            <w:r/>
            <w:r>
              <w:rPr>
                <w:sz w:val="17"/>
              </w:rPr>
              <w:t>string</w:t>
            </w:r>
          </w:p>
        </w:tc>
        <w:tc>
          <w:tcPr>
            <w:tcW w:type="dxa" w:w="5499"/>
          </w:tcPr>
          <w:p>
            <w:pPr>
              <w:jc w:val="center"/>
            </w:pPr>
            <w:r/>
            <w:r>
              <w:rPr>
                <w:sz w:val="17"/>
              </w:rPr>
              <w:t>Geometría POINT; denominada Lon_Lat o Location según la fuente</w:t>
            </w:r>
          </w:p>
        </w:tc>
      </w:tr>
    </w:tbl>
    <w:p>
      <w:pPr>
        <w:spacing w:after="0" w:before="0"/>
      </w:pPr>
      <w:r>
        <w:rPr>
          <w:sz w:val="8"/>
        </w:rPr>
      </w:r>
    </w:p>
    <w:p>
      <w:pPr>
        <w:pStyle w:val="Heading3"/>
        <w:keepNext/>
      </w:pPr>
      <w:r>
        <w:t>3.4.2 Siniestros viales – Crashes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crash_date / crash_time</w:t>
            </w:r>
          </w:p>
        </w:tc>
        <w:tc>
          <w:tcPr>
            <w:tcW w:type="dxa" w:w="1077"/>
          </w:tcPr>
          <w:p>
            <w:pPr>
              <w:jc w:val="center"/>
            </w:pPr>
            <w:r/>
            <w:r>
              <w:rPr>
                <w:sz w:val="17"/>
              </w:rPr>
              <w:t>date / string</w:t>
            </w:r>
          </w:p>
        </w:tc>
        <w:tc>
          <w:tcPr>
            <w:tcW w:type="dxa" w:w="5499"/>
          </w:tcPr>
          <w:p>
            <w:pPr>
              <w:jc w:val="center"/>
            </w:pPr>
            <w:r/>
            <w:r>
              <w:rPr>
                <w:sz w:val="17"/>
              </w:rPr>
              <w:t>Fecha y hora del siniestro</w:t>
            </w:r>
          </w:p>
        </w:tc>
      </w:tr>
      <w:tr>
        <w:tc>
          <w:tcPr>
            <w:tcW w:type="dxa" w:w="2494"/>
          </w:tcPr>
          <w:p>
            <w:pPr>
              <w:jc w:val="left"/>
            </w:pPr>
            <w:r/>
            <w:r>
              <w:rPr>
                <w:sz w:val="17"/>
              </w:rPr>
              <w:t>borough / zip_code</w:t>
            </w:r>
          </w:p>
        </w:tc>
        <w:tc>
          <w:tcPr>
            <w:tcW w:type="dxa" w:w="1077"/>
          </w:tcPr>
          <w:p>
            <w:pPr>
              <w:jc w:val="center"/>
            </w:pPr>
            <w:r/>
            <w:r>
              <w:rPr>
                <w:sz w:val="17"/>
              </w:rPr>
              <w:t>string</w:t>
            </w:r>
          </w:p>
        </w:tc>
        <w:tc>
          <w:tcPr>
            <w:tcW w:type="dxa" w:w="5499"/>
          </w:tcPr>
          <w:p>
            <w:pPr>
              <w:jc w:val="center"/>
            </w:pPr>
            <w:r/>
            <w:r>
              <w:rPr>
                <w:sz w:val="17"/>
              </w:rPr>
              <w:t>Distrito y código postal</w:t>
            </w:r>
          </w:p>
        </w:tc>
      </w:tr>
      <w:tr>
        <w:tc>
          <w:tcPr>
            <w:tcW w:type="dxa" w:w="2494"/>
          </w:tcPr>
          <w:p>
            <w:pPr>
              <w:jc w:val="left"/>
            </w:pPr>
            <w:r/>
            <w:r>
              <w:rPr>
                <w:sz w:val="17"/>
              </w:rPr>
              <w:t>latitude / longitude</w:t>
            </w:r>
          </w:p>
        </w:tc>
        <w:tc>
          <w:tcPr>
            <w:tcW w:type="dxa" w:w="1077"/>
          </w:tcPr>
          <w:p>
            <w:pPr>
              <w:jc w:val="center"/>
            </w:pPr>
            <w:r/>
            <w:r>
              <w:rPr>
                <w:sz w:val="17"/>
              </w:rPr>
              <w:t>double</w:t>
            </w:r>
          </w:p>
        </w:tc>
        <w:tc>
          <w:tcPr>
            <w:tcW w:type="dxa" w:w="5499"/>
          </w:tcPr>
          <w:p>
            <w:pPr>
              <w:jc w:val="center"/>
            </w:pPr>
            <w:r/>
            <w:r>
              <w:rPr>
                <w:sz w:val="17"/>
              </w:rPr>
              <w:t>Coordenadas geográficas del punto</w:t>
            </w:r>
          </w:p>
        </w:tc>
      </w:tr>
      <w:tr>
        <w:tc>
          <w:tcPr>
            <w:tcW w:type="dxa" w:w="2494"/>
          </w:tcPr>
          <w:p>
            <w:pPr>
              <w:jc w:val="left"/>
            </w:pPr>
            <w:r/>
            <w:r>
              <w:rPr>
                <w:sz w:val="17"/>
              </w:rPr>
              <w:t>on_street_name</w:t>
            </w:r>
          </w:p>
        </w:tc>
        <w:tc>
          <w:tcPr>
            <w:tcW w:type="dxa" w:w="1077"/>
          </w:tcPr>
          <w:p>
            <w:pPr>
              <w:jc w:val="center"/>
            </w:pPr>
            <w:r/>
            <w:r>
              <w:rPr>
                <w:sz w:val="17"/>
              </w:rPr>
              <w:t>string</w:t>
            </w:r>
          </w:p>
        </w:tc>
        <w:tc>
          <w:tcPr>
            <w:tcW w:type="dxa" w:w="5499"/>
          </w:tcPr>
          <w:p>
            <w:pPr>
              <w:jc w:val="center"/>
            </w:pPr>
            <w:r/>
            <w:r>
              <w:rPr>
                <w:sz w:val="17"/>
              </w:rPr>
              <w:t>Vía principal donde ocurrió el siniestro</w:t>
            </w:r>
          </w:p>
        </w:tc>
      </w:tr>
      <w:tr>
        <w:tc>
          <w:tcPr>
            <w:tcW w:type="dxa" w:w="2494"/>
          </w:tcPr>
          <w:p>
            <w:pPr>
              <w:jc w:val="left"/>
            </w:pPr>
            <w:r/>
            <w:r>
              <w:rPr>
                <w:sz w:val="17"/>
              </w:rPr>
              <w:t>cross_street_name</w:t>
            </w:r>
          </w:p>
        </w:tc>
        <w:tc>
          <w:tcPr>
            <w:tcW w:type="dxa" w:w="1077"/>
          </w:tcPr>
          <w:p>
            <w:pPr>
              <w:jc w:val="center"/>
            </w:pPr>
            <w:r/>
            <w:r>
              <w:rPr>
                <w:sz w:val="17"/>
              </w:rPr>
              <w:t>string</w:t>
            </w:r>
          </w:p>
        </w:tc>
        <w:tc>
          <w:tcPr>
            <w:tcW w:type="dxa" w:w="5499"/>
          </w:tcPr>
          <w:p>
            <w:pPr>
              <w:jc w:val="center"/>
            </w:pPr>
            <w:r/>
            <w:r>
              <w:rPr>
                <w:sz w:val="17"/>
              </w:rPr>
              <w:t>Vía transversal de referencia</w:t>
            </w:r>
          </w:p>
        </w:tc>
      </w:tr>
      <w:tr>
        <w:tc>
          <w:tcPr>
            <w:tcW w:type="dxa" w:w="2494"/>
          </w:tcPr>
          <w:p>
            <w:pPr>
              <w:jc w:val="left"/>
            </w:pPr>
            <w:r/>
            <w:r>
              <w:rPr>
                <w:sz w:val="17"/>
              </w:rPr>
              <w:t>off_street_name</w:t>
            </w:r>
          </w:p>
        </w:tc>
        <w:tc>
          <w:tcPr>
            <w:tcW w:type="dxa" w:w="1077"/>
          </w:tcPr>
          <w:p>
            <w:pPr>
              <w:jc w:val="center"/>
            </w:pPr>
            <w:r/>
            <w:r>
              <w:rPr>
                <w:sz w:val="17"/>
              </w:rPr>
              <w:t>string</w:t>
            </w:r>
          </w:p>
        </w:tc>
        <w:tc>
          <w:tcPr>
            <w:tcW w:type="dxa" w:w="5499"/>
          </w:tcPr>
          <w:p>
            <w:pPr>
              <w:jc w:val="center"/>
            </w:pPr>
            <w:r/>
            <w:r>
              <w:rPr>
                <w:sz w:val="17"/>
              </w:rPr>
              <w:t>Dirección cuando no corresponde a una intersección</w:t>
            </w:r>
          </w:p>
        </w:tc>
      </w:tr>
      <w:tr>
        <w:tc>
          <w:tcPr>
            <w:tcW w:type="dxa" w:w="2494"/>
          </w:tcPr>
          <w:p>
            <w:pPr>
              <w:jc w:val="left"/>
            </w:pPr>
            <w:r/>
            <w:r>
              <w:rPr>
                <w:sz w:val="17"/>
              </w:rPr>
              <w:t>n_persons_injured / killed</w:t>
            </w:r>
          </w:p>
        </w:tc>
        <w:tc>
          <w:tcPr>
            <w:tcW w:type="dxa" w:w="1077"/>
          </w:tcPr>
          <w:p>
            <w:pPr>
              <w:jc w:val="center"/>
            </w:pPr>
            <w:r/>
            <w:r>
              <w:rPr>
                <w:sz w:val="17"/>
              </w:rPr>
              <w:t>integer</w:t>
            </w:r>
          </w:p>
        </w:tc>
        <w:tc>
          <w:tcPr>
            <w:tcW w:type="dxa" w:w="5499"/>
          </w:tcPr>
          <w:p>
            <w:pPr>
              <w:jc w:val="center"/>
            </w:pPr>
            <w:r/>
            <w:r>
              <w:rPr>
                <w:sz w:val="17"/>
              </w:rPr>
              <w:t>Total de personas heridas y fallecidas</w:t>
            </w:r>
          </w:p>
        </w:tc>
      </w:tr>
      <w:tr>
        <w:tc>
          <w:tcPr>
            <w:tcW w:type="dxa" w:w="2494"/>
          </w:tcPr>
          <w:p>
            <w:pPr>
              <w:jc w:val="left"/>
            </w:pPr>
            <w:r/>
            <w:r>
              <w:rPr>
                <w:sz w:val="17"/>
              </w:rPr>
              <w:t>n_pedestrians_injured / killed</w:t>
            </w:r>
          </w:p>
        </w:tc>
        <w:tc>
          <w:tcPr>
            <w:tcW w:type="dxa" w:w="1077"/>
          </w:tcPr>
          <w:p>
            <w:pPr>
              <w:jc w:val="center"/>
            </w:pPr>
            <w:r/>
            <w:r>
              <w:rPr>
                <w:sz w:val="17"/>
              </w:rPr>
              <w:t>integer</w:t>
            </w:r>
          </w:p>
        </w:tc>
        <w:tc>
          <w:tcPr>
            <w:tcW w:type="dxa" w:w="5499"/>
          </w:tcPr>
          <w:p>
            <w:pPr>
              <w:jc w:val="center"/>
            </w:pPr>
            <w:r/>
            <w:r>
              <w:rPr>
                <w:sz w:val="17"/>
              </w:rPr>
              <w:t>Peatones heridos y fallecidos</w:t>
            </w:r>
          </w:p>
        </w:tc>
      </w:tr>
      <w:tr>
        <w:tc>
          <w:tcPr>
            <w:tcW w:type="dxa" w:w="2494"/>
          </w:tcPr>
          <w:p>
            <w:pPr>
              <w:jc w:val="left"/>
            </w:pPr>
            <w:r/>
            <w:r>
              <w:rPr>
                <w:sz w:val="17"/>
              </w:rPr>
              <w:t>n_cyclist_injured / killed</w:t>
            </w:r>
          </w:p>
        </w:tc>
        <w:tc>
          <w:tcPr>
            <w:tcW w:type="dxa" w:w="1077"/>
          </w:tcPr>
          <w:p>
            <w:pPr>
              <w:jc w:val="center"/>
            </w:pPr>
            <w:r/>
            <w:r>
              <w:rPr>
                <w:sz w:val="17"/>
              </w:rPr>
              <w:t>integer</w:t>
            </w:r>
          </w:p>
        </w:tc>
        <w:tc>
          <w:tcPr>
            <w:tcW w:type="dxa" w:w="5499"/>
          </w:tcPr>
          <w:p>
            <w:pPr>
              <w:jc w:val="center"/>
            </w:pPr>
            <w:r/>
            <w:r>
              <w:rPr>
                <w:sz w:val="17"/>
              </w:rPr>
              <w:t>Ciclistas heridos y fallecidos</w:t>
            </w:r>
          </w:p>
        </w:tc>
      </w:tr>
      <w:tr>
        <w:tc>
          <w:tcPr>
            <w:tcW w:type="dxa" w:w="2494"/>
          </w:tcPr>
          <w:p>
            <w:pPr>
              <w:jc w:val="left"/>
            </w:pPr>
            <w:r/>
            <w:r>
              <w:rPr>
                <w:sz w:val="17"/>
              </w:rPr>
              <w:t>n_motorist_injured / killed</w:t>
            </w:r>
          </w:p>
        </w:tc>
        <w:tc>
          <w:tcPr>
            <w:tcW w:type="dxa" w:w="1077"/>
          </w:tcPr>
          <w:p>
            <w:pPr>
              <w:jc w:val="center"/>
            </w:pPr>
            <w:r/>
            <w:r>
              <w:rPr>
                <w:sz w:val="17"/>
              </w:rPr>
              <w:t>integer</w:t>
            </w:r>
          </w:p>
        </w:tc>
        <w:tc>
          <w:tcPr>
            <w:tcW w:type="dxa" w:w="5499"/>
          </w:tcPr>
          <w:p>
            <w:pPr>
              <w:jc w:val="center"/>
            </w:pPr>
            <w:r/>
            <w:r>
              <w:rPr>
                <w:sz w:val="17"/>
              </w:rPr>
              <w:t>Ocupantes de vehículo heridos y fallecidos</w:t>
            </w:r>
          </w:p>
        </w:tc>
      </w:tr>
      <w:tr>
        <w:tc>
          <w:tcPr>
            <w:tcW w:type="dxa" w:w="2494"/>
          </w:tcPr>
          <w:p>
            <w:pPr>
              <w:jc w:val="left"/>
            </w:pPr>
            <w:r/>
            <w:r>
              <w:rPr>
                <w:sz w:val="17"/>
              </w:rPr>
              <w:t>factor_1 … factor_5</w:t>
            </w:r>
          </w:p>
        </w:tc>
        <w:tc>
          <w:tcPr>
            <w:tcW w:type="dxa" w:w="1077"/>
          </w:tcPr>
          <w:p>
            <w:pPr>
              <w:jc w:val="center"/>
            </w:pPr>
            <w:r/>
            <w:r>
              <w:rPr>
                <w:sz w:val="17"/>
              </w:rPr>
              <w:t>string</w:t>
            </w:r>
          </w:p>
        </w:tc>
        <w:tc>
          <w:tcPr>
            <w:tcW w:type="dxa" w:w="5499"/>
          </w:tcPr>
          <w:p>
            <w:pPr>
              <w:jc w:val="center"/>
            </w:pPr>
            <w:r/>
            <w:r>
              <w:rPr>
                <w:sz w:val="17"/>
              </w:rPr>
              <w:t>Factores contribuyentes atribuidos a cada vehículo</w:t>
            </w:r>
          </w:p>
        </w:tc>
      </w:tr>
      <w:tr>
        <w:tc>
          <w:tcPr>
            <w:tcW w:type="dxa" w:w="2494"/>
          </w:tcPr>
          <w:p>
            <w:pPr>
              <w:jc w:val="left"/>
            </w:pPr>
            <w:r/>
            <w:r>
              <w:rPr>
                <w:sz w:val="17"/>
              </w:rPr>
              <w:t>collision_id</w:t>
            </w:r>
          </w:p>
        </w:tc>
        <w:tc>
          <w:tcPr>
            <w:tcW w:type="dxa" w:w="1077"/>
          </w:tcPr>
          <w:p>
            <w:pPr>
              <w:jc w:val="center"/>
            </w:pPr>
            <w:r/>
            <w:r>
              <w:rPr>
                <w:sz w:val="17"/>
              </w:rPr>
              <w:t>integer</w:t>
            </w:r>
          </w:p>
        </w:tc>
        <w:tc>
          <w:tcPr>
            <w:tcW w:type="dxa" w:w="5499"/>
          </w:tcPr>
          <w:p>
            <w:pPr>
              <w:jc w:val="center"/>
            </w:pPr>
            <w:r/>
            <w:r>
              <w:rPr>
                <w:sz w:val="17"/>
              </w:rPr>
              <w:t>Identificador del siniestro; vincula con Vehicles</w:t>
            </w:r>
          </w:p>
        </w:tc>
      </w:tr>
      <w:tr>
        <w:tc>
          <w:tcPr>
            <w:tcW w:type="dxa" w:w="2494"/>
          </w:tcPr>
          <w:p>
            <w:pPr>
              <w:jc w:val="left"/>
            </w:pPr>
            <w:r/>
            <w:r>
              <w:rPr>
                <w:sz w:val="17"/>
              </w:rPr>
              <w:t>tipo_veh_1 … tipo_veh_5</w:t>
            </w:r>
          </w:p>
        </w:tc>
        <w:tc>
          <w:tcPr>
            <w:tcW w:type="dxa" w:w="1077"/>
          </w:tcPr>
          <w:p>
            <w:pPr>
              <w:jc w:val="center"/>
            </w:pPr>
            <w:r/>
            <w:r>
              <w:rPr>
                <w:sz w:val="17"/>
              </w:rPr>
              <w:t>string</w:t>
            </w:r>
          </w:p>
        </w:tc>
        <w:tc>
          <w:tcPr>
            <w:tcW w:type="dxa" w:w="5499"/>
          </w:tcPr>
          <w:p>
            <w:pPr>
              <w:jc w:val="center"/>
            </w:pPr>
            <w:r/>
            <w:r>
              <w:rPr>
                <w:sz w:val="17"/>
              </w:rPr>
              <w:t>Tipo de cada vehículo involucrado</w:t>
            </w:r>
          </w:p>
        </w:tc>
      </w:tr>
    </w:tbl>
    <w:p>
      <w:pPr>
        <w:spacing w:after="0" w:before="0"/>
      </w:pPr>
      <w:r>
        <w:rPr>
          <w:sz w:val="8"/>
        </w:rPr>
      </w:r>
    </w:p>
    <w:p>
      <w:pPr>
        <w:pStyle w:val="Heading3"/>
        <w:keepNext/>
      </w:pPr>
      <w:r>
        <w:t>3.4.3 Siniestros viales – Vehicles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unique_id</w:t>
            </w:r>
          </w:p>
        </w:tc>
        <w:tc>
          <w:tcPr>
            <w:tcW w:type="dxa" w:w="1077"/>
          </w:tcPr>
          <w:p>
            <w:pPr>
              <w:jc w:val="center"/>
            </w:pPr>
            <w:r/>
            <w:r>
              <w:rPr>
                <w:sz w:val="17"/>
              </w:rPr>
              <w:t>integer</w:t>
            </w:r>
          </w:p>
        </w:tc>
        <w:tc>
          <w:tcPr>
            <w:tcW w:type="dxa" w:w="5499"/>
          </w:tcPr>
          <w:p>
            <w:pPr>
              <w:jc w:val="center"/>
            </w:pPr>
            <w:r/>
            <w:r>
              <w:rPr>
                <w:sz w:val="17"/>
              </w:rPr>
              <w:t>Identificador del vehículo dentro del registro</w:t>
            </w:r>
          </w:p>
        </w:tc>
      </w:tr>
      <w:tr>
        <w:tc>
          <w:tcPr>
            <w:tcW w:type="dxa" w:w="2494"/>
          </w:tcPr>
          <w:p>
            <w:pPr>
              <w:jc w:val="left"/>
            </w:pPr>
            <w:r/>
            <w:r>
              <w:rPr>
                <w:sz w:val="17"/>
              </w:rPr>
              <w:t>collision_id</w:t>
            </w:r>
          </w:p>
        </w:tc>
        <w:tc>
          <w:tcPr>
            <w:tcW w:type="dxa" w:w="1077"/>
          </w:tcPr>
          <w:p>
            <w:pPr>
              <w:jc w:val="center"/>
            </w:pPr>
            <w:r/>
            <w:r>
              <w:rPr>
                <w:sz w:val="17"/>
              </w:rPr>
              <w:t>integer</w:t>
            </w:r>
          </w:p>
        </w:tc>
        <w:tc>
          <w:tcPr>
            <w:tcW w:type="dxa" w:w="5499"/>
          </w:tcPr>
          <w:p>
            <w:pPr>
              <w:jc w:val="center"/>
            </w:pPr>
            <w:r/>
            <w:r>
              <w:rPr>
                <w:sz w:val="17"/>
              </w:rPr>
              <w:t>Identificador del siniestro; vincula con Crashes</w:t>
            </w:r>
          </w:p>
        </w:tc>
      </w:tr>
      <w:tr>
        <w:tc>
          <w:tcPr>
            <w:tcW w:type="dxa" w:w="2494"/>
          </w:tcPr>
          <w:p>
            <w:pPr>
              <w:jc w:val="left"/>
            </w:pPr>
            <w:r/>
            <w:r>
              <w:rPr>
                <w:sz w:val="17"/>
              </w:rPr>
              <w:t>state_registration</w:t>
            </w:r>
          </w:p>
        </w:tc>
        <w:tc>
          <w:tcPr>
            <w:tcW w:type="dxa" w:w="1077"/>
          </w:tcPr>
          <w:p>
            <w:pPr>
              <w:jc w:val="center"/>
            </w:pPr>
            <w:r/>
            <w:r>
              <w:rPr>
                <w:sz w:val="17"/>
              </w:rPr>
              <w:t>string</w:t>
            </w:r>
          </w:p>
        </w:tc>
        <w:tc>
          <w:tcPr>
            <w:tcW w:type="dxa" w:w="5499"/>
          </w:tcPr>
          <w:p>
            <w:pPr>
              <w:jc w:val="center"/>
            </w:pPr>
            <w:r/>
            <w:r>
              <w:rPr>
                <w:sz w:val="17"/>
              </w:rPr>
              <w:t>Estado de matriculación del vehículo</w:t>
            </w:r>
          </w:p>
        </w:tc>
      </w:tr>
      <w:tr>
        <w:tc>
          <w:tcPr>
            <w:tcW w:type="dxa" w:w="2494"/>
          </w:tcPr>
          <w:p>
            <w:pPr>
              <w:jc w:val="left"/>
            </w:pPr>
            <w:r/>
            <w:r>
              <w:rPr>
                <w:sz w:val="17"/>
              </w:rPr>
              <w:t>vehicle_type / make / model / year</w:t>
            </w:r>
          </w:p>
        </w:tc>
        <w:tc>
          <w:tcPr>
            <w:tcW w:type="dxa" w:w="1077"/>
          </w:tcPr>
          <w:p>
            <w:pPr>
              <w:jc w:val="center"/>
            </w:pPr>
            <w:r/>
            <w:r>
              <w:rPr>
                <w:sz w:val="17"/>
              </w:rPr>
              <w:t>string</w:t>
            </w:r>
          </w:p>
        </w:tc>
        <w:tc>
          <w:tcPr>
            <w:tcW w:type="dxa" w:w="5499"/>
          </w:tcPr>
          <w:p>
            <w:pPr>
              <w:jc w:val="center"/>
            </w:pPr>
            <w:r/>
            <w:r>
              <w:rPr>
                <w:sz w:val="17"/>
              </w:rPr>
              <w:t>Características del vehículo</w:t>
            </w:r>
          </w:p>
        </w:tc>
      </w:tr>
      <w:tr>
        <w:tc>
          <w:tcPr>
            <w:tcW w:type="dxa" w:w="2494"/>
          </w:tcPr>
          <w:p>
            <w:pPr>
              <w:jc w:val="left"/>
            </w:pPr>
            <w:r/>
            <w:r>
              <w:rPr>
                <w:sz w:val="17"/>
              </w:rPr>
              <w:t>travel_direction</w:t>
            </w:r>
          </w:p>
        </w:tc>
        <w:tc>
          <w:tcPr>
            <w:tcW w:type="dxa" w:w="1077"/>
          </w:tcPr>
          <w:p>
            <w:pPr>
              <w:jc w:val="center"/>
            </w:pPr>
            <w:r/>
            <w:r>
              <w:rPr>
                <w:sz w:val="17"/>
              </w:rPr>
              <w:t>string</w:t>
            </w:r>
          </w:p>
        </w:tc>
        <w:tc>
          <w:tcPr>
            <w:tcW w:type="dxa" w:w="5499"/>
          </w:tcPr>
          <w:p>
            <w:pPr>
              <w:jc w:val="center"/>
            </w:pPr>
            <w:r/>
            <w:r>
              <w:rPr>
                <w:sz w:val="17"/>
              </w:rPr>
              <w:t>Sentido de circulación</w:t>
            </w:r>
          </w:p>
        </w:tc>
      </w:tr>
      <w:tr>
        <w:tc>
          <w:tcPr>
            <w:tcW w:type="dxa" w:w="2494"/>
          </w:tcPr>
          <w:p>
            <w:pPr>
              <w:jc w:val="left"/>
            </w:pPr>
            <w:r/>
            <w:r>
              <w:rPr>
                <w:sz w:val="17"/>
              </w:rPr>
              <w:t>vehicle_occupants</w:t>
            </w:r>
          </w:p>
        </w:tc>
        <w:tc>
          <w:tcPr>
            <w:tcW w:type="dxa" w:w="1077"/>
          </w:tcPr>
          <w:p>
            <w:pPr>
              <w:jc w:val="center"/>
            </w:pPr>
            <w:r/>
            <w:r>
              <w:rPr>
                <w:sz w:val="17"/>
              </w:rPr>
              <w:t>integer</w:t>
            </w:r>
          </w:p>
        </w:tc>
        <w:tc>
          <w:tcPr>
            <w:tcW w:type="dxa" w:w="5499"/>
          </w:tcPr>
          <w:p>
            <w:pPr>
              <w:jc w:val="center"/>
            </w:pPr>
            <w:r/>
            <w:r>
              <w:rPr>
                <w:sz w:val="17"/>
              </w:rPr>
              <w:t>Número de ocupantes</w:t>
            </w:r>
          </w:p>
        </w:tc>
      </w:tr>
      <w:tr>
        <w:tc>
          <w:tcPr>
            <w:tcW w:type="dxa" w:w="2494"/>
          </w:tcPr>
          <w:p>
            <w:pPr>
              <w:jc w:val="left"/>
            </w:pPr>
            <w:r/>
            <w:r>
              <w:rPr>
                <w:sz w:val="17"/>
              </w:rPr>
              <w:t>driver_sex</w:t>
            </w:r>
          </w:p>
        </w:tc>
        <w:tc>
          <w:tcPr>
            <w:tcW w:type="dxa" w:w="1077"/>
          </w:tcPr>
          <w:p>
            <w:pPr>
              <w:jc w:val="center"/>
            </w:pPr>
            <w:r/>
            <w:r>
              <w:rPr>
                <w:sz w:val="17"/>
              </w:rPr>
              <w:t>string</w:t>
            </w:r>
          </w:p>
        </w:tc>
        <w:tc>
          <w:tcPr>
            <w:tcW w:type="dxa" w:w="5499"/>
          </w:tcPr>
          <w:p>
            <w:pPr>
              <w:jc w:val="center"/>
            </w:pPr>
            <w:r/>
            <w:r>
              <w:rPr>
                <w:sz w:val="17"/>
              </w:rPr>
              <w:t>Sexo del conductor</w:t>
            </w:r>
          </w:p>
        </w:tc>
      </w:tr>
      <w:tr>
        <w:tc>
          <w:tcPr>
            <w:tcW w:type="dxa" w:w="2494"/>
          </w:tcPr>
          <w:p>
            <w:pPr>
              <w:jc w:val="left"/>
            </w:pPr>
            <w:r/>
            <w:r>
              <w:rPr>
                <w:sz w:val="17"/>
              </w:rPr>
              <w:t>driver_license_status / jurisdiction</w:t>
            </w:r>
          </w:p>
        </w:tc>
        <w:tc>
          <w:tcPr>
            <w:tcW w:type="dxa" w:w="1077"/>
          </w:tcPr>
          <w:p>
            <w:pPr>
              <w:jc w:val="center"/>
            </w:pPr>
            <w:r/>
            <w:r>
              <w:rPr>
                <w:sz w:val="17"/>
              </w:rPr>
              <w:t>string</w:t>
            </w:r>
          </w:p>
        </w:tc>
        <w:tc>
          <w:tcPr>
            <w:tcW w:type="dxa" w:w="5499"/>
          </w:tcPr>
          <w:p>
            <w:pPr>
              <w:jc w:val="center"/>
            </w:pPr>
            <w:r/>
            <w:r>
              <w:rPr>
                <w:sz w:val="17"/>
              </w:rPr>
              <w:t>Situación y origen de la licencia</w:t>
            </w:r>
          </w:p>
        </w:tc>
      </w:tr>
      <w:tr>
        <w:tc>
          <w:tcPr>
            <w:tcW w:type="dxa" w:w="2494"/>
          </w:tcPr>
          <w:p>
            <w:pPr>
              <w:jc w:val="left"/>
            </w:pPr>
            <w:r/>
            <w:r>
              <w:rPr>
                <w:sz w:val="17"/>
              </w:rPr>
              <w:t>pre_crash</w:t>
            </w:r>
          </w:p>
        </w:tc>
        <w:tc>
          <w:tcPr>
            <w:tcW w:type="dxa" w:w="1077"/>
          </w:tcPr>
          <w:p>
            <w:pPr>
              <w:jc w:val="center"/>
            </w:pPr>
            <w:r/>
            <w:r>
              <w:rPr>
                <w:sz w:val="17"/>
              </w:rPr>
              <w:t>string</w:t>
            </w:r>
          </w:p>
        </w:tc>
        <w:tc>
          <w:tcPr>
            <w:tcW w:type="dxa" w:w="5499"/>
          </w:tcPr>
          <w:p>
            <w:pPr>
              <w:jc w:val="center"/>
            </w:pPr>
            <w:r/>
            <w:r>
              <w:rPr>
                <w:sz w:val="17"/>
              </w:rPr>
              <w:t>Maniobra previa al siniestro</w:t>
            </w:r>
          </w:p>
        </w:tc>
      </w:tr>
      <w:tr>
        <w:tc>
          <w:tcPr>
            <w:tcW w:type="dxa" w:w="2494"/>
          </w:tcPr>
          <w:p>
            <w:pPr>
              <w:jc w:val="left"/>
            </w:pPr>
            <w:r/>
            <w:r>
              <w:rPr>
                <w:sz w:val="17"/>
              </w:rPr>
              <w:t>point_of_impact</w:t>
            </w:r>
          </w:p>
        </w:tc>
        <w:tc>
          <w:tcPr>
            <w:tcW w:type="dxa" w:w="1077"/>
          </w:tcPr>
          <w:p>
            <w:pPr>
              <w:jc w:val="center"/>
            </w:pPr>
            <w:r/>
            <w:r>
              <w:rPr>
                <w:sz w:val="17"/>
              </w:rPr>
              <w:t>string</w:t>
            </w:r>
          </w:p>
        </w:tc>
        <w:tc>
          <w:tcPr>
            <w:tcW w:type="dxa" w:w="5499"/>
          </w:tcPr>
          <w:p>
            <w:pPr>
              <w:jc w:val="center"/>
            </w:pPr>
            <w:r/>
            <w:r>
              <w:rPr>
                <w:sz w:val="17"/>
              </w:rPr>
              <w:t>Punto de impacto sobre el vehículo</w:t>
            </w:r>
          </w:p>
        </w:tc>
      </w:tr>
      <w:tr>
        <w:tc>
          <w:tcPr>
            <w:tcW w:type="dxa" w:w="2494"/>
          </w:tcPr>
          <w:p>
            <w:pPr>
              <w:jc w:val="left"/>
            </w:pPr>
            <w:r/>
            <w:r>
              <w:rPr>
                <w:sz w:val="17"/>
              </w:rPr>
              <w:t>vehicle_damage / _1 / _2 / _3</w:t>
            </w:r>
          </w:p>
        </w:tc>
        <w:tc>
          <w:tcPr>
            <w:tcW w:type="dxa" w:w="1077"/>
          </w:tcPr>
          <w:p>
            <w:pPr>
              <w:jc w:val="center"/>
            </w:pPr>
            <w:r/>
            <w:r>
              <w:rPr>
                <w:sz w:val="17"/>
              </w:rPr>
              <w:t>string</w:t>
            </w:r>
          </w:p>
        </w:tc>
        <w:tc>
          <w:tcPr>
            <w:tcW w:type="dxa" w:w="5499"/>
          </w:tcPr>
          <w:p>
            <w:pPr>
              <w:jc w:val="center"/>
            </w:pPr>
            <w:r/>
            <w:r>
              <w:rPr>
                <w:sz w:val="17"/>
              </w:rPr>
              <w:t>Zonas del vehículo con daño</w:t>
            </w:r>
          </w:p>
        </w:tc>
      </w:tr>
      <w:tr>
        <w:tc>
          <w:tcPr>
            <w:tcW w:type="dxa" w:w="2494"/>
          </w:tcPr>
          <w:p>
            <w:pPr>
              <w:jc w:val="left"/>
            </w:pPr>
            <w:r/>
            <w:r>
              <w:rPr>
                <w:sz w:val="17"/>
              </w:rPr>
              <w:t>public_property_damage</w:t>
            </w:r>
          </w:p>
        </w:tc>
        <w:tc>
          <w:tcPr>
            <w:tcW w:type="dxa" w:w="1077"/>
          </w:tcPr>
          <w:p>
            <w:pPr>
              <w:jc w:val="center"/>
            </w:pPr>
            <w:r/>
            <w:r>
              <w:rPr>
                <w:sz w:val="17"/>
              </w:rPr>
              <w:t>string</w:t>
            </w:r>
          </w:p>
        </w:tc>
        <w:tc>
          <w:tcPr>
            <w:tcW w:type="dxa" w:w="5499"/>
          </w:tcPr>
          <w:p>
            <w:pPr>
              <w:jc w:val="center"/>
            </w:pPr>
            <w:r/>
            <w:r>
              <w:rPr>
                <w:sz w:val="17"/>
              </w:rPr>
              <w:t>Existencia de daño a bien público</w:t>
            </w:r>
          </w:p>
        </w:tc>
      </w:tr>
      <w:tr>
        <w:tc>
          <w:tcPr>
            <w:tcW w:type="dxa" w:w="2494"/>
          </w:tcPr>
          <w:p>
            <w:pPr>
              <w:jc w:val="left"/>
            </w:pPr>
            <w:r/>
            <w:r>
              <w:rPr>
                <w:sz w:val="17"/>
              </w:rPr>
              <w:t>contributing_factor_1 / _2</w:t>
            </w:r>
          </w:p>
        </w:tc>
        <w:tc>
          <w:tcPr>
            <w:tcW w:type="dxa" w:w="1077"/>
          </w:tcPr>
          <w:p>
            <w:pPr>
              <w:jc w:val="center"/>
            </w:pPr>
            <w:r/>
            <w:r>
              <w:rPr>
                <w:sz w:val="17"/>
              </w:rPr>
              <w:t>string</w:t>
            </w:r>
          </w:p>
        </w:tc>
        <w:tc>
          <w:tcPr>
            <w:tcW w:type="dxa" w:w="5499"/>
          </w:tcPr>
          <w:p>
            <w:pPr>
              <w:jc w:val="center"/>
            </w:pPr>
            <w:r/>
            <w:r>
              <w:rPr>
                <w:sz w:val="17"/>
              </w:rPr>
              <w:t>Factores contribuyentes del vehículo</w:t>
            </w:r>
          </w:p>
        </w:tc>
      </w:tr>
    </w:tbl>
    <w:p>
      <w:pPr>
        <w:spacing w:after="0" w:before="0"/>
      </w:pPr>
      <w:r>
        <w:rPr>
          <w:sz w:val="8"/>
        </w:rPr>
      </w:r>
    </w:p>
    <w:p>
      <w:pPr>
        <w:pStyle w:val="Heading3"/>
        <w:keepNext/>
      </w:pPr>
      <w:r>
        <w:t>3.4.4 Pobreza: ACS PUMS 2023 y NYCgov 2018</w:t>
      </w:r>
    </w:p>
    <w:p>
      <w:r>
        <w:rPr>
          <w:b w:val="0"/>
          <w:i w:val="0"/>
          <w:sz w:val="22"/>
        </w:rPr>
        <w:t>El archivo del ACS contiene 287 atributos. Se relacionan los empleados en el análisis, junto con los del conjunto NYCgov utilizado como contraste.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PUMA (ACS)</w:t>
            </w:r>
          </w:p>
        </w:tc>
        <w:tc>
          <w:tcPr>
            <w:tcW w:type="dxa" w:w="1077"/>
          </w:tcPr>
          <w:p>
            <w:pPr>
              <w:jc w:val="center"/>
            </w:pPr>
            <w:r/>
            <w:r>
              <w:rPr>
                <w:sz w:val="17"/>
              </w:rPr>
              <w:t>string</w:t>
            </w:r>
          </w:p>
        </w:tc>
        <w:tc>
          <w:tcPr>
            <w:tcW w:type="dxa" w:w="5499"/>
          </w:tcPr>
          <w:p>
            <w:pPr>
              <w:jc w:val="center"/>
            </w:pPr>
            <w:r/>
            <w:r>
              <w:rPr>
                <w:sz w:val="17"/>
              </w:rPr>
              <w:t>Área de microdatos de uso público; se cruza a distrito</w:t>
            </w:r>
          </w:p>
        </w:tc>
      </w:tr>
      <w:tr>
        <w:tc>
          <w:tcPr>
            <w:tcW w:type="dxa" w:w="2494"/>
          </w:tcPr>
          <w:p>
            <w:pPr>
              <w:jc w:val="left"/>
            </w:pPr>
            <w:r/>
            <w:r>
              <w:rPr>
                <w:sz w:val="17"/>
              </w:rPr>
              <w:t>PWGTP (ACS)</w:t>
            </w:r>
          </w:p>
        </w:tc>
        <w:tc>
          <w:tcPr>
            <w:tcW w:type="dxa" w:w="1077"/>
          </w:tcPr>
          <w:p>
            <w:pPr>
              <w:jc w:val="center"/>
            </w:pPr>
            <w:r/>
            <w:r>
              <w:rPr>
                <w:sz w:val="17"/>
              </w:rPr>
              <w:t>double</w:t>
            </w:r>
          </w:p>
        </w:tc>
        <w:tc>
          <w:tcPr>
            <w:tcW w:type="dxa" w:w="5499"/>
          </w:tcPr>
          <w:p>
            <w:pPr>
              <w:jc w:val="center"/>
            </w:pPr>
            <w:r/>
            <w:r>
              <w:rPr>
                <w:sz w:val="17"/>
              </w:rPr>
              <w:t>Factor de expansión de la persona</w:t>
            </w:r>
          </w:p>
        </w:tc>
      </w:tr>
      <w:tr>
        <w:tc>
          <w:tcPr>
            <w:tcW w:type="dxa" w:w="2494"/>
          </w:tcPr>
          <w:p>
            <w:pPr>
              <w:jc w:val="left"/>
            </w:pPr>
            <w:r/>
            <w:r>
              <w:rPr>
                <w:sz w:val="17"/>
              </w:rPr>
              <w:t>POVPIP (ACS)</w:t>
            </w:r>
          </w:p>
        </w:tc>
        <w:tc>
          <w:tcPr>
            <w:tcW w:type="dxa" w:w="1077"/>
          </w:tcPr>
          <w:p>
            <w:pPr>
              <w:jc w:val="center"/>
            </w:pPr>
            <w:r/>
            <w:r>
              <w:rPr>
                <w:sz w:val="17"/>
              </w:rPr>
              <w:t>double</w:t>
            </w:r>
          </w:p>
        </w:tc>
        <w:tc>
          <w:tcPr>
            <w:tcW w:type="dxa" w:w="5499"/>
          </w:tcPr>
          <w:p>
            <w:pPr>
              <w:jc w:val="center"/>
            </w:pPr>
            <w:r/>
            <w:r>
              <w:rPr>
                <w:sz w:val="17"/>
              </w:rPr>
              <w:t>Razón ingreso-umbral de pobreza; menor que 100 indica pobreza</w:t>
            </w:r>
          </w:p>
        </w:tc>
      </w:tr>
      <w:tr>
        <w:tc>
          <w:tcPr>
            <w:tcW w:type="dxa" w:w="2494"/>
          </w:tcPr>
          <w:p>
            <w:pPr>
              <w:jc w:val="left"/>
            </w:pPr>
            <w:r/>
            <w:r>
              <w:rPr>
                <w:sz w:val="17"/>
              </w:rPr>
              <w:t>AGEP / SEX / SCHL (ACS)</w:t>
            </w:r>
          </w:p>
        </w:tc>
        <w:tc>
          <w:tcPr>
            <w:tcW w:type="dxa" w:w="1077"/>
          </w:tcPr>
          <w:p>
            <w:pPr>
              <w:jc w:val="center"/>
            </w:pPr>
            <w:r/>
            <w:r>
              <w:rPr>
                <w:sz w:val="17"/>
              </w:rPr>
              <w:t>integer</w:t>
            </w:r>
          </w:p>
        </w:tc>
        <w:tc>
          <w:tcPr>
            <w:tcW w:type="dxa" w:w="5499"/>
          </w:tcPr>
          <w:p>
            <w:pPr>
              <w:jc w:val="center"/>
            </w:pPr>
            <w:r/>
            <w:r>
              <w:rPr>
                <w:sz w:val="17"/>
              </w:rPr>
              <w:t>Edad, sexo y nivel educativo alcanzado</w:t>
            </w:r>
          </w:p>
        </w:tc>
      </w:tr>
      <w:tr>
        <w:tc>
          <w:tcPr>
            <w:tcW w:type="dxa" w:w="2494"/>
          </w:tcPr>
          <w:p>
            <w:pPr>
              <w:jc w:val="left"/>
            </w:pPr>
            <w:r/>
            <w:r>
              <w:rPr>
                <w:sz w:val="17"/>
              </w:rPr>
              <w:t>pwgtp / wgtp (NYCgov)</w:t>
            </w:r>
          </w:p>
        </w:tc>
        <w:tc>
          <w:tcPr>
            <w:tcW w:type="dxa" w:w="1077"/>
          </w:tcPr>
          <w:p>
            <w:pPr>
              <w:jc w:val="center"/>
            </w:pPr>
            <w:r/>
            <w:r>
              <w:rPr>
                <w:sz w:val="17"/>
              </w:rPr>
              <w:t>integer</w:t>
            </w:r>
          </w:p>
        </w:tc>
        <w:tc>
          <w:tcPr>
            <w:tcW w:type="dxa" w:w="5499"/>
          </w:tcPr>
          <w:p>
            <w:pPr>
              <w:jc w:val="center"/>
            </w:pPr>
            <w:r/>
            <w:r>
              <w:rPr>
                <w:sz w:val="17"/>
              </w:rPr>
              <w:t>Factores de expansión de persona y de hogar</w:t>
            </w:r>
          </w:p>
        </w:tc>
      </w:tr>
      <w:tr>
        <w:tc>
          <w:tcPr>
            <w:tcW w:type="dxa" w:w="2494"/>
          </w:tcPr>
          <w:p>
            <w:pPr>
              <w:jc w:val="left"/>
            </w:pPr>
            <w:r/>
            <w:r>
              <w:rPr>
                <w:sz w:val="17"/>
              </w:rPr>
              <w:t>boro (NYCgov)</w:t>
            </w:r>
          </w:p>
        </w:tc>
        <w:tc>
          <w:tcPr>
            <w:tcW w:type="dxa" w:w="1077"/>
          </w:tcPr>
          <w:p>
            <w:pPr>
              <w:jc w:val="center"/>
            </w:pPr>
            <w:r/>
            <w:r>
              <w:rPr>
                <w:sz w:val="17"/>
              </w:rPr>
              <w:t>integer</w:t>
            </w:r>
          </w:p>
        </w:tc>
        <w:tc>
          <w:tcPr>
            <w:tcW w:type="dxa" w:w="5499"/>
          </w:tcPr>
          <w:p>
            <w:pPr>
              <w:jc w:val="center"/>
            </w:pPr>
            <w:r/>
            <w:r>
              <w:rPr>
                <w:sz w:val="17"/>
              </w:rPr>
              <w:t>1 Bronx, 2 Brooklyn, 3 Manhattan, 4 Queens, 5 Staten Island</w:t>
            </w:r>
          </w:p>
        </w:tc>
      </w:tr>
      <w:tr>
        <w:tc>
          <w:tcPr>
            <w:tcW w:type="dxa" w:w="2494"/>
          </w:tcPr>
          <w:p>
            <w:pPr>
              <w:jc w:val="left"/>
            </w:pPr>
            <w:r/>
            <w:r>
              <w:rPr>
                <w:sz w:val="17"/>
              </w:rPr>
              <w:t>nycgov_pov_stat</w:t>
            </w:r>
          </w:p>
        </w:tc>
        <w:tc>
          <w:tcPr>
            <w:tcW w:type="dxa" w:w="1077"/>
          </w:tcPr>
          <w:p>
            <w:pPr>
              <w:jc w:val="center"/>
            </w:pPr>
            <w:r/>
            <w:r>
              <w:rPr>
                <w:sz w:val="17"/>
              </w:rPr>
              <w:t>integer</w:t>
            </w:r>
          </w:p>
        </w:tc>
        <w:tc>
          <w:tcPr>
            <w:tcW w:type="dxa" w:w="5499"/>
          </w:tcPr>
          <w:p>
            <w:pPr>
              <w:jc w:val="center"/>
            </w:pPr>
            <w:r/>
            <w:r>
              <w:rPr>
                <w:sz w:val="17"/>
              </w:rPr>
              <w:t>Situación de pobreza: 1 en pobreza, 2 fuera</w:t>
            </w:r>
          </w:p>
        </w:tc>
      </w:tr>
      <w:tr>
        <w:tc>
          <w:tcPr>
            <w:tcW w:type="dxa" w:w="2494"/>
          </w:tcPr>
          <w:p>
            <w:pPr>
              <w:jc w:val="left"/>
            </w:pPr>
            <w:r/>
            <w:r>
              <w:rPr>
                <w:sz w:val="17"/>
              </w:rPr>
              <w:t>nycgov_income / threshold</w:t>
            </w:r>
          </w:p>
        </w:tc>
        <w:tc>
          <w:tcPr>
            <w:tcW w:type="dxa" w:w="1077"/>
          </w:tcPr>
          <w:p>
            <w:pPr>
              <w:jc w:val="center"/>
            </w:pPr>
            <w:r/>
            <w:r>
              <w:rPr>
                <w:sz w:val="17"/>
              </w:rPr>
              <w:t>double</w:t>
            </w:r>
          </w:p>
        </w:tc>
        <w:tc>
          <w:tcPr>
            <w:tcW w:type="dxa" w:w="5499"/>
          </w:tcPr>
          <w:p>
            <w:pPr>
              <w:jc w:val="center"/>
            </w:pPr>
            <w:r/>
            <w:r>
              <w:rPr>
                <w:sz w:val="17"/>
              </w:rPr>
              <w:t>Ingreso y umbral según la metodología NYCgov</w:t>
            </w:r>
          </w:p>
        </w:tc>
      </w:tr>
      <w:tr>
        <w:tc>
          <w:tcPr>
            <w:tcW w:type="dxa" w:w="2494"/>
          </w:tcPr>
          <w:p>
            <w:pPr>
              <w:jc w:val="left"/>
            </w:pPr>
            <w:r/>
            <w:r>
              <w:rPr>
                <w:sz w:val="17"/>
              </w:rPr>
              <w:t>lanx / eng (NYCgov)</w:t>
            </w:r>
          </w:p>
        </w:tc>
        <w:tc>
          <w:tcPr>
            <w:tcW w:type="dxa" w:w="1077"/>
          </w:tcPr>
          <w:p>
            <w:pPr>
              <w:jc w:val="center"/>
            </w:pPr>
            <w:r/>
            <w:r>
              <w:rPr>
                <w:sz w:val="17"/>
              </w:rPr>
              <w:t>integer</w:t>
            </w:r>
          </w:p>
        </w:tc>
        <w:tc>
          <w:tcPr>
            <w:tcW w:type="dxa" w:w="5499"/>
          </w:tcPr>
          <w:p>
            <w:pPr>
              <w:jc w:val="center"/>
            </w:pPr>
            <w:r/>
            <w:r>
              <w:rPr>
                <w:sz w:val="17"/>
              </w:rPr>
              <w:t>Idioma distinto del inglés en el hogar y su dominio</w:t>
            </w:r>
          </w:p>
        </w:tc>
      </w:tr>
    </w:tbl>
    <w:p>
      <w:pPr>
        <w:spacing w:after="0" w:before="0"/>
      </w:pPr>
      <w:r>
        <w:rPr>
          <w:sz w:val="8"/>
        </w:rPr>
      </w:r>
    </w:p>
    <w:p>
      <w:pPr>
        <w:pStyle w:val="Heading3"/>
        <w:keepNext/>
      </w:pPr>
      <w:r>
        <w:t>3.4.5 Educación: graduación, Regents y SAT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shd w:fill="DCE6F1"/>
          </w:tcPr>
          <w:p>
            <w:pPr>
              <w:jc w:val="center"/>
            </w:pPr>
            <w:r/>
            <w:r>
              <w:rPr>
                <w:b/>
                <w:sz w:val="17"/>
              </w:rPr>
              <w:t>Atributo</w:t>
            </w:r>
          </w:p>
        </w:tc>
        <w:tc>
          <w:tcPr>
            <w:tcW w:type="dxa" w:w="1077"/>
            <w:shd w:fill="DCE6F1"/>
          </w:tcPr>
          <w:p>
            <w:pPr>
              <w:jc w:val="center"/>
            </w:pPr>
            <w:r/>
            <w:r>
              <w:rPr>
                <w:b/>
                <w:sz w:val="17"/>
              </w:rPr>
              <w:t>Tipo</w:t>
            </w:r>
          </w:p>
        </w:tc>
        <w:tc>
          <w:tcPr>
            <w:tcW w:type="dxa" w:w="5499"/>
            <w:shd w:fill="DCE6F1"/>
          </w:tcPr>
          <w:p>
            <w:pPr>
              <w:jc w:val="center"/>
            </w:pPr>
            <w:r/>
            <w:r>
              <w:rPr>
                <w:b/>
                <w:sz w:val="17"/>
              </w:rPr>
              <w:t>Significado</w:t>
            </w:r>
          </w:p>
        </w:tc>
      </w:tr>
      <w:tr>
        <w:tc>
          <w:tcPr>
            <w:tcW w:type="dxa" w:w="2494"/>
          </w:tcPr>
          <w:p>
            <w:pPr>
              <w:jc w:val="left"/>
            </w:pPr>
            <w:r/>
            <w:r>
              <w:rPr>
                <w:sz w:val="17"/>
              </w:rPr>
              <w:t>Report Category</w:t>
            </w:r>
          </w:p>
        </w:tc>
        <w:tc>
          <w:tcPr>
            <w:tcW w:type="dxa" w:w="1077"/>
          </w:tcPr>
          <w:p>
            <w:pPr>
              <w:jc w:val="center"/>
            </w:pPr>
            <w:r/>
            <w:r>
              <w:rPr>
                <w:sz w:val="17"/>
              </w:rPr>
              <w:t>string</w:t>
            </w:r>
          </w:p>
        </w:tc>
        <w:tc>
          <w:tcPr>
            <w:tcW w:type="dxa" w:w="5499"/>
          </w:tcPr>
          <w:p>
            <w:pPr>
              <w:jc w:val="center"/>
            </w:pPr>
            <w:r/>
            <w:r>
              <w:rPr>
                <w:sz w:val="17"/>
              </w:rPr>
              <w:t>Nivel de agregación: School, District, Borough, Citywide</w:t>
            </w:r>
          </w:p>
        </w:tc>
      </w:tr>
      <w:tr>
        <w:tc>
          <w:tcPr>
            <w:tcW w:type="dxa" w:w="2494"/>
          </w:tcPr>
          <w:p>
            <w:pPr>
              <w:jc w:val="left"/>
            </w:pPr>
            <w:r/>
            <w:r>
              <w:rPr>
                <w:sz w:val="17"/>
              </w:rPr>
              <w:t>Geographic Subdivision</w:t>
            </w:r>
          </w:p>
        </w:tc>
        <w:tc>
          <w:tcPr>
            <w:tcW w:type="dxa" w:w="1077"/>
          </w:tcPr>
          <w:p>
            <w:pPr>
              <w:jc w:val="center"/>
            </w:pPr>
            <w:r/>
            <w:r>
              <w:rPr>
                <w:sz w:val="17"/>
              </w:rPr>
              <w:t>string</w:t>
            </w:r>
          </w:p>
        </w:tc>
        <w:tc>
          <w:tcPr>
            <w:tcW w:type="dxa" w:w="5499"/>
          </w:tcPr>
          <w:p>
            <w:pPr>
              <w:jc w:val="center"/>
            </w:pPr>
            <w:r/>
            <w:r>
              <w:rPr>
                <w:sz w:val="17"/>
              </w:rPr>
              <w:t>Distrito al que corresponde la fila</w:t>
            </w:r>
          </w:p>
        </w:tc>
      </w:tr>
      <w:tr>
        <w:tc>
          <w:tcPr>
            <w:tcW w:type="dxa" w:w="2494"/>
          </w:tcPr>
          <w:p>
            <w:pPr>
              <w:jc w:val="left"/>
            </w:pPr>
            <w:r/>
            <w:r>
              <w:rPr>
                <w:sz w:val="17"/>
              </w:rPr>
              <w:t>Cohort Year</w:t>
            </w:r>
          </w:p>
        </w:tc>
        <w:tc>
          <w:tcPr>
            <w:tcW w:type="dxa" w:w="1077"/>
          </w:tcPr>
          <w:p>
            <w:pPr>
              <w:jc w:val="center"/>
            </w:pPr>
            <w:r/>
            <w:r>
              <w:rPr>
                <w:sz w:val="17"/>
              </w:rPr>
              <w:t>integer</w:t>
            </w:r>
          </w:p>
        </w:tc>
        <w:tc>
          <w:tcPr>
            <w:tcW w:type="dxa" w:w="5499"/>
          </w:tcPr>
          <w:p>
            <w:pPr>
              <w:jc w:val="center"/>
            </w:pPr>
            <w:r/>
            <w:r>
              <w:rPr>
                <w:sz w:val="17"/>
              </w:rPr>
              <w:t>Año de ingreso de la cohorte; 2019 es la clase de 2023</w:t>
            </w:r>
          </w:p>
        </w:tc>
      </w:tr>
      <w:tr>
        <w:tc>
          <w:tcPr>
            <w:tcW w:type="dxa" w:w="2494"/>
          </w:tcPr>
          <w:p>
            <w:pPr>
              <w:jc w:val="left"/>
            </w:pPr>
            <w:r/>
            <w:r>
              <w:rPr>
                <w:sz w:val="17"/>
              </w:rPr>
              <w:t>Cohort</w:t>
            </w:r>
          </w:p>
        </w:tc>
        <w:tc>
          <w:tcPr>
            <w:tcW w:type="dxa" w:w="1077"/>
          </w:tcPr>
          <w:p>
            <w:pPr>
              <w:jc w:val="center"/>
            </w:pPr>
            <w:r/>
            <w:r>
              <w:rPr>
                <w:sz w:val="17"/>
              </w:rPr>
              <w:t>string</w:t>
            </w:r>
          </w:p>
        </w:tc>
        <w:tc>
          <w:tcPr>
            <w:tcW w:type="dxa" w:w="5499"/>
          </w:tcPr>
          <w:p>
            <w:pPr>
              <w:jc w:val="center"/>
            </w:pPr>
            <w:r/>
            <w:r>
              <w:rPr>
                <w:sz w:val="17"/>
              </w:rPr>
              <w:t>Horizonte de medición: 4 year June, 4 year August</w:t>
            </w:r>
          </w:p>
        </w:tc>
      </w:tr>
      <w:tr>
        <w:tc>
          <w:tcPr>
            <w:tcW w:type="dxa" w:w="2494"/>
          </w:tcPr>
          <w:p>
            <w:pPr>
              <w:jc w:val="left"/>
            </w:pPr>
            <w:r/>
            <w:r>
              <w:rPr>
                <w:sz w:val="17"/>
              </w:rPr>
              <w:t># Total Cohort / # Grads</w:t>
            </w:r>
          </w:p>
        </w:tc>
        <w:tc>
          <w:tcPr>
            <w:tcW w:type="dxa" w:w="1077"/>
          </w:tcPr>
          <w:p>
            <w:pPr>
              <w:jc w:val="center"/>
            </w:pPr>
            <w:r/>
            <w:r>
              <w:rPr>
                <w:sz w:val="17"/>
              </w:rPr>
              <w:t>integer</w:t>
            </w:r>
          </w:p>
        </w:tc>
        <w:tc>
          <w:tcPr>
            <w:tcW w:type="dxa" w:w="5499"/>
          </w:tcPr>
          <w:p>
            <w:pPr>
              <w:jc w:val="center"/>
            </w:pPr>
            <w:r/>
            <w:r>
              <w:rPr>
                <w:sz w:val="17"/>
              </w:rPr>
              <w:t>Estudiantes de la cohorte y graduados</w:t>
            </w:r>
          </w:p>
        </w:tc>
      </w:tr>
      <w:tr>
        <w:tc>
          <w:tcPr>
            <w:tcW w:type="dxa" w:w="2494"/>
          </w:tcPr>
          <w:p>
            <w:pPr>
              <w:jc w:val="left"/>
            </w:pPr>
            <w:r/>
            <w:r>
              <w:rPr>
                <w:sz w:val="17"/>
              </w:rPr>
              <w:t>% Grads</w:t>
            </w:r>
          </w:p>
        </w:tc>
        <w:tc>
          <w:tcPr>
            <w:tcW w:type="dxa" w:w="1077"/>
          </w:tcPr>
          <w:p>
            <w:pPr>
              <w:jc w:val="center"/>
            </w:pPr>
            <w:r/>
            <w:r>
              <w:rPr>
                <w:sz w:val="17"/>
              </w:rPr>
              <w:t>double</w:t>
            </w:r>
          </w:p>
        </w:tc>
        <w:tc>
          <w:tcPr>
            <w:tcW w:type="dxa" w:w="5499"/>
          </w:tcPr>
          <w:p>
            <w:pPr>
              <w:jc w:val="center"/>
            </w:pPr>
            <w:r/>
            <w:r>
              <w:rPr>
                <w:sz w:val="17"/>
              </w:rPr>
              <w:t>Tasa de graduación</w:t>
            </w:r>
          </w:p>
        </w:tc>
      </w:tr>
      <w:tr>
        <w:tc>
          <w:tcPr>
            <w:tcW w:type="dxa" w:w="2494"/>
          </w:tcPr>
          <w:p>
            <w:pPr>
              <w:jc w:val="left"/>
            </w:pPr>
            <w:r/>
            <w:r>
              <w:rPr>
                <w:sz w:val="17"/>
              </w:rPr>
              <w:t>School DBN (Regents y SAT)</w:t>
            </w:r>
          </w:p>
        </w:tc>
        <w:tc>
          <w:tcPr>
            <w:tcW w:type="dxa" w:w="1077"/>
          </w:tcPr>
          <w:p>
            <w:pPr>
              <w:jc w:val="center"/>
            </w:pPr>
            <w:r/>
            <w:r>
              <w:rPr>
                <w:sz w:val="17"/>
              </w:rPr>
              <w:t>string</w:t>
            </w:r>
          </w:p>
        </w:tc>
        <w:tc>
          <w:tcPr>
            <w:tcW w:type="dxa" w:w="5499"/>
          </w:tcPr>
          <w:p>
            <w:pPr>
              <w:jc w:val="center"/>
            </w:pPr>
            <w:r/>
            <w:r>
              <w:rPr>
                <w:sz w:val="17"/>
              </w:rPr>
              <w:t>Código de institución; el tercer carácter da el distrito</w:t>
            </w:r>
          </w:p>
        </w:tc>
      </w:tr>
      <w:tr>
        <w:tc>
          <w:tcPr>
            <w:tcW w:type="dxa" w:w="2494"/>
          </w:tcPr>
          <w:p>
            <w:pPr>
              <w:jc w:val="left"/>
            </w:pPr>
            <w:r/>
            <w:r>
              <w:rPr>
                <w:sz w:val="17"/>
              </w:rPr>
              <w:t>Mean Score (Regents)</w:t>
            </w:r>
          </w:p>
        </w:tc>
        <w:tc>
          <w:tcPr>
            <w:tcW w:type="dxa" w:w="1077"/>
          </w:tcPr>
          <w:p>
            <w:pPr>
              <w:jc w:val="center"/>
            </w:pPr>
            <w:r/>
            <w:r>
              <w:rPr>
                <w:sz w:val="17"/>
              </w:rPr>
              <w:t>double</w:t>
            </w:r>
          </w:p>
        </w:tc>
        <w:tc>
          <w:tcPr>
            <w:tcW w:type="dxa" w:w="5499"/>
          </w:tcPr>
          <w:p>
            <w:pPr>
              <w:jc w:val="center"/>
            </w:pPr>
            <w:r/>
            <w:r>
              <w:rPr>
                <w:sz w:val="17"/>
              </w:rPr>
              <w:t>Puntaje medio del examen; admite el marcador «s»</w:t>
            </w:r>
          </w:p>
        </w:tc>
      </w:tr>
      <w:tr>
        <w:tc>
          <w:tcPr>
            <w:tcW w:type="dxa" w:w="2494"/>
          </w:tcPr>
          <w:p>
            <w:pPr>
              <w:jc w:val="left"/>
            </w:pPr>
            <w:r/>
            <w:r>
              <w:rPr>
                <w:sz w:val="17"/>
              </w:rPr>
              <w:t>Total Tested (Regents)</w:t>
            </w:r>
          </w:p>
        </w:tc>
        <w:tc>
          <w:tcPr>
            <w:tcW w:type="dxa" w:w="1077"/>
          </w:tcPr>
          <w:p>
            <w:pPr>
              <w:jc w:val="center"/>
            </w:pPr>
            <w:r/>
            <w:r>
              <w:rPr>
                <w:sz w:val="17"/>
              </w:rPr>
              <w:t>integer</w:t>
            </w:r>
          </w:p>
        </w:tc>
        <w:tc>
          <w:tcPr>
            <w:tcW w:type="dxa" w:w="5499"/>
          </w:tcPr>
          <w:p>
            <w:pPr>
              <w:jc w:val="center"/>
            </w:pPr>
            <w:r/>
            <w:r>
              <w:rPr>
                <w:sz w:val="17"/>
              </w:rPr>
              <w:t>Número de estudiantes evaluados</w:t>
            </w:r>
          </w:p>
        </w:tc>
      </w:tr>
      <w:tr>
        <w:tc>
          <w:tcPr>
            <w:tcW w:type="dxa" w:w="2494"/>
          </w:tcPr>
          <w:p>
            <w:pPr>
              <w:jc w:val="left"/>
            </w:pPr>
            <w:r/>
            <w:r>
              <w:rPr>
                <w:sz w:val="17"/>
              </w:rPr>
              <w:t>sat_lectura / matematicas / escritura</w:t>
            </w:r>
          </w:p>
        </w:tc>
        <w:tc>
          <w:tcPr>
            <w:tcW w:type="dxa" w:w="1077"/>
          </w:tcPr>
          <w:p>
            <w:pPr>
              <w:jc w:val="center"/>
            </w:pPr>
            <w:r/>
            <w:r>
              <w:rPr>
                <w:sz w:val="17"/>
              </w:rPr>
              <w:t>string</w:t>
            </w:r>
          </w:p>
        </w:tc>
        <w:tc>
          <w:tcPr>
            <w:tcW w:type="dxa" w:w="5499"/>
          </w:tcPr>
          <w:p>
            <w:pPr>
              <w:jc w:val="center"/>
            </w:pPr>
            <w:r/>
            <w:r>
              <w:rPr>
                <w:sz w:val="17"/>
              </w:rPr>
              <w:t>Puntaje promedio por área; admite «s»</w:t>
            </w:r>
          </w:p>
        </w:tc>
      </w:tr>
    </w:tbl>
    <w:p>
      <w:pPr>
        <w:spacing w:after="0" w:before="0"/>
      </w:pPr>
      <w:r>
        <w:rPr>
          <w:sz w:val="8"/>
        </w:rPr>
      </w:r>
    </w:p>
    <w:p>
      <w:pPr>
        <w:pStyle w:val="Heading1"/>
        <w:keepNext/>
        <w:spacing w:before="360"/>
      </w:pPr>
      <w:r>
        <w:t>4. Exploración de los datos</w:t>
      </w:r>
    </w:p>
    <w:p>
      <w:r>
        <w:rPr>
          <w:b w:val="0"/>
          <w:i w:val="0"/>
          <w:sz w:val="22"/>
        </w:rPr>
        <w:t>Se presentan catorce elementos de análisis obtenidos mediante el procesamiento distribuido de los conjuntos seleccionados. Los elementos de serie temporal emplean la cobertura completa de los datos; los de corte transversal se refieren todos al año 2023, conforme a la decisión de alineación expuesta en el apartado 2.4. El código que los genera constituye el anexo del presente documento.</w:t>
      </w:r>
    </w:p>
    <w:p>
      <w:pPr>
        <w:pStyle w:val="Heading2"/>
        <w:keepNext/>
        <w:spacing w:before="240"/>
      </w:pPr>
      <w:r>
        <w:t>Elemento 1. Evolución anual de los arrestos</w:t>
      </w:r>
    </w:p>
    <w:p>
      <w:pPr>
        <w:keepNext/>
        <w:spacing w:before="80" w:after="40"/>
        <w:jc w:val="center"/>
      </w:pPr>
      <w:r>
        <w:drawing>
          <wp:inline xmlns:a="http://schemas.openxmlformats.org/drawingml/2006/main" xmlns:pic="http://schemas.openxmlformats.org/drawingml/2006/picture">
            <wp:extent cx="4140000" cy="1840000"/>
            <wp:docPr id="1" name="Picture 1"/>
            <wp:cNvGraphicFramePr>
              <a:graphicFrameLocks noChangeAspect="1"/>
            </wp:cNvGraphicFramePr>
            <a:graphic>
              <a:graphicData uri="http://schemas.openxmlformats.org/drawingml/2006/picture">
                <pic:pic>
                  <pic:nvPicPr>
                    <pic:cNvPr id="0" name="01_serie_arrestos.png"/>
                    <pic:cNvPicPr/>
                  </pic:nvPicPr>
                  <pic:blipFill>
                    <a:blip r:embed="rId20"/>
                    <a:stretch>
                      <a:fillRect/>
                    </a:stretch>
                  </pic:blipFill>
                  <pic:spPr>
                    <a:xfrm>
                      <a:off x="0" y="0"/>
                      <a:ext cx="4140000" cy="1840000"/>
                    </a:xfrm>
                    <a:prstGeom prst="rect"/>
                  </pic:spPr>
                </pic:pic>
              </a:graphicData>
            </a:graphic>
          </wp:inline>
        </w:drawing>
      </w:r>
    </w:p>
    <w:p>
      <w:pPr>
        <w:spacing w:after="160"/>
        <w:jc w:val="center"/>
      </w:pPr>
      <w:r>
        <w:rPr>
          <w:i/>
          <w:color w:val="404040"/>
          <w:sz w:val="17"/>
        </w:rPr>
        <w:t>Figura 1. Arrestos registrados por el NYPD entre 2006 y 2026. El valor de 2026 corresponde únicamente al primer semestre.</w:t>
      </w:r>
    </w:p>
    <w:p>
      <w:r>
        <w:rPr>
          <w:b w:val="0"/>
          <w:i w:val="0"/>
          <w:sz w:val="22"/>
        </w:rPr>
        <w:t>La serie describe tres fases bien diferenciadas: un periodo alto entre 2006 y 2012 que alcanza su máximo en 2010 con 422.322 arrestos; un descenso sostenido que se acelera hasta el mínimo de 140.413 en 2020; y una recuperación parcial que alcanza 278.953 arrestos en 2025, equivalente al 66% del máximo histórico.</w:t>
      </w:r>
    </w:p>
    <w:p>
      <w:pPr>
        <w:pStyle w:val="Heading2"/>
        <w:keepNext/>
        <w:spacing w:before="240"/>
      </w:pPr>
      <w:r>
        <w:t>Elemento 2. Arrestos por distrito: volumen absoluto frente a tasa poblacional</w:t>
      </w:r>
    </w:p>
    <w:p>
      <w:pPr>
        <w:keepNext/>
        <w:spacing w:before="80" w:after="40"/>
        <w:jc w:val="center"/>
      </w:pPr>
      <w:r>
        <w:drawing>
          <wp:inline xmlns:a="http://schemas.openxmlformats.org/drawingml/2006/main" xmlns:pic="http://schemas.openxmlformats.org/drawingml/2006/picture">
            <wp:extent cx="4140000" cy="1436824"/>
            <wp:docPr id="2" name="Picture 2"/>
            <wp:cNvGraphicFramePr>
              <a:graphicFrameLocks noChangeAspect="1"/>
            </wp:cNvGraphicFramePr>
            <a:graphic>
              <a:graphicData uri="http://schemas.openxmlformats.org/drawingml/2006/picture">
                <pic:pic>
                  <pic:nvPicPr>
                    <pic:cNvPr id="0" name="02_arrestos_distrito.png"/>
                    <pic:cNvPicPr/>
                  </pic:nvPicPr>
                  <pic:blipFill>
                    <a:blip r:embed="rId21"/>
                    <a:stretch>
                      <a:fillRect/>
                    </a:stretch>
                  </pic:blipFill>
                  <pic:spPr>
                    <a:xfrm>
                      <a:off x="0" y="0"/>
                      <a:ext cx="4140000" cy="1436824"/>
                    </a:xfrm>
                    <a:prstGeom prst="rect"/>
                  </pic:spPr>
                </pic:pic>
              </a:graphicData>
            </a:graphic>
          </wp:inline>
        </w:drawing>
      </w:r>
    </w:p>
    <w:p>
      <w:pPr>
        <w:spacing w:after="160"/>
        <w:jc w:val="center"/>
      </w:pPr>
      <w:r>
        <w:rPr>
          <w:i/>
          <w:color w:val="404040"/>
          <w:sz w:val="17"/>
        </w:rPr>
        <w:t>Figura 2. Arrestos por distrito en 2023, en valores absolutos y normalizados por cada cien mil habitantes.</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268"/>
            <w:shd w:fill="DCE6F1"/>
          </w:tcPr>
          <w:p>
            <w:pPr>
              <w:jc w:val="center"/>
            </w:pPr>
            <w:r/>
            <w:r>
              <w:rPr>
                <w:b/>
                <w:sz w:val="17"/>
              </w:rPr>
              <w:t>Distrito</w:t>
            </w:r>
          </w:p>
        </w:tc>
        <w:tc>
          <w:tcPr>
            <w:tcW w:type="dxa" w:w="2041"/>
            <w:shd w:fill="DCE6F1"/>
          </w:tcPr>
          <w:p>
            <w:pPr>
              <w:jc w:val="center"/>
            </w:pPr>
            <w:r/>
            <w:r>
              <w:rPr>
                <w:b/>
                <w:sz w:val="17"/>
              </w:rPr>
              <w:t>Arrestos 2023</w:t>
            </w:r>
          </w:p>
        </w:tc>
        <w:tc>
          <w:tcPr>
            <w:tcW w:type="dxa" w:w="2381"/>
            <w:shd w:fill="DCE6F1"/>
          </w:tcPr>
          <w:p>
            <w:pPr>
              <w:jc w:val="center"/>
            </w:pPr>
            <w:r/>
            <w:r>
              <w:rPr>
                <w:b/>
                <w:sz w:val="17"/>
              </w:rPr>
              <w:t>Población 2023</w:t>
            </w:r>
          </w:p>
        </w:tc>
        <w:tc>
          <w:tcPr>
            <w:tcW w:type="dxa" w:w="2381"/>
            <w:shd w:fill="DCE6F1"/>
          </w:tcPr>
          <w:p>
            <w:pPr>
              <w:jc w:val="center"/>
            </w:pPr>
            <w:r/>
            <w:r>
              <w:rPr>
                <w:b/>
                <w:sz w:val="17"/>
              </w:rPr>
              <w:t>Arrestos por 100.000 hab.</w:t>
            </w:r>
          </w:p>
        </w:tc>
      </w:tr>
      <w:tr>
        <w:tc>
          <w:tcPr>
            <w:tcW w:type="dxa" w:w="2268"/>
          </w:tcPr>
          <w:p>
            <w:pPr>
              <w:jc w:val="left"/>
            </w:pPr>
            <w:r/>
            <w:r>
              <w:rPr>
                <w:sz w:val="17"/>
              </w:rPr>
              <w:t>Brooklyn</w:t>
            </w:r>
          </w:p>
        </w:tc>
        <w:tc>
          <w:tcPr>
            <w:tcW w:type="dxa" w:w="2041"/>
          </w:tcPr>
          <w:p>
            <w:pPr>
              <w:jc w:val="center"/>
            </w:pPr>
            <w:r/>
            <w:r>
              <w:rPr>
                <w:sz w:val="17"/>
              </w:rPr>
              <w:t>62.395</w:t>
            </w:r>
          </w:p>
        </w:tc>
        <w:tc>
          <w:tcPr>
            <w:tcW w:type="dxa" w:w="2381"/>
          </w:tcPr>
          <w:p>
            <w:pPr>
              <w:jc w:val="center"/>
            </w:pPr>
            <w:r/>
            <w:r>
              <w:rPr>
                <w:sz w:val="17"/>
              </w:rPr>
              <w:t>2.560.271</w:t>
            </w:r>
          </w:p>
        </w:tc>
        <w:tc>
          <w:tcPr>
            <w:tcW w:type="dxa" w:w="2381"/>
          </w:tcPr>
          <w:p>
            <w:pPr>
              <w:jc w:val="center"/>
            </w:pPr>
            <w:r/>
            <w:r>
              <w:rPr>
                <w:sz w:val="17"/>
              </w:rPr>
              <w:t>2.437</w:t>
            </w:r>
          </w:p>
        </w:tc>
      </w:tr>
      <w:tr>
        <w:tc>
          <w:tcPr>
            <w:tcW w:type="dxa" w:w="2268"/>
          </w:tcPr>
          <w:p>
            <w:pPr>
              <w:jc w:val="left"/>
            </w:pPr>
            <w:r/>
            <w:r>
              <w:rPr>
                <w:sz w:val="17"/>
              </w:rPr>
              <w:t>Bronx</w:t>
            </w:r>
          </w:p>
        </w:tc>
        <w:tc>
          <w:tcPr>
            <w:tcW w:type="dxa" w:w="2041"/>
          </w:tcPr>
          <w:p>
            <w:pPr>
              <w:jc w:val="center"/>
            </w:pPr>
            <w:r/>
            <w:r>
              <w:rPr>
                <w:sz w:val="17"/>
              </w:rPr>
              <w:t>53.258</w:t>
            </w:r>
          </w:p>
        </w:tc>
        <w:tc>
          <w:tcPr>
            <w:tcW w:type="dxa" w:w="2381"/>
          </w:tcPr>
          <w:p>
            <w:pPr>
              <w:jc w:val="center"/>
            </w:pPr>
            <w:r/>
            <w:r>
              <w:rPr>
                <w:sz w:val="17"/>
              </w:rPr>
              <w:t>1.356.908</w:t>
            </w:r>
          </w:p>
        </w:tc>
        <w:tc>
          <w:tcPr>
            <w:tcW w:type="dxa" w:w="2381"/>
          </w:tcPr>
          <w:p>
            <w:pPr>
              <w:jc w:val="center"/>
            </w:pPr>
            <w:r/>
            <w:r>
              <w:rPr>
                <w:sz w:val="17"/>
              </w:rPr>
              <w:t>3.925</w:t>
            </w:r>
          </w:p>
        </w:tc>
      </w:tr>
      <w:tr>
        <w:tc>
          <w:tcPr>
            <w:tcW w:type="dxa" w:w="2268"/>
          </w:tcPr>
          <w:p>
            <w:pPr>
              <w:jc w:val="left"/>
            </w:pPr>
            <w:r/>
            <w:r>
              <w:rPr>
                <w:sz w:val="17"/>
              </w:rPr>
              <w:t>Manhattan</w:t>
            </w:r>
          </w:p>
        </w:tc>
        <w:tc>
          <w:tcPr>
            <w:tcW w:type="dxa" w:w="2041"/>
          </w:tcPr>
          <w:p>
            <w:pPr>
              <w:jc w:val="center"/>
            </w:pPr>
            <w:r/>
            <w:r>
              <w:rPr>
                <w:sz w:val="17"/>
              </w:rPr>
              <w:t>52.891</w:t>
            </w:r>
          </w:p>
        </w:tc>
        <w:tc>
          <w:tcPr>
            <w:tcW w:type="dxa" w:w="2381"/>
          </w:tcPr>
          <w:p>
            <w:pPr>
              <w:jc w:val="center"/>
            </w:pPr>
            <w:r/>
            <w:r>
              <w:rPr>
                <w:sz w:val="17"/>
              </w:rPr>
              <w:t>1.597.842</w:t>
            </w:r>
          </w:p>
        </w:tc>
        <w:tc>
          <w:tcPr>
            <w:tcW w:type="dxa" w:w="2381"/>
          </w:tcPr>
          <w:p>
            <w:pPr>
              <w:jc w:val="center"/>
            </w:pPr>
            <w:r/>
            <w:r>
              <w:rPr>
                <w:sz w:val="17"/>
              </w:rPr>
              <w:t>3.310</w:t>
            </w:r>
          </w:p>
        </w:tc>
      </w:tr>
      <w:tr>
        <w:tc>
          <w:tcPr>
            <w:tcW w:type="dxa" w:w="2268"/>
          </w:tcPr>
          <w:p>
            <w:pPr>
              <w:jc w:val="left"/>
            </w:pPr>
            <w:r/>
            <w:r>
              <w:rPr>
                <w:sz w:val="17"/>
              </w:rPr>
              <w:t>Queens</w:t>
            </w:r>
          </w:p>
        </w:tc>
        <w:tc>
          <w:tcPr>
            <w:tcW w:type="dxa" w:w="2041"/>
          </w:tcPr>
          <w:p>
            <w:pPr>
              <w:jc w:val="center"/>
            </w:pPr>
            <w:r/>
            <w:r>
              <w:rPr>
                <w:sz w:val="17"/>
              </w:rPr>
              <w:t>48.310</w:t>
            </w:r>
          </w:p>
        </w:tc>
        <w:tc>
          <w:tcPr>
            <w:tcW w:type="dxa" w:w="2381"/>
          </w:tcPr>
          <w:p>
            <w:pPr>
              <w:jc w:val="center"/>
            </w:pPr>
            <w:r/>
            <w:r>
              <w:rPr>
                <w:sz w:val="17"/>
              </w:rPr>
              <w:t>2.252.037</w:t>
            </w:r>
          </w:p>
        </w:tc>
        <w:tc>
          <w:tcPr>
            <w:tcW w:type="dxa" w:w="2381"/>
          </w:tcPr>
          <w:p>
            <w:pPr>
              <w:jc w:val="center"/>
            </w:pPr>
            <w:r/>
            <w:r>
              <w:rPr>
                <w:sz w:val="17"/>
              </w:rPr>
              <w:t>2.145</w:t>
            </w:r>
          </w:p>
        </w:tc>
      </w:tr>
      <w:tr>
        <w:tc>
          <w:tcPr>
            <w:tcW w:type="dxa" w:w="2268"/>
          </w:tcPr>
          <w:p>
            <w:pPr>
              <w:jc w:val="left"/>
            </w:pPr>
            <w:r/>
            <w:r>
              <w:rPr>
                <w:sz w:val="17"/>
              </w:rPr>
              <w:t>Staten Island</w:t>
            </w:r>
          </w:p>
        </w:tc>
        <w:tc>
          <w:tcPr>
            <w:tcW w:type="dxa" w:w="2041"/>
          </w:tcPr>
          <w:p>
            <w:pPr>
              <w:jc w:val="center"/>
            </w:pPr>
            <w:r/>
            <w:r>
              <w:rPr>
                <w:sz w:val="17"/>
              </w:rPr>
              <w:t>10.018</w:t>
            </w:r>
          </w:p>
        </w:tc>
        <w:tc>
          <w:tcPr>
            <w:tcW w:type="dxa" w:w="2381"/>
          </w:tcPr>
          <w:p>
            <w:pPr>
              <w:jc w:val="center"/>
            </w:pPr>
            <w:r/>
            <w:r>
              <w:rPr>
                <w:sz w:val="17"/>
              </w:rPr>
              <w:t>490.802</w:t>
            </w:r>
          </w:p>
        </w:tc>
        <w:tc>
          <w:tcPr>
            <w:tcW w:type="dxa" w:w="2381"/>
          </w:tcPr>
          <w:p>
            <w:pPr>
              <w:jc w:val="center"/>
            </w:pPr>
            <w:r/>
            <w:r>
              <w:rPr>
                <w:sz w:val="17"/>
              </w:rPr>
              <w:t>2.041</w:t>
            </w:r>
          </w:p>
        </w:tc>
      </w:tr>
    </w:tbl>
    <w:p>
      <w:pPr>
        <w:spacing w:after="0" w:before="0"/>
      </w:pPr>
      <w:r>
        <w:rPr>
          <w:sz w:val="8"/>
        </w:rPr>
      </w:r>
    </w:p>
    <w:p>
      <w:r>
        <w:rPr>
          <w:b w:val="0"/>
          <w:i w:val="0"/>
          <w:sz w:val="22"/>
        </w:rPr>
        <w:t>Este elemento sustenta una de las conclusiones centrales del diagnóstico. Brooklyn encabeza el volumen absoluto de arrestos, pero desciende al tercer lugar al considerar el tamaño de su población. El Bronx, segundo en términos absolutos, presenta la mayor incidencia real de la ciudad con 3.925 arrestos por cada cien mil habitantes, un 61% por encima de Brooklyn. Una priorización basada en cifras absolutas conduciría, por tanto, a asignar recursos al territorio equivocado.</w:t>
      </w:r>
    </w:p>
    <w:p>
      <w:pPr>
        <w:pStyle w:val="Heading2"/>
        <w:keepNext/>
        <w:spacing w:before="240"/>
      </w:pPr>
      <w:r>
        <w:t>Elemento 3. Composición por gravedad y tipo de delito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3969"/>
            <w:shd w:fill="DCE6F1"/>
          </w:tcPr>
          <w:p>
            <w:pPr>
              <w:jc w:val="center"/>
            </w:pPr>
            <w:r/>
            <w:r>
              <w:rPr>
                <w:b/>
                <w:sz w:val="17"/>
              </w:rPr>
              <w:t>Categoría</w:t>
            </w:r>
          </w:p>
        </w:tc>
        <w:tc>
          <w:tcPr>
            <w:tcW w:type="dxa" w:w="2551"/>
            <w:shd w:fill="DCE6F1"/>
          </w:tcPr>
          <w:p>
            <w:pPr>
              <w:jc w:val="center"/>
            </w:pPr>
            <w:r/>
            <w:r>
              <w:rPr>
                <w:b/>
                <w:sz w:val="17"/>
              </w:rPr>
              <w:t>Arrestos</w:t>
            </w:r>
          </w:p>
        </w:tc>
        <w:tc>
          <w:tcPr>
            <w:tcW w:type="dxa" w:w="2551"/>
            <w:shd w:fill="DCE6F1"/>
          </w:tcPr>
          <w:p>
            <w:pPr>
              <w:jc w:val="center"/>
            </w:pPr>
            <w:r/>
            <w:r>
              <w:rPr>
                <w:b/>
                <w:sz w:val="17"/>
              </w:rPr>
              <w:t>% del total</w:t>
            </w:r>
          </w:p>
        </w:tc>
      </w:tr>
      <w:tr>
        <w:tc>
          <w:tcPr>
            <w:tcW w:type="dxa" w:w="3969"/>
          </w:tcPr>
          <w:p>
            <w:pPr>
              <w:jc w:val="left"/>
            </w:pPr>
            <w:r/>
            <w:r>
              <w:rPr>
                <w:sz w:val="17"/>
              </w:rPr>
              <w:t>Delito menor (misdemeanor)</w:t>
            </w:r>
          </w:p>
        </w:tc>
        <w:tc>
          <w:tcPr>
            <w:tcW w:type="dxa" w:w="2551"/>
          </w:tcPr>
          <w:p>
            <w:pPr>
              <w:jc w:val="center"/>
            </w:pPr>
            <w:r/>
            <w:r>
              <w:rPr>
                <w:sz w:val="17"/>
              </w:rPr>
              <w:t>4.110.313</w:t>
            </w:r>
          </w:p>
        </w:tc>
        <w:tc>
          <w:tcPr>
            <w:tcW w:type="dxa" w:w="2551"/>
          </w:tcPr>
          <w:p>
            <w:pPr>
              <w:jc w:val="center"/>
            </w:pPr>
            <w:r/>
            <w:r>
              <w:rPr>
                <w:sz w:val="17"/>
              </w:rPr>
              <w:t>64,15%</w:t>
            </w:r>
          </w:p>
        </w:tc>
      </w:tr>
      <w:tr>
        <w:tc>
          <w:tcPr>
            <w:tcW w:type="dxa" w:w="3969"/>
          </w:tcPr>
          <w:p>
            <w:pPr>
              <w:jc w:val="left"/>
            </w:pPr>
            <w:r/>
            <w:r>
              <w:rPr>
                <w:sz w:val="17"/>
              </w:rPr>
              <w:t>Delito grave (felony)</w:t>
            </w:r>
          </w:p>
        </w:tc>
        <w:tc>
          <w:tcPr>
            <w:tcW w:type="dxa" w:w="2551"/>
          </w:tcPr>
          <w:p>
            <w:pPr>
              <w:jc w:val="center"/>
            </w:pPr>
            <w:r/>
            <w:r>
              <w:rPr>
                <w:sz w:val="17"/>
              </w:rPr>
              <w:t>1.934.904</w:t>
            </w:r>
          </w:p>
        </w:tc>
        <w:tc>
          <w:tcPr>
            <w:tcW w:type="dxa" w:w="2551"/>
          </w:tcPr>
          <w:p>
            <w:pPr>
              <w:jc w:val="center"/>
            </w:pPr>
            <w:r/>
            <w:r>
              <w:rPr>
                <w:sz w:val="17"/>
              </w:rPr>
              <w:t>30,20%</w:t>
            </w:r>
          </w:p>
        </w:tc>
      </w:tr>
      <w:tr>
        <w:tc>
          <w:tcPr>
            <w:tcW w:type="dxa" w:w="3969"/>
          </w:tcPr>
          <w:p>
            <w:pPr>
              <w:jc w:val="left"/>
            </w:pPr>
            <w:r/>
            <w:r>
              <w:rPr>
                <w:sz w:val="17"/>
              </w:rPr>
              <w:t>Contravención (violation)</w:t>
            </w:r>
          </w:p>
        </w:tc>
        <w:tc>
          <w:tcPr>
            <w:tcW w:type="dxa" w:w="2551"/>
          </w:tcPr>
          <w:p>
            <w:pPr>
              <w:jc w:val="center"/>
            </w:pPr>
            <w:r/>
            <w:r>
              <w:rPr>
                <w:sz w:val="17"/>
              </w:rPr>
              <w:t>303.682</w:t>
            </w:r>
          </w:p>
        </w:tc>
        <w:tc>
          <w:tcPr>
            <w:tcW w:type="dxa" w:w="2551"/>
          </w:tcPr>
          <w:p>
            <w:pPr>
              <w:jc w:val="center"/>
            </w:pPr>
            <w:r/>
            <w:r>
              <w:rPr>
                <w:sz w:val="17"/>
              </w:rPr>
              <w:t>4,74%</w:t>
            </w:r>
          </w:p>
        </w:tc>
      </w:tr>
      <w:tr>
        <w:tc>
          <w:tcPr>
            <w:tcW w:type="dxa" w:w="3969"/>
          </w:tcPr>
          <w:p>
            <w:pPr>
              <w:jc w:val="left"/>
            </w:pPr>
            <w:r/>
            <w:r>
              <w:rPr>
                <w:sz w:val="17"/>
              </w:rPr>
              <w:t>Sin clasificar</w:t>
            </w:r>
          </w:p>
        </w:tc>
        <w:tc>
          <w:tcPr>
            <w:tcW w:type="dxa" w:w="2551"/>
          </w:tcPr>
          <w:p>
            <w:pPr>
              <w:jc w:val="center"/>
            </w:pPr>
            <w:r/>
            <w:r>
              <w:rPr>
                <w:sz w:val="17"/>
              </w:rPr>
              <w:t>30.444</w:t>
            </w:r>
          </w:p>
        </w:tc>
        <w:tc>
          <w:tcPr>
            <w:tcW w:type="dxa" w:w="2551"/>
          </w:tcPr>
          <w:p>
            <w:pPr>
              <w:jc w:val="center"/>
            </w:pPr>
            <w:r/>
            <w:r>
              <w:rPr>
                <w:sz w:val="17"/>
              </w:rPr>
              <w:t>0,48%</w:t>
            </w:r>
          </w:p>
        </w:tc>
      </w:tr>
      <w:tr>
        <w:tc>
          <w:tcPr>
            <w:tcW w:type="dxa" w:w="3969"/>
          </w:tcPr>
          <w:p>
            <w:pPr>
              <w:jc w:val="left"/>
            </w:pPr>
            <w:r/>
            <w:r>
              <w:rPr>
                <w:sz w:val="17"/>
              </w:rPr>
              <w:t>Infracción</w:t>
            </w:r>
          </w:p>
        </w:tc>
        <w:tc>
          <w:tcPr>
            <w:tcW w:type="dxa" w:w="2551"/>
          </w:tcPr>
          <w:p>
            <w:pPr>
              <w:jc w:val="center"/>
            </w:pPr>
            <w:r/>
            <w:r>
              <w:rPr>
                <w:sz w:val="17"/>
              </w:rPr>
              <w:t>27.505</w:t>
            </w:r>
          </w:p>
        </w:tc>
        <w:tc>
          <w:tcPr>
            <w:tcW w:type="dxa" w:w="2551"/>
          </w:tcPr>
          <w:p>
            <w:pPr>
              <w:jc w:val="center"/>
            </w:pPr>
            <w:r/>
            <w:r>
              <w:rPr>
                <w:sz w:val="17"/>
              </w:rPr>
              <w:t>0,43%</w:t>
            </w:r>
          </w:p>
        </w:tc>
      </w:tr>
    </w:tbl>
    <w:p>
      <w:pPr>
        <w:spacing w:after="0" w:before="0"/>
      </w:pPr>
      <w:r>
        <w:rPr>
          <w:sz w:val="8"/>
        </w:rPr>
      </w:r>
    </w:p>
    <w:p>
      <w:pPr>
        <w:keepNext/>
        <w:spacing w:before="80" w:after="40"/>
        <w:jc w:val="center"/>
      </w:pPr>
      <w:r>
        <w:drawing>
          <wp:inline xmlns:a="http://schemas.openxmlformats.org/drawingml/2006/main" xmlns:pic="http://schemas.openxmlformats.org/drawingml/2006/picture">
            <wp:extent cx="4140000" cy="2258182"/>
            <wp:docPr id="3" name="Picture 3"/>
            <wp:cNvGraphicFramePr>
              <a:graphicFrameLocks noChangeAspect="1"/>
            </wp:cNvGraphicFramePr>
            <a:graphic>
              <a:graphicData uri="http://schemas.openxmlformats.org/drawingml/2006/picture">
                <pic:pic>
                  <pic:nvPicPr>
                    <pic:cNvPr id="0" name="03_top_delitos.png"/>
                    <pic:cNvPicPr/>
                  </pic:nvPicPr>
                  <pic:blipFill>
                    <a:blip r:embed="rId22"/>
                    <a:stretch>
                      <a:fillRect/>
                    </a:stretch>
                  </pic:blipFill>
                  <pic:spPr>
                    <a:xfrm>
                      <a:off x="0" y="0"/>
                      <a:ext cx="4140000" cy="2258182"/>
                    </a:xfrm>
                    <a:prstGeom prst="rect"/>
                  </pic:spPr>
                </pic:pic>
              </a:graphicData>
            </a:graphic>
          </wp:inline>
        </w:drawing>
      </w:r>
    </w:p>
    <w:p>
      <w:pPr>
        <w:spacing w:after="160"/>
        <w:jc w:val="center"/>
      </w:pPr>
      <w:r>
        <w:rPr>
          <w:i/>
          <w:color w:val="404040"/>
          <w:sz w:val="17"/>
        </w:rPr>
        <w:t>Figura 3. Quince categorías delictivas más frecuentes en el periodo 2006–2026.</w:t>
      </w:r>
    </w:p>
    <w:p>
      <w:r>
        <w:rPr>
          <w:b w:val="0"/>
          <w:i w:val="0"/>
          <w:sz w:val="22"/>
        </w:rPr>
        <w:t>Casi dos tercios de los arrestos corresponden a delitos menores. La categoría más frecuente, con 1.177.541 arrestos, es la relacionada con estupefacientes, que por sí sola representa el 18,4% de la serie completa y casi duplica a la segunda. Se trata de un dato de alto valor para el diseño del plan de acción, por cuanto sugiere que una fracción sustancial del indicador responde a una tipología delictiva específica, susceptible de abordarse mediante políticas distintas de las policiales.</w:t>
      </w:r>
    </w:p>
    <w:p>
      <w:pPr>
        <w:pStyle w:val="Heading2"/>
        <w:keepNext/>
        <w:spacing w:before="240"/>
      </w:pPr>
      <w:r>
        <w:t>Elemento 4. Perfil demográfico de las personas arrestadas</w:t>
      </w:r>
    </w:p>
    <w:p>
      <w:pPr>
        <w:keepNext/>
        <w:spacing w:before="80" w:after="40"/>
        <w:jc w:val="center"/>
      </w:pPr>
      <w:r>
        <w:drawing>
          <wp:inline xmlns:a="http://schemas.openxmlformats.org/drawingml/2006/main" xmlns:pic="http://schemas.openxmlformats.org/drawingml/2006/picture">
            <wp:extent cx="4140000" cy="1840000"/>
            <wp:docPr id="4" name="Picture 4"/>
            <wp:cNvGraphicFramePr>
              <a:graphicFrameLocks noChangeAspect="1"/>
            </wp:cNvGraphicFramePr>
            <a:graphic>
              <a:graphicData uri="http://schemas.openxmlformats.org/drawingml/2006/picture">
                <pic:pic>
                  <pic:nvPicPr>
                    <pic:cNvPr id="0" name="04_demografia.png"/>
                    <pic:cNvPicPr/>
                  </pic:nvPicPr>
                  <pic:blipFill>
                    <a:blip r:embed="rId23"/>
                    <a:stretch>
                      <a:fillRect/>
                    </a:stretch>
                  </pic:blipFill>
                  <pic:spPr>
                    <a:xfrm>
                      <a:off x="0" y="0"/>
                      <a:ext cx="4140000" cy="1840000"/>
                    </a:xfrm>
                    <a:prstGeom prst="rect"/>
                  </pic:spPr>
                </pic:pic>
              </a:graphicData>
            </a:graphic>
          </wp:inline>
        </w:drawing>
      </w:r>
    </w:p>
    <w:p>
      <w:pPr>
        <w:spacing w:after="160"/>
        <w:jc w:val="center"/>
      </w:pPr>
      <w:r>
        <w:rPr>
          <w:i/>
          <w:color w:val="404040"/>
          <w:sz w:val="17"/>
        </w:rPr>
        <w:t>Figura 4. Distribución de los arrestos por grupo etario y sexo.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28"/>
            <w:shd w:fill="DCE6F1"/>
          </w:tcPr>
          <w:p>
            <w:pPr>
              <w:jc w:val="center"/>
            </w:pPr>
            <w:r/>
            <w:r>
              <w:rPr>
                <w:b/>
                <w:sz w:val="17"/>
              </w:rPr>
              <w:t>Grupo etario</w:t>
            </w:r>
          </w:p>
        </w:tc>
        <w:tc>
          <w:tcPr>
            <w:tcW w:type="dxa" w:w="1814"/>
            <w:shd w:fill="DCE6F1"/>
          </w:tcPr>
          <w:p>
            <w:pPr>
              <w:jc w:val="center"/>
            </w:pPr>
            <w:r/>
            <w:r>
              <w:rPr>
                <w:b/>
                <w:sz w:val="17"/>
              </w:rPr>
              <w:t>Masculino</w:t>
            </w:r>
          </w:p>
        </w:tc>
        <w:tc>
          <w:tcPr>
            <w:tcW w:type="dxa" w:w="1814"/>
            <w:shd w:fill="DCE6F1"/>
          </w:tcPr>
          <w:p>
            <w:pPr>
              <w:jc w:val="center"/>
            </w:pPr>
            <w:r/>
            <w:r>
              <w:rPr>
                <w:b/>
                <w:sz w:val="17"/>
              </w:rPr>
              <w:t>Femenino</w:t>
            </w:r>
          </w:p>
        </w:tc>
        <w:tc>
          <w:tcPr>
            <w:tcW w:type="dxa" w:w="1814"/>
            <w:shd w:fill="DCE6F1"/>
          </w:tcPr>
          <w:p>
            <w:pPr>
              <w:jc w:val="center"/>
            </w:pPr>
            <w:r/>
            <w:r>
              <w:rPr>
                <w:b/>
                <w:sz w:val="17"/>
              </w:rPr>
              <w:t>Total</w:t>
            </w:r>
          </w:p>
        </w:tc>
        <w:tc>
          <w:tcPr>
            <w:tcW w:type="dxa" w:w="1701"/>
            <w:shd w:fill="DCE6F1"/>
          </w:tcPr>
          <w:p>
            <w:pPr>
              <w:jc w:val="center"/>
            </w:pPr>
            <w:r/>
            <w:r>
              <w:rPr>
                <w:b/>
                <w:sz w:val="17"/>
              </w:rPr>
              <w:t>% femenino</w:t>
            </w:r>
          </w:p>
        </w:tc>
      </w:tr>
      <w:tr>
        <w:tc>
          <w:tcPr>
            <w:tcW w:type="dxa" w:w="1928"/>
          </w:tcPr>
          <w:p>
            <w:pPr>
              <w:jc w:val="left"/>
            </w:pPr>
            <w:r/>
            <w:r>
              <w:rPr>
                <w:sz w:val="17"/>
              </w:rPr>
              <w:t>Menor de 18</w:t>
            </w:r>
          </w:p>
        </w:tc>
        <w:tc>
          <w:tcPr>
            <w:tcW w:type="dxa" w:w="1814"/>
          </w:tcPr>
          <w:p>
            <w:pPr>
              <w:jc w:val="center"/>
            </w:pPr>
            <w:r/>
            <w:r>
              <w:rPr>
                <w:sz w:val="17"/>
              </w:rPr>
              <w:t>367.438</w:t>
            </w:r>
          </w:p>
        </w:tc>
        <w:tc>
          <w:tcPr>
            <w:tcW w:type="dxa" w:w="1814"/>
          </w:tcPr>
          <w:p>
            <w:pPr>
              <w:jc w:val="center"/>
            </w:pPr>
            <w:r/>
            <w:r>
              <w:rPr>
                <w:sz w:val="17"/>
              </w:rPr>
              <w:t>90.515</w:t>
            </w:r>
          </w:p>
        </w:tc>
        <w:tc>
          <w:tcPr>
            <w:tcW w:type="dxa" w:w="1814"/>
          </w:tcPr>
          <w:p>
            <w:pPr>
              <w:jc w:val="center"/>
            </w:pPr>
            <w:r/>
            <w:r>
              <w:rPr>
                <w:sz w:val="17"/>
              </w:rPr>
              <w:t>457.953</w:t>
            </w:r>
          </w:p>
        </w:tc>
        <w:tc>
          <w:tcPr>
            <w:tcW w:type="dxa" w:w="1701"/>
          </w:tcPr>
          <w:p>
            <w:pPr>
              <w:jc w:val="center"/>
            </w:pPr>
            <w:r/>
            <w:r>
              <w:rPr>
                <w:sz w:val="17"/>
              </w:rPr>
              <w:t>19,77%</w:t>
            </w:r>
          </w:p>
        </w:tc>
      </w:tr>
      <w:tr>
        <w:tc>
          <w:tcPr>
            <w:tcW w:type="dxa" w:w="1928"/>
          </w:tcPr>
          <w:p>
            <w:pPr>
              <w:jc w:val="left"/>
            </w:pPr>
            <w:r/>
            <w:r>
              <w:rPr>
                <w:sz w:val="17"/>
              </w:rPr>
              <w:t>18 a 24</w:t>
            </w:r>
          </w:p>
        </w:tc>
        <w:tc>
          <w:tcPr>
            <w:tcW w:type="dxa" w:w="1814"/>
          </w:tcPr>
          <w:p>
            <w:pPr>
              <w:jc w:val="center"/>
            </w:pPr>
            <w:r/>
            <w:r>
              <w:rPr>
                <w:sz w:val="17"/>
              </w:rPr>
              <w:t>1.270.031</w:t>
            </w:r>
          </w:p>
        </w:tc>
        <w:tc>
          <w:tcPr>
            <w:tcW w:type="dxa" w:w="1814"/>
          </w:tcPr>
          <w:p>
            <w:pPr>
              <w:jc w:val="center"/>
            </w:pPr>
            <w:r/>
            <w:r>
              <w:rPr>
                <w:sz w:val="17"/>
              </w:rPr>
              <w:t>259.407</w:t>
            </w:r>
          </w:p>
        </w:tc>
        <w:tc>
          <w:tcPr>
            <w:tcW w:type="dxa" w:w="1814"/>
          </w:tcPr>
          <w:p>
            <w:pPr>
              <w:jc w:val="center"/>
            </w:pPr>
            <w:r/>
            <w:r>
              <w:rPr>
                <w:sz w:val="17"/>
              </w:rPr>
              <w:t>1.529.438</w:t>
            </w:r>
          </w:p>
        </w:tc>
        <w:tc>
          <w:tcPr>
            <w:tcW w:type="dxa" w:w="1701"/>
          </w:tcPr>
          <w:p>
            <w:pPr>
              <w:jc w:val="center"/>
            </w:pPr>
            <w:r/>
            <w:r>
              <w:rPr>
                <w:sz w:val="17"/>
              </w:rPr>
              <w:t>16,96%</w:t>
            </w:r>
          </w:p>
        </w:tc>
      </w:tr>
      <w:tr>
        <w:tc>
          <w:tcPr>
            <w:tcW w:type="dxa" w:w="1928"/>
          </w:tcPr>
          <w:p>
            <w:pPr>
              <w:jc w:val="left"/>
            </w:pPr>
            <w:r/>
            <w:r>
              <w:rPr>
                <w:sz w:val="17"/>
              </w:rPr>
              <w:t>25 a 44</w:t>
            </w:r>
          </w:p>
        </w:tc>
        <w:tc>
          <w:tcPr>
            <w:tcW w:type="dxa" w:w="1814"/>
          </w:tcPr>
          <w:p>
            <w:pPr>
              <w:jc w:val="center"/>
            </w:pPr>
            <w:r/>
            <w:r>
              <w:rPr>
                <w:sz w:val="17"/>
              </w:rPr>
              <w:t>2.516.916</w:t>
            </w:r>
          </w:p>
        </w:tc>
        <w:tc>
          <w:tcPr>
            <w:tcW w:type="dxa" w:w="1814"/>
          </w:tcPr>
          <w:p>
            <w:pPr>
              <w:jc w:val="center"/>
            </w:pPr>
            <w:r/>
            <w:r>
              <w:rPr>
                <w:sz w:val="17"/>
              </w:rPr>
              <w:t>514.080</w:t>
            </w:r>
          </w:p>
        </w:tc>
        <w:tc>
          <w:tcPr>
            <w:tcW w:type="dxa" w:w="1814"/>
          </w:tcPr>
          <w:p>
            <w:pPr>
              <w:jc w:val="center"/>
            </w:pPr>
            <w:r/>
            <w:r>
              <w:rPr>
                <w:sz w:val="17"/>
              </w:rPr>
              <w:t>3.030.996</w:t>
            </w:r>
          </w:p>
        </w:tc>
        <w:tc>
          <w:tcPr>
            <w:tcW w:type="dxa" w:w="1701"/>
          </w:tcPr>
          <w:p>
            <w:pPr>
              <w:jc w:val="center"/>
            </w:pPr>
            <w:r/>
            <w:r>
              <w:rPr>
                <w:sz w:val="17"/>
              </w:rPr>
              <w:t>16,96%</w:t>
            </w:r>
          </w:p>
        </w:tc>
      </w:tr>
      <w:tr>
        <w:tc>
          <w:tcPr>
            <w:tcW w:type="dxa" w:w="1928"/>
          </w:tcPr>
          <w:p>
            <w:pPr>
              <w:jc w:val="left"/>
            </w:pPr>
            <w:r/>
            <w:r>
              <w:rPr>
                <w:sz w:val="17"/>
              </w:rPr>
              <w:t>45 a 64</w:t>
            </w:r>
          </w:p>
        </w:tc>
        <w:tc>
          <w:tcPr>
            <w:tcW w:type="dxa" w:w="1814"/>
          </w:tcPr>
          <w:p>
            <w:pPr>
              <w:jc w:val="center"/>
            </w:pPr>
            <w:r/>
            <w:r>
              <w:rPr>
                <w:sz w:val="17"/>
              </w:rPr>
              <w:t>986.923</w:t>
            </w:r>
          </w:p>
        </w:tc>
        <w:tc>
          <w:tcPr>
            <w:tcW w:type="dxa" w:w="1814"/>
          </w:tcPr>
          <w:p>
            <w:pPr>
              <w:jc w:val="center"/>
            </w:pPr>
            <w:r/>
            <w:r>
              <w:rPr>
                <w:sz w:val="17"/>
              </w:rPr>
              <w:t>187.343</w:t>
            </w:r>
          </w:p>
        </w:tc>
        <w:tc>
          <w:tcPr>
            <w:tcW w:type="dxa" w:w="1814"/>
          </w:tcPr>
          <w:p>
            <w:pPr>
              <w:jc w:val="center"/>
            </w:pPr>
            <w:r/>
            <w:r>
              <w:rPr>
                <w:sz w:val="17"/>
              </w:rPr>
              <w:t>1.174.266</w:t>
            </w:r>
          </w:p>
        </w:tc>
        <w:tc>
          <w:tcPr>
            <w:tcW w:type="dxa" w:w="1701"/>
          </w:tcPr>
          <w:p>
            <w:pPr>
              <w:jc w:val="center"/>
            </w:pPr>
            <w:r/>
            <w:r>
              <w:rPr>
                <w:sz w:val="17"/>
              </w:rPr>
              <w:t>15,95%</w:t>
            </w:r>
          </w:p>
        </w:tc>
      </w:tr>
      <w:tr>
        <w:tc>
          <w:tcPr>
            <w:tcW w:type="dxa" w:w="1928"/>
          </w:tcPr>
          <w:p>
            <w:pPr>
              <w:jc w:val="left"/>
            </w:pPr>
            <w:r/>
            <w:r>
              <w:rPr>
                <w:sz w:val="17"/>
              </w:rPr>
              <w:t>65 o más</w:t>
            </w:r>
          </w:p>
        </w:tc>
        <w:tc>
          <w:tcPr>
            <w:tcW w:type="dxa" w:w="1814"/>
          </w:tcPr>
          <w:p>
            <w:pPr>
              <w:jc w:val="center"/>
            </w:pPr>
            <w:r/>
            <w:r>
              <w:rPr>
                <w:sz w:val="17"/>
              </w:rPr>
              <w:t>53.988</w:t>
            </w:r>
          </w:p>
        </w:tc>
        <w:tc>
          <w:tcPr>
            <w:tcW w:type="dxa" w:w="1814"/>
          </w:tcPr>
          <w:p>
            <w:pPr>
              <w:jc w:val="center"/>
            </w:pPr>
            <w:r/>
            <w:r>
              <w:rPr>
                <w:sz w:val="17"/>
              </w:rPr>
              <w:t>9.271</w:t>
            </w:r>
          </w:p>
        </w:tc>
        <w:tc>
          <w:tcPr>
            <w:tcW w:type="dxa" w:w="1814"/>
          </w:tcPr>
          <w:p>
            <w:pPr>
              <w:jc w:val="center"/>
            </w:pPr>
            <w:r/>
            <w:r>
              <w:rPr>
                <w:sz w:val="17"/>
              </w:rPr>
              <w:t>63.259</w:t>
            </w:r>
          </w:p>
        </w:tc>
        <w:tc>
          <w:tcPr>
            <w:tcW w:type="dxa" w:w="1701"/>
          </w:tcPr>
          <w:p>
            <w:pPr>
              <w:jc w:val="center"/>
            </w:pPr>
            <w:r/>
            <w:r>
              <w:rPr>
                <w:sz w:val="17"/>
              </w:rPr>
              <w:t>14,66%</w:t>
            </w:r>
          </w:p>
        </w:tc>
      </w:tr>
    </w:tbl>
    <w:p>
      <w:pPr>
        <w:spacing w:after="0" w:before="0"/>
      </w:pPr>
      <w:r>
        <w:rPr>
          <w:sz w:val="8"/>
        </w:rPr>
      </w:r>
    </w:p>
    <w:p>
      <w:r>
        <w:rPr>
          <w:b w:val="0"/>
          <w:i w:val="0"/>
          <w:sz w:val="22"/>
        </w:rPr>
        <w:t>El grupo de 25 a 44 años concentra el 48,45% de los arrestos con sexo declarado. La participación femenina desciende de forma monótona con la edad, desde el 19,77% entre los menores de edad hasta el 14,66% entre los mayores de 65 años.</w:t>
      </w:r>
    </w:p>
    <w:p>
      <w:pPr>
        <w:pStyle w:val="Heading2"/>
        <w:keepNext/>
        <w:spacing w:before="240"/>
      </w:pPr>
      <w:r>
        <w:t>Elemento 5. Concentración territorial por precinto policial</w:t>
      </w:r>
    </w:p>
    <w:p>
      <w:pPr>
        <w:keepNext/>
        <w:spacing w:before="80" w:after="40"/>
        <w:jc w:val="center"/>
      </w:pPr>
      <w:r>
        <w:drawing>
          <wp:inline xmlns:a="http://schemas.openxmlformats.org/drawingml/2006/main" xmlns:pic="http://schemas.openxmlformats.org/drawingml/2006/picture">
            <wp:extent cx="4140000" cy="1840000"/>
            <wp:docPr id="5" name="Picture 5"/>
            <wp:cNvGraphicFramePr>
              <a:graphicFrameLocks noChangeAspect="1"/>
            </wp:cNvGraphicFramePr>
            <a:graphic>
              <a:graphicData uri="http://schemas.openxmlformats.org/drawingml/2006/picture">
                <pic:pic>
                  <pic:nvPicPr>
                    <pic:cNvPr id="0" name="05_precintos.png"/>
                    <pic:cNvPicPr/>
                  </pic:nvPicPr>
                  <pic:blipFill>
                    <a:blip r:embed="rId24"/>
                    <a:stretch>
                      <a:fillRect/>
                    </a:stretch>
                  </pic:blipFill>
                  <pic:spPr>
                    <a:xfrm>
                      <a:off x="0" y="0"/>
                      <a:ext cx="4140000" cy="1840000"/>
                    </a:xfrm>
                    <a:prstGeom prst="rect"/>
                  </pic:spPr>
                </pic:pic>
              </a:graphicData>
            </a:graphic>
          </wp:inline>
        </w:drawing>
      </w:r>
    </w:p>
    <w:p>
      <w:pPr>
        <w:spacing w:after="160"/>
        <w:jc w:val="center"/>
      </w:pPr>
      <w:r>
        <w:rPr>
          <w:i/>
          <w:color w:val="404040"/>
          <w:sz w:val="17"/>
        </w:rPr>
        <w:t>Figura 5. Diez precintos con mayor número de arrestos entre 2023 y 2026.</w:t>
      </w:r>
    </w:p>
    <w:p>
      <w:r>
        <w:rPr>
          <w:b w:val="0"/>
          <w:i w:val="0"/>
          <w:sz w:val="22"/>
        </w:rPr>
        <w:t>Los diez precintos señalados concentran el 27,21% de los arrestos del periodo, pese a que la ciudad cuenta con setenta y siete precintos. Cuatro de los diez pertenecen al Bronx, lo que refuerza el hallazgo del Elemento 2. El precinto 14, correspondiente a Midtown South en Manhattan, encabeza la lista con 32.424 arrestos.</w:t>
      </w:r>
    </w:p>
    <w:p>
      <w:pPr>
        <w:pStyle w:val="Heading2"/>
        <w:keepNext/>
        <w:spacing w:before="240"/>
      </w:pPr>
      <w:r>
        <w:t>Elemento 6. Evolución y estacionalidad de los siniestros viales</w:t>
      </w:r>
    </w:p>
    <w:p>
      <w:pPr>
        <w:keepNext/>
        <w:spacing w:before="80" w:after="40"/>
        <w:jc w:val="center"/>
      </w:pPr>
      <w:r>
        <w:drawing>
          <wp:inline xmlns:a="http://schemas.openxmlformats.org/drawingml/2006/main" xmlns:pic="http://schemas.openxmlformats.org/drawingml/2006/picture">
            <wp:extent cx="4140000" cy="1356807"/>
            <wp:docPr id="6" name="Picture 6"/>
            <wp:cNvGraphicFramePr>
              <a:graphicFrameLocks noChangeAspect="1"/>
            </wp:cNvGraphicFramePr>
            <a:graphic>
              <a:graphicData uri="http://schemas.openxmlformats.org/drawingml/2006/picture">
                <pic:pic>
                  <pic:nvPicPr>
                    <pic:cNvPr id="0" name="06_siniestros_anio_mes.png"/>
                    <pic:cNvPicPr/>
                  </pic:nvPicPr>
                  <pic:blipFill>
                    <a:blip r:embed="rId25"/>
                    <a:stretch>
                      <a:fillRect/>
                    </a:stretch>
                  </pic:blipFill>
                  <pic:spPr>
                    <a:xfrm>
                      <a:off x="0" y="0"/>
                      <a:ext cx="4140000" cy="1356807"/>
                    </a:xfrm>
                    <a:prstGeom prst="rect"/>
                  </pic:spPr>
                </pic:pic>
              </a:graphicData>
            </a:graphic>
          </wp:inline>
        </w:drawing>
      </w:r>
    </w:p>
    <w:p>
      <w:pPr>
        <w:spacing w:after="160"/>
        <w:jc w:val="center"/>
      </w:pPr>
      <w:r>
        <w:rPr>
          <w:i/>
          <w:color w:val="404040"/>
          <w:sz w:val="17"/>
        </w:rPr>
        <w:t>Figura 6. Siniestros por año y distribución mensual acumulada del periodo 2013–2025.</w:t>
      </w:r>
    </w:p>
    <w:p>
      <w:r>
        <w:rPr>
          <w:b w:val="0"/>
          <w:i w:val="0"/>
          <w:sz w:val="22"/>
        </w:rPr>
        <w:t>Los siniestros alcanzan su máximo en 2018 con 231.564 registros y descienden de manera sostenida hasta 85.546 en 2025, lo que representa una reducción del 63%. El comportamiento mensual resulta comparativamente estable, con una leve disminución en febrero atribuible a su menor número de días.</w:t>
      </w:r>
    </w:p>
    <w:p>
      <w:pPr>
        <w:pStyle w:val="Heading2"/>
        <w:keepNext/>
        <w:spacing w:before="240"/>
      </w:pPr>
      <w:r>
        <w:t>Elemento 7. Distribución horaria de los siniestros</w:t>
      </w:r>
    </w:p>
    <w:p>
      <w:pPr>
        <w:keepNext/>
        <w:spacing w:before="80" w:after="40"/>
        <w:jc w:val="center"/>
      </w:pPr>
      <w:r>
        <w:drawing>
          <wp:inline xmlns:a="http://schemas.openxmlformats.org/drawingml/2006/main" xmlns:pic="http://schemas.openxmlformats.org/drawingml/2006/picture">
            <wp:extent cx="4140000" cy="1840000"/>
            <wp:docPr id="7" name="Picture 7"/>
            <wp:cNvGraphicFramePr>
              <a:graphicFrameLocks noChangeAspect="1"/>
            </wp:cNvGraphicFramePr>
            <a:graphic>
              <a:graphicData uri="http://schemas.openxmlformats.org/drawingml/2006/picture">
                <pic:pic>
                  <pic:nvPicPr>
                    <pic:cNvPr id="0" name="07_siniestros_hora.png"/>
                    <pic:cNvPicPr/>
                  </pic:nvPicPr>
                  <pic:blipFill>
                    <a:blip r:embed="rId26"/>
                    <a:stretch>
                      <a:fillRect/>
                    </a:stretch>
                  </pic:blipFill>
                  <pic:spPr>
                    <a:xfrm>
                      <a:off x="0" y="0"/>
                      <a:ext cx="4140000" cy="1840000"/>
                    </a:xfrm>
                    <a:prstGeom prst="rect"/>
                  </pic:spPr>
                </pic:pic>
              </a:graphicData>
            </a:graphic>
          </wp:inline>
        </w:drawing>
      </w:r>
    </w:p>
    <w:p>
      <w:pPr>
        <w:spacing w:after="160"/>
        <w:jc w:val="center"/>
      </w:pPr>
      <w:r>
        <w:rPr>
          <w:i/>
          <w:color w:val="404040"/>
          <w:sz w:val="17"/>
        </w:rPr>
        <w:t>Figura 7. Siniestros viales según la hora del día.</w:t>
      </w:r>
    </w:p>
    <w:p>
      <w:r>
        <w:rPr>
          <w:b w:val="0"/>
          <w:i w:val="0"/>
          <w:sz w:val="22"/>
        </w:rPr>
        <w:t>La franja de mayor incidencia se sitúa a las 16:00 horas, con 161.385 siniestros, dentro de una banda crítica que se extiende de las 14:00 a las 18:00. Se observa asimismo un valor anómalo en la hora 0:00, con 75.806 registros, muy superior a los de las horas contiguas. Dicho comportamiento sugiere que el valor 00:00 opera como valor por defecto cuando la hora no se conoce, circunstancia que se aborda en el reporte de calidad.</w:t>
      </w:r>
    </w:p>
    <w:p>
      <w:pPr>
        <w:pStyle w:val="Heading2"/>
        <w:keepNext/>
        <w:spacing w:before="240"/>
      </w:pPr>
      <w:r>
        <w:t>Elemento 8. Gravedad de los siniestros por distrito</w:t>
      </w:r>
    </w:p>
    <w:p>
      <w:pPr>
        <w:keepNext/>
        <w:spacing w:before="80" w:after="40"/>
        <w:jc w:val="center"/>
      </w:pPr>
      <w:r>
        <w:drawing>
          <wp:inline xmlns:a="http://schemas.openxmlformats.org/drawingml/2006/main" xmlns:pic="http://schemas.openxmlformats.org/drawingml/2006/picture">
            <wp:extent cx="4140000" cy="1436824"/>
            <wp:docPr id="8" name="Picture 8"/>
            <wp:cNvGraphicFramePr>
              <a:graphicFrameLocks noChangeAspect="1"/>
            </wp:cNvGraphicFramePr>
            <a:graphic>
              <a:graphicData uri="http://schemas.openxmlformats.org/drawingml/2006/picture">
                <pic:pic>
                  <pic:nvPicPr>
                    <pic:cNvPr id="0" name="08_gravedad_distrito.png"/>
                    <pic:cNvPicPr/>
                  </pic:nvPicPr>
                  <pic:blipFill>
                    <a:blip r:embed="rId27"/>
                    <a:stretch>
                      <a:fillRect/>
                    </a:stretch>
                  </pic:blipFill>
                  <pic:spPr>
                    <a:xfrm>
                      <a:off x="0" y="0"/>
                      <a:ext cx="4140000" cy="1436824"/>
                    </a:xfrm>
                    <a:prstGeom prst="rect"/>
                  </pic:spPr>
                </pic:pic>
              </a:graphicData>
            </a:graphic>
          </wp:inline>
        </w:drawing>
      </w:r>
    </w:p>
    <w:p>
      <w:pPr>
        <w:spacing w:after="160"/>
        <w:jc w:val="center"/>
      </w:pPr>
      <w:r>
        <w:rPr>
          <w:i/>
          <w:color w:val="404040"/>
          <w:sz w:val="17"/>
        </w:rPr>
        <w:t>Figura 8. Siniestralidad normalizada y letalidad por distrito en 2023.</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858"/>
            <w:shd w:fill="DCE6F1"/>
          </w:tcPr>
          <w:p>
            <w:pPr>
              <w:jc w:val="center"/>
            </w:pPr>
            <w:r/>
            <w:r>
              <w:rPr>
                <w:b/>
                <w:sz w:val="17"/>
              </w:rPr>
              <w:t>Distrito</w:t>
            </w:r>
          </w:p>
        </w:tc>
        <w:tc>
          <w:tcPr>
            <w:tcW w:type="dxa" w:w="1530"/>
            <w:shd w:fill="DCE6F1"/>
          </w:tcPr>
          <w:p>
            <w:pPr>
              <w:jc w:val="center"/>
            </w:pPr>
            <w:r/>
            <w:r>
              <w:rPr>
                <w:b/>
                <w:sz w:val="17"/>
              </w:rPr>
              <w:t>Siniestros</w:t>
            </w:r>
          </w:p>
        </w:tc>
        <w:tc>
          <w:tcPr>
            <w:tcW w:type="dxa" w:w="1421"/>
            <w:shd w:fill="DCE6F1"/>
          </w:tcPr>
          <w:p>
            <w:pPr>
              <w:jc w:val="center"/>
            </w:pPr>
            <w:r/>
            <w:r>
              <w:rPr>
                <w:b/>
                <w:sz w:val="17"/>
              </w:rPr>
              <w:t>Heridos</w:t>
            </w:r>
          </w:p>
        </w:tc>
        <w:tc>
          <w:tcPr>
            <w:tcW w:type="dxa" w:w="1421"/>
            <w:shd w:fill="DCE6F1"/>
          </w:tcPr>
          <w:p>
            <w:pPr>
              <w:jc w:val="center"/>
            </w:pPr>
            <w:r/>
            <w:r>
              <w:rPr>
                <w:b/>
                <w:sz w:val="17"/>
              </w:rPr>
              <w:t>Fallecidos</w:t>
            </w:r>
          </w:p>
        </w:tc>
        <w:tc>
          <w:tcPr>
            <w:tcW w:type="dxa" w:w="1530"/>
            <w:shd w:fill="DCE6F1"/>
          </w:tcPr>
          <w:p>
            <w:pPr>
              <w:jc w:val="center"/>
            </w:pPr>
            <w:r/>
            <w:r>
              <w:rPr>
                <w:b/>
                <w:sz w:val="17"/>
              </w:rPr>
              <w:t>Siniestros/100k</w:t>
            </w:r>
          </w:p>
        </w:tc>
        <w:tc>
          <w:tcPr>
            <w:tcW w:type="dxa" w:w="1311"/>
            <w:shd w:fill="DCE6F1"/>
          </w:tcPr>
          <w:p>
            <w:pPr>
              <w:jc w:val="center"/>
            </w:pPr>
            <w:r/>
            <w:r>
              <w:rPr>
                <w:b/>
                <w:sz w:val="17"/>
              </w:rPr>
              <w:t>Letalidad ‰</w:t>
            </w:r>
          </w:p>
        </w:tc>
      </w:tr>
      <w:tr>
        <w:tc>
          <w:tcPr>
            <w:tcW w:type="dxa" w:w="1858"/>
          </w:tcPr>
          <w:p>
            <w:pPr>
              <w:jc w:val="left"/>
            </w:pPr>
            <w:r/>
            <w:r>
              <w:rPr>
                <w:sz w:val="17"/>
              </w:rPr>
              <w:t>Brooklyn</w:t>
            </w:r>
          </w:p>
        </w:tc>
        <w:tc>
          <w:tcPr>
            <w:tcW w:type="dxa" w:w="1530"/>
          </w:tcPr>
          <w:p>
            <w:pPr>
              <w:jc w:val="center"/>
            </w:pPr>
            <w:r/>
            <w:r>
              <w:rPr>
                <w:sz w:val="17"/>
              </w:rPr>
              <w:t>22.890</w:t>
            </w:r>
          </w:p>
        </w:tc>
        <w:tc>
          <w:tcPr>
            <w:tcW w:type="dxa" w:w="1421"/>
          </w:tcPr>
          <w:p>
            <w:pPr>
              <w:jc w:val="center"/>
            </w:pPr>
            <w:r/>
            <w:r>
              <w:rPr>
                <w:sz w:val="17"/>
              </w:rPr>
              <w:t>12.376</w:t>
            </w:r>
          </w:p>
        </w:tc>
        <w:tc>
          <w:tcPr>
            <w:tcW w:type="dxa" w:w="1421"/>
          </w:tcPr>
          <w:p>
            <w:pPr>
              <w:jc w:val="center"/>
            </w:pPr>
            <w:r/>
            <w:r>
              <w:rPr>
                <w:sz w:val="17"/>
              </w:rPr>
              <w:t>49</w:t>
            </w:r>
          </w:p>
        </w:tc>
        <w:tc>
          <w:tcPr>
            <w:tcW w:type="dxa" w:w="1530"/>
          </w:tcPr>
          <w:p>
            <w:pPr>
              <w:jc w:val="center"/>
            </w:pPr>
            <w:r/>
            <w:r>
              <w:rPr>
                <w:sz w:val="17"/>
              </w:rPr>
              <w:t>894</w:t>
            </w:r>
          </w:p>
        </w:tc>
        <w:tc>
          <w:tcPr>
            <w:tcW w:type="dxa" w:w="1311"/>
          </w:tcPr>
          <w:p>
            <w:pPr>
              <w:jc w:val="center"/>
            </w:pPr>
            <w:r/>
            <w:r>
              <w:rPr>
                <w:sz w:val="17"/>
              </w:rPr>
              <w:t>2,14</w:t>
            </w:r>
          </w:p>
        </w:tc>
      </w:tr>
      <w:tr>
        <w:tc>
          <w:tcPr>
            <w:tcW w:type="dxa" w:w="1858"/>
          </w:tcPr>
          <w:p>
            <w:pPr>
              <w:jc w:val="left"/>
            </w:pPr>
            <w:r/>
            <w:r>
              <w:rPr>
                <w:sz w:val="17"/>
              </w:rPr>
              <w:t>Queens</w:t>
            </w:r>
          </w:p>
        </w:tc>
        <w:tc>
          <w:tcPr>
            <w:tcW w:type="dxa" w:w="1530"/>
          </w:tcPr>
          <w:p>
            <w:pPr>
              <w:jc w:val="center"/>
            </w:pPr>
            <w:r/>
            <w:r>
              <w:rPr>
                <w:sz w:val="17"/>
              </w:rPr>
              <w:t>17.786</w:t>
            </w:r>
          </w:p>
        </w:tc>
        <w:tc>
          <w:tcPr>
            <w:tcW w:type="dxa" w:w="1421"/>
          </w:tcPr>
          <w:p>
            <w:pPr>
              <w:jc w:val="center"/>
            </w:pPr>
            <w:r/>
            <w:r>
              <w:rPr>
                <w:sz w:val="17"/>
              </w:rPr>
              <w:t>9.518</w:t>
            </w:r>
          </w:p>
        </w:tc>
        <w:tc>
          <w:tcPr>
            <w:tcW w:type="dxa" w:w="1421"/>
          </w:tcPr>
          <w:p>
            <w:pPr>
              <w:jc w:val="center"/>
            </w:pPr>
            <w:r/>
            <w:r>
              <w:rPr>
                <w:sz w:val="17"/>
              </w:rPr>
              <w:t>46</w:t>
            </w:r>
          </w:p>
        </w:tc>
        <w:tc>
          <w:tcPr>
            <w:tcW w:type="dxa" w:w="1530"/>
          </w:tcPr>
          <w:p>
            <w:pPr>
              <w:jc w:val="center"/>
            </w:pPr>
            <w:r/>
            <w:r>
              <w:rPr>
                <w:sz w:val="17"/>
              </w:rPr>
              <w:t>790</w:t>
            </w:r>
          </w:p>
        </w:tc>
        <w:tc>
          <w:tcPr>
            <w:tcW w:type="dxa" w:w="1311"/>
          </w:tcPr>
          <w:p>
            <w:pPr>
              <w:jc w:val="center"/>
            </w:pPr>
            <w:r/>
            <w:r>
              <w:rPr>
                <w:sz w:val="17"/>
              </w:rPr>
              <w:t>2,59</w:t>
            </w:r>
          </w:p>
        </w:tc>
      </w:tr>
      <w:tr>
        <w:tc>
          <w:tcPr>
            <w:tcW w:type="dxa" w:w="1858"/>
          </w:tcPr>
          <w:p>
            <w:pPr>
              <w:jc w:val="left"/>
            </w:pPr>
            <w:r/>
            <w:r>
              <w:rPr>
                <w:sz w:val="17"/>
              </w:rPr>
              <w:t>Manhattan</w:t>
            </w:r>
          </w:p>
        </w:tc>
        <w:tc>
          <w:tcPr>
            <w:tcW w:type="dxa" w:w="1530"/>
          </w:tcPr>
          <w:p>
            <w:pPr>
              <w:jc w:val="center"/>
            </w:pPr>
            <w:r/>
            <w:r>
              <w:rPr>
                <w:sz w:val="17"/>
              </w:rPr>
              <w:t>11.823</w:t>
            </w:r>
          </w:p>
        </w:tc>
        <w:tc>
          <w:tcPr>
            <w:tcW w:type="dxa" w:w="1421"/>
          </w:tcPr>
          <w:p>
            <w:pPr>
              <w:jc w:val="center"/>
            </w:pPr>
            <w:r/>
            <w:r>
              <w:rPr>
                <w:sz w:val="17"/>
              </w:rPr>
              <w:t>5.613</w:t>
            </w:r>
          </w:p>
        </w:tc>
        <w:tc>
          <w:tcPr>
            <w:tcW w:type="dxa" w:w="1421"/>
          </w:tcPr>
          <w:p>
            <w:pPr>
              <w:jc w:val="center"/>
            </w:pPr>
            <w:r/>
            <w:r>
              <w:rPr>
                <w:sz w:val="17"/>
              </w:rPr>
              <w:t>28</w:t>
            </w:r>
          </w:p>
        </w:tc>
        <w:tc>
          <w:tcPr>
            <w:tcW w:type="dxa" w:w="1530"/>
          </w:tcPr>
          <w:p>
            <w:pPr>
              <w:jc w:val="center"/>
            </w:pPr>
            <w:r/>
            <w:r>
              <w:rPr>
                <w:sz w:val="17"/>
              </w:rPr>
              <w:t>740</w:t>
            </w:r>
          </w:p>
        </w:tc>
        <w:tc>
          <w:tcPr>
            <w:tcW w:type="dxa" w:w="1311"/>
          </w:tcPr>
          <w:p>
            <w:pPr>
              <w:jc w:val="center"/>
            </w:pPr>
            <w:r/>
            <w:r>
              <w:rPr>
                <w:sz w:val="17"/>
              </w:rPr>
              <w:t>2,37</w:t>
            </w:r>
          </w:p>
        </w:tc>
      </w:tr>
      <w:tr>
        <w:tc>
          <w:tcPr>
            <w:tcW w:type="dxa" w:w="1858"/>
          </w:tcPr>
          <w:p>
            <w:pPr>
              <w:jc w:val="left"/>
            </w:pPr>
            <w:r/>
            <w:r>
              <w:rPr>
                <w:sz w:val="17"/>
              </w:rPr>
              <w:t>Bronx</w:t>
            </w:r>
          </w:p>
        </w:tc>
        <w:tc>
          <w:tcPr>
            <w:tcW w:type="dxa" w:w="1530"/>
          </w:tcPr>
          <w:p>
            <w:pPr>
              <w:jc w:val="center"/>
            </w:pPr>
            <w:r/>
            <w:r>
              <w:rPr>
                <w:sz w:val="17"/>
              </w:rPr>
              <w:t>10.507</w:t>
            </w:r>
          </w:p>
        </w:tc>
        <w:tc>
          <w:tcPr>
            <w:tcW w:type="dxa" w:w="1421"/>
          </w:tcPr>
          <w:p>
            <w:pPr>
              <w:jc w:val="center"/>
            </w:pPr>
            <w:r/>
            <w:r>
              <w:rPr>
                <w:sz w:val="17"/>
              </w:rPr>
              <w:t>5.811</w:t>
            </w:r>
          </w:p>
        </w:tc>
        <w:tc>
          <w:tcPr>
            <w:tcW w:type="dxa" w:w="1421"/>
          </w:tcPr>
          <w:p>
            <w:pPr>
              <w:jc w:val="center"/>
            </w:pPr>
            <w:r/>
            <w:r>
              <w:rPr>
                <w:sz w:val="17"/>
              </w:rPr>
              <w:t>25</w:t>
            </w:r>
          </w:p>
        </w:tc>
        <w:tc>
          <w:tcPr>
            <w:tcW w:type="dxa" w:w="1530"/>
          </w:tcPr>
          <w:p>
            <w:pPr>
              <w:jc w:val="center"/>
            </w:pPr>
            <w:r/>
            <w:r>
              <w:rPr>
                <w:sz w:val="17"/>
              </w:rPr>
              <w:t>774</w:t>
            </w:r>
          </w:p>
        </w:tc>
        <w:tc>
          <w:tcPr>
            <w:tcW w:type="dxa" w:w="1311"/>
          </w:tcPr>
          <w:p>
            <w:pPr>
              <w:jc w:val="center"/>
            </w:pPr>
            <w:r/>
            <w:r>
              <w:rPr>
                <w:sz w:val="17"/>
              </w:rPr>
              <w:t>2,38</w:t>
            </w:r>
          </w:p>
        </w:tc>
      </w:tr>
      <w:tr>
        <w:tc>
          <w:tcPr>
            <w:tcW w:type="dxa" w:w="1858"/>
          </w:tcPr>
          <w:p>
            <w:pPr>
              <w:jc w:val="left"/>
            </w:pPr>
            <w:r/>
            <w:r>
              <w:rPr>
                <w:sz w:val="17"/>
              </w:rPr>
              <w:t>Staten Island</w:t>
            </w:r>
          </w:p>
        </w:tc>
        <w:tc>
          <w:tcPr>
            <w:tcW w:type="dxa" w:w="1530"/>
          </w:tcPr>
          <w:p>
            <w:pPr>
              <w:jc w:val="center"/>
            </w:pPr>
            <w:r/>
            <w:r>
              <w:rPr>
                <w:sz w:val="17"/>
              </w:rPr>
              <w:t>2.724</w:t>
            </w:r>
          </w:p>
        </w:tc>
        <w:tc>
          <w:tcPr>
            <w:tcW w:type="dxa" w:w="1421"/>
          </w:tcPr>
          <w:p>
            <w:pPr>
              <w:jc w:val="center"/>
            </w:pPr>
            <w:r/>
            <w:r>
              <w:rPr>
                <w:sz w:val="17"/>
              </w:rPr>
              <w:t>1.366</w:t>
            </w:r>
          </w:p>
        </w:tc>
        <w:tc>
          <w:tcPr>
            <w:tcW w:type="dxa" w:w="1421"/>
          </w:tcPr>
          <w:p>
            <w:pPr>
              <w:jc w:val="center"/>
            </w:pPr>
            <w:r/>
            <w:r>
              <w:rPr>
                <w:sz w:val="17"/>
              </w:rPr>
              <w:t>5</w:t>
            </w:r>
          </w:p>
        </w:tc>
        <w:tc>
          <w:tcPr>
            <w:tcW w:type="dxa" w:w="1530"/>
          </w:tcPr>
          <w:p>
            <w:pPr>
              <w:jc w:val="center"/>
            </w:pPr>
            <w:r/>
            <w:r>
              <w:rPr>
                <w:sz w:val="17"/>
              </w:rPr>
              <w:t>555</w:t>
            </w:r>
          </w:p>
        </w:tc>
        <w:tc>
          <w:tcPr>
            <w:tcW w:type="dxa" w:w="1311"/>
          </w:tcPr>
          <w:p>
            <w:pPr>
              <w:jc w:val="center"/>
            </w:pPr>
            <w:r/>
            <w:r>
              <w:rPr>
                <w:sz w:val="17"/>
              </w:rPr>
              <w:t>1,84</w:t>
            </w:r>
          </w:p>
        </w:tc>
      </w:tr>
    </w:tbl>
    <w:p>
      <w:pPr>
        <w:spacing w:after="0" w:before="0"/>
      </w:pPr>
      <w:r>
        <w:rPr>
          <w:sz w:val="8"/>
        </w:rPr>
      </w:r>
    </w:p>
    <w:p>
      <w:r>
        <w:rPr>
          <w:b w:val="0"/>
          <w:i w:val="0"/>
          <w:sz w:val="22"/>
        </w:rPr>
        <w:t>El ordenamiento de la siniestralidad difiere del de los arrestos: Brooklyn encabeza la incidencia por habitante, mientras que el Bronx ocupa la tercera posición. Queens presenta la mayor letalidad de la ciudad, con 2,59 fallecidos por cada mil siniestros, y Staten Island la menor incidencia junto con la menor letalidad. Los dos indicadores de seguridad no identifican, por tanto, el mismo territorio prioritario.</w:t>
      </w:r>
    </w:p>
    <w:p>
      <w:pPr>
        <w:pStyle w:val="Heading2"/>
        <w:keepNext/>
        <w:spacing w:before="240"/>
      </w:pPr>
      <w:r>
        <w:t>Elemento 9. Factores contribuyentes declarados</w:t>
      </w:r>
    </w:p>
    <w:p>
      <w:pPr>
        <w:keepNext/>
        <w:spacing w:before="80" w:after="40"/>
        <w:jc w:val="center"/>
      </w:pPr>
      <w:r>
        <w:drawing>
          <wp:inline xmlns:a="http://schemas.openxmlformats.org/drawingml/2006/main" xmlns:pic="http://schemas.openxmlformats.org/drawingml/2006/picture">
            <wp:extent cx="4140000" cy="2258182"/>
            <wp:docPr id="9" name="Picture 9"/>
            <wp:cNvGraphicFramePr>
              <a:graphicFrameLocks noChangeAspect="1"/>
            </wp:cNvGraphicFramePr>
            <a:graphic>
              <a:graphicData uri="http://schemas.openxmlformats.org/drawingml/2006/picture">
                <pic:pic>
                  <pic:nvPicPr>
                    <pic:cNvPr id="0" name="09_factores.png"/>
                    <pic:cNvPicPr/>
                  </pic:nvPicPr>
                  <pic:blipFill>
                    <a:blip r:embed="rId28"/>
                    <a:stretch>
                      <a:fillRect/>
                    </a:stretch>
                  </pic:blipFill>
                  <pic:spPr>
                    <a:xfrm>
                      <a:off x="0" y="0"/>
                      <a:ext cx="4140000" cy="2258182"/>
                    </a:xfrm>
                    <a:prstGeom prst="rect"/>
                  </pic:spPr>
                </pic:pic>
              </a:graphicData>
            </a:graphic>
          </wp:inline>
        </w:drawing>
      </w:r>
    </w:p>
    <w:p>
      <w:pPr>
        <w:spacing w:after="160"/>
        <w:jc w:val="center"/>
      </w:pPr>
      <w:r>
        <w:rPr>
          <w:i/>
          <w:color w:val="404040"/>
          <w:sz w:val="17"/>
        </w:rPr>
        <w:t>Figura 9. Quince factores contribuyentes más frecuentes, excluidos los registros sin especificar.</w:t>
      </w:r>
    </w:p>
    <w:p>
      <w:r>
        <w:rPr>
          <w:b w:val="0"/>
          <w:i w:val="0"/>
          <w:sz w:val="22"/>
        </w:rPr>
        <w:t>La distracción del conductor domina de manera inequívoca, con 462.105 siniestros, cifra que triplica con holgura la del segundo factor. Los cinco primeros factores remiten a conductas de conducción y no a condiciones de la infraestructura, lo que orienta las recomendaciones hacia medidas de fiscalización y de cambio de comportamiento.</w:t>
      </w:r>
    </w:p>
    <w:p>
      <w:r>
        <w:rPr>
          <w:b w:val="0"/>
          <w:i w:val="0"/>
          <w:sz w:val="22"/>
        </w:rPr>
        <w:t>Debe advertirse que 756.643 siniestros, equivalentes al 33,3% del conjunto, registran el factor como «Unspecified». La jerarquía anterior describe, por tanto, únicamente los dos tercios de los casos en que el factor fue efectivamente consignado.</w:t>
      </w:r>
    </w:p>
    <w:p>
      <w:pPr>
        <w:pStyle w:val="Heading2"/>
        <w:keepNext/>
        <w:spacing w:before="240"/>
      </w:pPr>
      <w:r>
        <w:t>Elemento 10. Los datos ausentes como fenómeno temporal</w:t>
      </w:r>
    </w:p>
    <w:p>
      <w:pPr>
        <w:keepNext/>
        <w:spacing w:before="80" w:after="40"/>
        <w:jc w:val="center"/>
      </w:pPr>
      <w:r>
        <w:drawing>
          <wp:inline xmlns:a="http://schemas.openxmlformats.org/drawingml/2006/main" xmlns:pic="http://schemas.openxmlformats.org/drawingml/2006/picture">
            <wp:extent cx="4140000" cy="1840000"/>
            <wp:docPr id="10" name="Picture 10"/>
            <wp:cNvGraphicFramePr>
              <a:graphicFrameLocks noChangeAspect="1"/>
            </wp:cNvGraphicFramePr>
            <a:graphic>
              <a:graphicData uri="http://schemas.openxmlformats.org/drawingml/2006/picture">
                <pic:pic>
                  <pic:nvPicPr>
                    <pic:cNvPr id="0" name="10_calidad_temporal.png"/>
                    <pic:cNvPicPr/>
                  </pic:nvPicPr>
                  <pic:blipFill>
                    <a:blip r:embed="rId29"/>
                    <a:stretch>
                      <a:fillRect/>
                    </a:stretch>
                  </pic:blipFill>
                  <pic:spPr>
                    <a:xfrm>
                      <a:off x="0" y="0"/>
                      <a:ext cx="4140000" cy="1840000"/>
                    </a:xfrm>
                    <a:prstGeom prst="rect"/>
                  </pic:spPr>
                </pic:pic>
              </a:graphicData>
            </a:graphic>
          </wp:inline>
        </w:drawing>
      </w:r>
    </w:p>
    <w:p>
      <w:pPr>
        <w:spacing w:after="160"/>
        <w:jc w:val="center"/>
      </w:pPr>
      <w:r>
        <w:rPr>
          <w:i/>
          <w:color w:val="404040"/>
          <w:sz w:val="17"/>
        </w:rPr>
        <w:t>Figura 10. Porcentaje de valores ausentes en Vehicles según el año de ocurrencia del siniestro.</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474"/>
            <w:shd w:fill="DCE6F1"/>
          </w:tcPr>
          <w:p>
            <w:pPr>
              <w:jc w:val="center"/>
            </w:pPr>
            <w:r/>
            <w:r>
              <w:rPr>
                <w:b/>
                <w:sz w:val="17"/>
              </w:rPr>
              <w:t>Año</w:t>
            </w:r>
          </w:p>
        </w:tc>
        <w:tc>
          <w:tcPr>
            <w:tcW w:type="dxa" w:w="1814"/>
            <w:shd w:fill="DCE6F1"/>
          </w:tcPr>
          <w:p>
            <w:pPr>
              <w:jc w:val="center"/>
            </w:pPr>
            <w:r/>
            <w:r>
              <w:rPr>
                <w:b/>
                <w:sz w:val="17"/>
              </w:rPr>
              <w:t>Registros</w:t>
            </w:r>
          </w:p>
        </w:tc>
        <w:tc>
          <w:tcPr>
            <w:tcW w:type="dxa" w:w="1928"/>
            <w:shd w:fill="DCE6F1"/>
          </w:tcPr>
          <w:p>
            <w:pPr>
              <w:jc w:val="center"/>
            </w:pPr>
            <w:r/>
            <w:r>
              <w:rPr>
                <w:b/>
                <w:sz w:val="17"/>
              </w:rPr>
              <w:t>% sin sexo</w:t>
            </w:r>
          </w:p>
        </w:tc>
        <w:tc>
          <w:tcPr>
            <w:tcW w:type="dxa" w:w="1928"/>
            <w:shd w:fill="DCE6F1"/>
          </w:tcPr>
          <w:p>
            <w:pPr>
              <w:jc w:val="center"/>
            </w:pPr>
            <w:r/>
            <w:r>
              <w:rPr>
                <w:b/>
                <w:sz w:val="17"/>
              </w:rPr>
              <w:t>% sin licencia</w:t>
            </w:r>
          </w:p>
        </w:tc>
        <w:tc>
          <w:tcPr>
            <w:tcW w:type="dxa" w:w="1928"/>
            <w:shd w:fill="DCE6F1"/>
          </w:tcPr>
          <w:p>
            <w:pPr>
              <w:jc w:val="center"/>
            </w:pPr>
            <w:r/>
            <w:r>
              <w:rPr>
                <w:b/>
                <w:sz w:val="17"/>
              </w:rPr>
              <w:t>% sin marca</w:t>
            </w:r>
          </w:p>
        </w:tc>
      </w:tr>
      <w:tr>
        <w:tc>
          <w:tcPr>
            <w:tcW w:type="dxa" w:w="1474"/>
          </w:tcPr>
          <w:p>
            <w:pPr>
              <w:jc w:val="left"/>
            </w:pPr>
            <w:r/>
            <w:r>
              <w:rPr>
                <w:sz w:val="17"/>
              </w:rPr>
              <w:t>2012</w:t>
            </w:r>
          </w:p>
        </w:tc>
        <w:tc>
          <w:tcPr>
            <w:tcW w:type="dxa" w:w="1814"/>
          </w:tcPr>
          <w:p>
            <w:pPr>
              <w:jc w:val="center"/>
            </w:pPr>
            <w:r/>
            <w:r>
              <w:rPr>
                <w:sz w:val="17"/>
              </w:rPr>
              <w:t>198.968</w:t>
            </w:r>
          </w:p>
        </w:tc>
        <w:tc>
          <w:tcPr>
            <w:tcW w:type="dxa" w:w="1928"/>
          </w:tcPr>
          <w:p>
            <w:pPr>
              <w:jc w:val="center"/>
            </w:pPr>
            <w:r/>
            <w:r>
              <w:rPr>
                <w:sz w:val="17"/>
              </w:rPr>
              <w:t>100,0</w:t>
            </w:r>
          </w:p>
        </w:tc>
        <w:tc>
          <w:tcPr>
            <w:tcW w:type="dxa" w:w="1928"/>
          </w:tcPr>
          <w:p>
            <w:pPr>
              <w:jc w:val="center"/>
            </w:pPr>
            <w:r/>
            <w:r>
              <w:rPr>
                <w:sz w:val="17"/>
              </w:rPr>
              <w:t>100,0</w:t>
            </w:r>
          </w:p>
        </w:tc>
        <w:tc>
          <w:tcPr>
            <w:tcW w:type="dxa" w:w="1928"/>
          </w:tcPr>
          <w:p>
            <w:pPr>
              <w:jc w:val="center"/>
            </w:pPr>
            <w:r/>
            <w:r>
              <w:rPr>
                <w:sz w:val="17"/>
              </w:rPr>
              <w:t>100,0</w:t>
            </w:r>
          </w:p>
        </w:tc>
      </w:tr>
      <w:tr>
        <w:tc>
          <w:tcPr>
            <w:tcW w:type="dxa" w:w="1474"/>
          </w:tcPr>
          <w:p>
            <w:pPr>
              <w:jc w:val="left"/>
            </w:pPr>
            <w:r/>
            <w:r>
              <w:rPr>
                <w:sz w:val="17"/>
              </w:rPr>
              <w:t>2014</w:t>
            </w:r>
          </w:p>
        </w:tc>
        <w:tc>
          <w:tcPr>
            <w:tcW w:type="dxa" w:w="1814"/>
          </w:tcPr>
          <w:p>
            <w:pPr>
              <w:jc w:val="center"/>
            </w:pPr>
            <w:r/>
            <w:r>
              <w:rPr>
                <w:sz w:val="17"/>
              </w:rPr>
              <w:t>409.087</w:t>
            </w:r>
          </w:p>
        </w:tc>
        <w:tc>
          <w:tcPr>
            <w:tcW w:type="dxa" w:w="1928"/>
          </w:tcPr>
          <w:p>
            <w:pPr>
              <w:jc w:val="center"/>
            </w:pPr>
            <w:r/>
            <w:r>
              <w:rPr>
                <w:sz w:val="17"/>
              </w:rPr>
              <w:t>100,0</w:t>
            </w:r>
          </w:p>
        </w:tc>
        <w:tc>
          <w:tcPr>
            <w:tcW w:type="dxa" w:w="1928"/>
          </w:tcPr>
          <w:p>
            <w:pPr>
              <w:jc w:val="center"/>
            </w:pPr>
            <w:r/>
            <w:r>
              <w:rPr>
                <w:sz w:val="17"/>
              </w:rPr>
              <w:t>100,0</w:t>
            </w:r>
          </w:p>
        </w:tc>
        <w:tc>
          <w:tcPr>
            <w:tcW w:type="dxa" w:w="1928"/>
          </w:tcPr>
          <w:p>
            <w:pPr>
              <w:jc w:val="center"/>
            </w:pPr>
            <w:r/>
            <w:r>
              <w:rPr>
                <w:sz w:val="17"/>
              </w:rPr>
              <w:t>100,0</w:t>
            </w:r>
          </w:p>
        </w:tc>
      </w:tr>
      <w:tr>
        <w:tc>
          <w:tcPr>
            <w:tcW w:type="dxa" w:w="1474"/>
          </w:tcPr>
          <w:p>
            <w:pPr>
              <w:jc w:val="left"/>
            </w:pPr>
            <w:r/>
            <w:r>
              <w:rPr>
                <w:sz w:val="17"/>
              </w:rPr>
              <w:t>2015</w:t>
            </w:r>
          </w:p>
        </w:tc>
        <w:tc>
          <w:tcPr>
            <w:tcW w:type="dxa" w:w="1814"/>
          </w:tcPr>
          <w:p>
            <w:pPr>
              <w:jc w:val="center"/>
            </w:pPr>
            <w:r/>
            <w:r>
              <w:rPr>
                <w:sz w:val="17"/>
              </w:rPr>
              <w:t>434.607</w:t>
            </w:r>
          </w:p>
        </w:tc>
        <w:tc>
          <w:tcPr>
            <w:tcW w:type="dxa" w:w="1928"/>
          </w:tcPr>
          <w:p>
            <w:pPr>
              <w:jc w:val="center"/>
            </w:pPr>
            <w:r/>
            <w:r>
              <w:rPr>
                <w:sz w:val="17"/>
              </w:rPr>
              <w:t>99,9</w:t>
            </w:r>
          </w:p>
        </w:tc>
        <w:tc>
          <w:tcPr>
            <w:tcW w:type="dxa" w:w="1928"/>
          </w:tcPr>
          <w:p>
            <w:pPr>
              <w:jc w:val="center"/>
            </w:pPr>
            <w:r/>
            <w:r>
              <w:rPr>
                <w:sz w:val="17"/>
              </w:rPr>
              <w:t>99,9</w:t>
            </w:r>
          </w:p>
        </w:tc>
        <w:tc>
          <w:tcPr>
            <w:tcW w:type="dxa" w:w="1928"/>
          </w:tcPr>
          <w:p>
            <w:pPr>
              <w:jc w:val="center"/>
            </w:pPr>
            <w:r/>
            <w:r>
              <w:rPr>
                <w:sz w:val="17"/>
              </w:rPr>
              <w:t>99,9</w:t>
            </w:r>
          </w:p>
        </w:tc>
      </w:tr>
      <w:tr>
        <w:tc>
          <w:tcPr>
            <w:tcW w:type="dxa" w:w="1474"/>
          </w:tcPr>
          <w:p>
            <w:pPr>
              <w:jc w:val="left"/>
            </w:pPr>
            <w:r/>
            <w:r>
              <w:rPr>
                <w:sz w:val="17"/>
              </w:rPr>
              <w:t>2016</w:t>
            </w:r>
          </w:p>
        </w:tc>
        <w:tc>
          <w:tcPr>
            <w:tcW w:type="dxa" w:w="1814"/>
          </w:tcPr>
          <w:p>
            <w:pPr>
              <w:jc w:val="center"/>
            </w:pPr>
            <w:r/>
            <w:r>
              <w:rPr>
                <w:sz w:val="17"/>
              </w:rPr>
              <w:t>457.944</w:t>
            </w:r>
          </w:p>
        </w:tc>
        <w:tc>
          <w:tcPr>
            <w:tcW w:type="dxa" w:w="1928"/>
          </w:tcPr>
          <w:p>
            <w:pPr>
              <w:jc w:val="center"/>
            </w:pPr>
            <w:r/>
            <w:r>
              <w:rPr>
                <w:sz w:val="17"/>
              </w:rPr>
              <w:t>34,8</w:t>
            </w:r>
          </w:p>
        </w:tc>
        <w:tc>
          <w:tcPr>
            <w:tcW w:type="dxa" w:w="1928"/>
          </w:tcPr>
          <w:p>
            <w:pPr>
              <w:jc w:val="center"/>
            </w:pPr>
            <w:r/>
            <w:r>
              <w:rPr>
                <w:sz w:val="17"/>
              </w:rPr>
              <w:t>39,1</w:t>
            </w:r>
          </w:p>
        </w:tc>
        <w:tc>
          <w:tcPr>
            <w:tcW w:type="dxa" w:w="1928"/>
          </w:tcPr>
          <w:p>
            <w:pPr>
              <w:jc w:val="center"/>
            </w:pPr>
            <w:r/>
            <w:r>
              <w:rPr>
                <w:sz w:val="17"/>
              </w:rPr>
              <w:t>25,6</w:t>
            </w:r>
          </w:p>
        </w:tc>
      </w:tr>
      <w:tr>
        <w:tc>
          <w:tcPr>
            <w:tcW w:type="dxa" w:w="1474"/>
          </w:tcPr>
          <w:p>
            <w:pPr>
              <w:jc w:val="left"/>
            </w:pPr>
            <w:r/>
            <w:r>
              <w:rPr>
                <w:sz w:val="17"/>
              </w:rPr>
              <w:t>2017</w:t>
            </w:r>
          </w:p>
        </w:tc>
        <w:tc>
          <w:tcPr>
            <w:tcW w:type="dxa" w:w="1814"/>
          </w:tcPr>
          <w:p>
            <w:pPr>
              <w:jc w:val="center"/>
            </w:pPr>
            <w:r/>
            <w:r>
              <w:rPr>
                <w:sz w:val="17"/>
              </w:rPr>
              <w:t>464.544</w:t>
            </w:r>
          </w:p>
        </w:tc>
        <w:tc>
          <w:tcPr>
            <w:tcW w:type="dxa" w:w="1928"/>
          </w:tcPr>
          <w:p>
            <w:pPr>
              <w:jc w:val="center"/>
            </w:pPr>
            <w:r/>
            <w:r>
              <w:rPr>
                <w:sz w:val="17"/>
              </w:rPr>
              <w:t>21,2</w:t>
            </w:r>
          </w:p>
        </w:tc>
        <w:tc>
          <w:tcPr>
            <w:tcW w:type="dxa" w:w="1928"/>
          </w:tcPr>
          <w:p>
            <w:pPr>
              <w:jc w:val="center"/>
            </w:pPr>
            <w:r/>
            <w:r>
              <w:rPr>
                <w:sz w:val="17"/>
              </w:rPr>
              <w:t>24,1</w:t>
            </w:r>
          </w:p>
        </w:tc>
        <w:tc>
          <w:tcPr>
            <w:tcW w:type="dxa" w:w="1928"/>
          </w:tcPr>
          <w:p>
            <w:pPr>
              <w:jc w:val="center"/>
            </w:pPr>
            <w:r/>
            <w:r>
              <w:rPr>
                <w:sz w:val="17"/>
              </w:rPr>
              <w:t>10,1</w:t>
            </w:r>
          </w:p>
        </w:tc>
      </w:tr>
      <w:tr>
        <w:tc>
          <w:tcPr>
            <w:tcW w:type="dxa" w:w="1474"/>
          </w:tcPr>
          <w:p>
            <w:pPr>
              <w:jc w:val="left"/>
            </w:pPr>
            <w:r/>
            <w:r>
              <w:rPr>
                <w:sz w:val="17"/>
              </w:rPr>
              <w:t>2025</w:t>
            </w:r>
          </w:p>
        </w:tc>
        <w:tc>
          <w:tcPr>
            <w:tcW w:type="dxa" w:w="1814"/>
          </w:tcPr>
          <w:p>
            <w:pPr>
              <w:jc w:val="center"/>
            </w:pPr>
            <w:r/>
            <w:r>
              <w:rPr>
                <w:sz w:val="17"/>
              </w:rPr>
              <w:t>170.015</w:t>
            </w:r>
          </w:p>
        </w:tc>
        <w:tc>
          <w:tcPr>
            <w:tcW w:type="dxa" w:w="1928"/>
          </w:tcPr>
          <w:p>
            <w:pPr>
              <w:jc w:val="center"/>
            </w:pPr>
            <w:r/>
            <w:r>
              <w:rPr>
                <w:sz w:val="17"/>
              </w:rPr>
              <w:t>35,1</w:t>
            </w:r>
          </w:p>
        </w:tc>
        <w:tc>
          <w:tcPr>
            <w:tcW w:type="dxa" w:w="1928"/>
          </w:tcPr>
          <w:p>
            <w:pPr>
              <w:jc w:val="center"/>
            </w:pPr>
            <w:r/>
            <w:r>
              <w:rPr>
                <w:sz w:val="17"/>
              </w:rPr>
              <w:t>40,0</w:t>
            </w:r>
          </w:p>
        </w:tc>
        <w:tc>
          <w:tcPr>
            <w:tcW w:type="dxa" w:w="1928"/>
          </w:tcPr>
          <w:p>
            <w:pPr>
              <w:jc w:val="center"/>
            </w:pPr>
            <w:r/>
            <w:r>
              <w:rPr>
                <w:sz w:val="17"/>
              </w:rPr>
              <w:t>20,4</w:t>
            </w:r>
          </w:p>
        </w:tc>
      </w:tr>
    </w:tbl>
    <w:p>
      <w:pPr>
        <w:spacing w:after="0" w:before="0"/>
      </w:pPr>
      <w:r>
        <w:rPr>
          <w:sz w:val="8"/>
        </w:rPr>
      </w:r>
    </w:p>
    <w:p>
      <w:r>
        <w:rPr>
          <w:b w:val="0"/>
          <w:i w:val="0"/>
          <w:sz w:val="22"/>
        </w:rPr>
        <w:t>Este elemento constituye, a juicio del equipo consultor, uno de los hallazgos metodológicamente más relevantes de la exploración. La ausencia de datos no se distribuye de manera aleatoria ni se degrada progresivamente: cae de forma abrupta del 99,9% al 34,8% entre 2015 y 2016. Los atributos correspondientes al conductor y al vehículo sencillamente no se capturaban antes de 2016.</w:t>
      </w:r>
    </w:p>
    <w:p>
      <w:r>
        <w:rPr>
          <w:b w:val="0"/>
          <w:i/>
          <w:sz w:val="22"/>
        </w:rPr>
        <w:t>La consecuencia práctica es directa. Imputar esos valores equivaldría a fabricar información para más de 1,4 millones de registros en los que nunca se recogió dato alguno. El tratamiento correcto consiste en restringir la ventana temporal de análisis a partir de 2016 para toda variable relativa al conductor.</w:t>
      </w:r>
    </w:p>
    <w:p>
      <w:pPr>
        <w:pStyle w:val="Heading2"/>
        <w:keepNext/>
        <w:spacing w:before="240"/>
      </w:pPr>
      <w:r>
        <w:t>Elemento 11. Pobreza por distrito</w:t>
      </w:r>
    </w:p>
    <w:p>
      <w:pPr>
        <w:keepNext/>
        <w:spacing w:before="80" w:after="40"/>
        <w:jc w:val="center"/>
      </w:pPr>
      <w:r>
        <w:drawing>
          <wp:inline xmlns:a="http://schemas.openxmlformats.org/drawingml/2006/main" xmlns:pic="http://schemas.openxmlformats.org/drawingml/2006/picture">
            <wp:extent cx="4140000" cy="1860674"/>
            <wp:docPr id="11" name="Picture 11"/>
            <wp:cNvGraphicFramePr>
              <a:graphicFrameLocks noChangeAspect="1"/>
            </wp:cNvGraphicFramePr>
            <a:graphic>
              <a:graphicData uri="http://schemas.openxmlformats.org/drawingml/2006/picture">
                <pic:pic>
                  <pic:nvPicPr>
                    <pic:cNvPr id="0" name="11_pobreza.png"/>
                    <pic:cNvPicPr/>
                  </pic:nvPicPr>
                  <pic:blipFill>
                    <a:blip r:embed="rId30"/>
                    <a:stretch>
                      <a:fillRect/>
                    </a:stretch>
                  </pic:blipFill>
                  <pic:spPr>
                    <a:xfrm>
                      <a:off x="0" y="0"/>
                      <a:ext cx="4140000" cy="1860674"/>
                    </a:xfrm>
                    <a:prstGeom prst="rect"/>
                  </pic:spPr>
                </pic:pic>
              </a:graphicData>
            </a:graphic>
          </wp:inline>
        </w:drawing>
      </w:r>
    </w:p>
    <w:p>
      <w:pPr>
        <w:spacing w:after="160"/>
        <w:jc w:val="center"/>
      </w:pPr>
      <w:r>
        <w:rPr>
          <w:i/>
          <w:color w:val="404040"/>
          <w:sz w:val="17"/>
        </w:rPr>
        <w:t>Figura 11. Tasa de pobreza por distrito: estimación del ACS para 2023 frente a la medida NYCgov de 2018.</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69"/>
            <w:shd w:fill="DCE6F1"/>
          </w:tcPr>
          <w:p>
            <w:pPr>
              <w:jc w:val="center"/>
            </w:pPr>
            <w:r/>
            <w:r>
              <w:rPr>
                <w:b/>
                <w:sz w:val="17"/>
              </w:rPr>
              <w:t>Distrito</w:t>
            </w:r>
          </w:p>
        </w:tc>
        <w:tc>
          <w:tcPr>
            <w:tcW w:type="dxa" w:w="1869"/>
            <w:shd w:fill="DCE6F1"/>
          </w:tcPr>
          <w:p>
            <w:pPr>
              <w:jc w:val="center"/>
            </w:pPr>
            <w:r/>
            <w:r>
              <w:rPr>
                <w:b/>
                <w:sz w:val="17"/>
              </w:rPr>
              <w:t>Universo 2023</w:t>
            </w:r>
          </w:p>
        </w:tc>
        <w:tc>
          <w:tcPr>
            <w:tcW w:type="dxa" w:w="1869"/>
            <w:shd w:fill="DCE6F1"/>
          </w:tcPr>
          <w:p>
            <w:pPr>
              <w:jc w:val="center"/>
            </w:pPr>
            <w:r/>
            <w:r>
              <w:rPr>
                <w:b/>
                <w:sz w:val="17"/>
              </w:rPr>
              <w:t>En pobreza 2023</w:t>
            </w:r>
          </w:p>
        </w:tc>
        <w:tc>
          <w:tcPr>
            <w:tcW w:type="dxa" w:w="1594"/>
            <w:shd w:fill="DCE6F1"/>
          </w:tcPr>
          <w:p>
            <w:pPr>
              <w:jc w:val="center"/>
            </w:pPr>
            <w:r/>
            <w:r>
              <w:rPr>
                <w:b/>
                <w:sz w:val="17"/>
              </w:rPr>
              <w:t>Tasa 2023</w:t>
            </w:r>
          </w:p>
        </w:tc>
        <w:tc>
          <w:tcPr>
            <w:tcW w:type="dxa" w:w="1869"/>
            <w:shd w:fill="DCE6F1"/>
          </w:tcPr>
          <w:p>
            <w:pPr>
              <w:jc w:val="center"/>
            </w:pPr>
            <w:r/>
            <w:r>
              <w:rPr>
                <w:b/>
                <w:sz w:val="17"/>
              </w:rPr>
              <w:t>Tasa 2018 (NYCgov)</w:t>
            </w:r>
          </w:p>
        </w:tc>
      </w:tr>
      <w:tr>
        <w:tc>
          <w:tcPr>
            <w:tcW w:type="dxa" w:w="1869"/>
          </w:tcPr>
          <w:p>
            <w:pPr>
              <w:jc w:val="left"/>
            </w:pPr>
            <w:r/>
            <w:r>
              <w:rPr>
                <w:sz w:val="17"/>
              </w:rPr>
              <w:t>Bronx</w:t>
            </w:r>
          </w:p>
        </w:tc>
        <w:tc>
          <w:tcPr>
            <w:tcW w:type="dxa" w:w="1869"/>
          </w:tcPr>
          <w:p>
            <w:pPr>
              <w:jc w:val="center"/>
            </w:pPr>
            <w:r/>
            <w:r>
              <w:rPr>
                <w:sz w:val="17"/>
              </w:rPr>
              <w:t>1.322.073</w:t>
            </w:r>
          </w:p>
        </w:tc>
        <w:tc>
          <w:tcPr>
            <w:tcW w:type="dxa" w:w="1869"/>
          </w:tcPr>
          <w:p>
            <w:pPr>
              <w:jc w:val="center"/>
            </w:pPr>
            <w:r/>
            <w:r>
              <w:rPr>
                <w:sz w:val="17"/>
              </w:rPr>
              <w:t>365.818</w:t>
            </w:r>
          </w:p>
        </w:tc>
        <w:tc>
          <w:tcPr>
            <w:tcW w:type="dxa" w:w="1594"/>
          </w:tcPr>
          <w:p>
            <w:pPr>
              <w:jc w:val="center"/>
            </w:pPr>
            <w:r/>
            <w:r>
              <w:rPr>
                <w:sz w:val="17"/>
              </w:rPr>
              <w:t>27,67%</w:t>
            </w:r>
          </w:p>
        </w:tc>
        <w:tc>
          <w:tcPr>
            <w:tcW w:type="dxa" w:w="1869"/>
          </w:tcPr>
          <w:p>
            <w:pPr>
              <w:jc w:val="center"/>
            </w:pPr>
            <w:r/>
            <w:r>
              <w:rPr>
                <w:sz w:val="17"/>
              </w:rPr>
              <w:t>27,10%</w:t>
            </w:r>
          </w:p>
        </w:tc>
      </w:tr>
      <w:tr>
        <w:tc>
          <w:tcPr>
            <w:tcW w:type="dxa" w:w="1869"/>
          </w:tcPr>
          <w:p>
            <w:pPr>
              <w:jc w:val="left"/>
            </w:pPr>
            <w:r/>
            <w:r>
              <w:rPr>
                <w:sz w:val="17"/>
              </w:rPr>
              <w:t>Brooklyn</w:t>
            </w:r>
          </w:p>
        </w:tc>
        <w:tc>
          <w:tcPr>
            <w:tcW w:type="dxa" w:w="1869"/>
          </w:tcPr>
          <w:p>
            <w:pPr>
              <w:jc w:val="center"/>
            </w:pPr>
            <w:r/>
            <w:r>
              <w:rPr>
                <w:sz w:val="17"/>
              </w:rPr>
              <w:t>2.532.309</w:t>
            </w:r>
          </w:p>
        </w:tc>
        <w:tc>
          <w:tcPr>
            <w:tcW w:type="dxa" w:w="1869"/>
          </w:tcPr>
          <w:p>
            <w:pPr>
              <w:jc w:val="center"/>
            </w:pPr>
            <w:r/>
            <w:r>
              <w:rPr>
                <w:sz w:val="17"/>
              </w:rPr>
              <w:t>476.995</w:t>
            </w:r>
          </w:p>
        </w:tc>
        <w:tc>
          <w:tcPr>
            <w:tcW w:type="dxa" w:w="1594"/>
          </w:tcPr>
          <w:p>
            <w:pPr>
              <w:jc w:val="center"/>
            </w:pPr>
            <w:r/>
            <w:r>
              <w:rPr>
                <w:sz w:val="17"/>
              </w:rPr>
              <w:t>18,84%</w:t>
            </w:r>
          </w:p>
        </w:tc>
        <w:tc>
          <w:tcPr>
            <w:tcW w:type="dxa" w:w="1869"/>
          </w:tcPr>
          <w:p>
            <w:pPr>
              <w:jc w:val="center"/>
            </w:pPr>
            <w:r/>
            <w:r>
              <w:rPr>
                <w:sz w:val="17"/>
              </w:rPr>
              <w:t>20,31%</w:t>
            </w:r>
          </w:p>
        </w:tc>
      </w:tr>
      <w:tr>
        <w:tc>
          <w:tcPr>
            <w:tcW w:type="dxa" w:w="1869"/>
          </w:tcPr>
          <w:p>
            <w:pPr>
              <w:jc w:val="left"/>
            </w:pPr>
            <w:r/>
            <w:r>
              <w:rPr>
                <w:sz w:val="17"/>
              </w:rPr>
              <w:t>Manhattan</w:t>
            </w:r>
          </w:p>
        </w:tc>
        <w:tc>
          <w:tcPr>
            <w:tcW w:type="dxa" w:w="1869"/>
          </w:tcPr>
          <w:p>
            <w:pPr>
              <w:jc w:val="center"/>
            </w:pPr>
            <w:r/>
            <w:r>
              <w:rPr>
                <w:sz w:val="17"/>
              </w:rPr>
              <w:t>1.541.691</w:t>
            </w:r>
          </w:p>
        </w:tc>
        <w:tc>
          <w:tcPr>
            <w:tcW w:type="dxa" w:w="1869"/>
          </w:tcPr>
          <w:p>
            <w:pPr>
              <w:jc w:val="center"/>
            </w:pPr>
            <w:r/>
            <w:r>
              <w:rPr>
                <w:sz w:val="17"/>
              </w:rPr>
              <w:t>247.200</w:t>
            </w:r>
          </w:p>
        </w:tc>
        <w:tc>
          <w:tcPr>
            <w:tcW w:type="dxa" w:w="1594"/>
          </w:tcPr>
          <w:p>
            <w:pPr>
              <w:jc w:val="center"/>
            </w:pPr>
            <w:r/>
            <w:r>
              <w:rPr>
                <w:sz w:val="17"/>
              </w:rPr>
              <w:t>16,03%</w:t>
            </w:r>
          </w:p>
        </w:tc>
        <w:tc>
          <w:tcPr>
            <w:tcW w:type="dxa" w:w="1869"/>
          </w:tcPr>
          <w:p>
            <w:pPr>
              <w:jc w:val="center"/>
            </w:pPr>
            <w:r/>
            <w:r>
              <w:rPr>
                <w:sz w:val="17"/>
              </w:rPr>
              <w:t>15,06%</w:t>
            </w:r>
          </w:p>
        </w:tc>
      </w:tr>
      <w:tr>
        <w:tc>
          <w:tcPr>
            <w:tcW w:type="dxa" w:w="1869"/>
          </w:tcPr>
          <w:p>
            <w:pPr>
              <w:jc w:val="left"/>
            </w:pPr>
            <w:r/>
            <w:r>
              <w:rPr>
                <w:sz w:val="17"/>
              </w:rPr>
              <w:t>Queens</w:t>
            </w:r>
          </w:p>
        </w:tc>
        <w:tc>
          <w:tcPr>
            <w:tcW w:type="dxa" w:w="1869"/>
          </w:tcPr>
          <w:p>
            <w:pPr>
              <w:jc w:val="center"/>
            </w:pPr>
            <w:r/>
            <w:r>
              <w:rPr>
                <w:sz w:val="17"/>
              </w:rPr>
              <w:t>2.223.873</w:t>
            </w:r>
          </w:p>
        </w:tc>
        <w:tc>
          <w:tcPr>
            <w:tcW w:type="dxa" w:w="1869"/>
          </w:tcPr>
          <w:p>
            <w:pPr>
              <w:jc w:val="center"/>
            </w:pPr>
            <w:r/>
            <w:r>
              <w:rPr>
                <w:sz w:val="17"/>
              </w:rPr>
              <w:t>307.577</w:t>
            </w:r>
          </w:p>
        </w:tc>
        <w:tc>
          <w:tcPr>
            <w:tcW w:type="dxa" w:w="1594"/>
          </w:tcPr>
          <w:p>
            <w:pPr>
              <w:jc w:val="center"/>
            </w:pPr>
            <w:r/>
            <w:r>
              <w:rPr>
                <w:sz w:val="17"/>
              </w:rPr>
              <w:t>13,83%</w:t>
            </w:r>
          </w:p>
        </w:tc>
        <w:tc>
          <w:tcPr>
            <w:tcW w:type="dxa" w:w="1869"/>
          </w:tcPr>
          <w:p>
            <w:pPr>
              <w:jc w:val="center"/>
            </w:pPr>
            <w:r/>
            <w:r>
              <w:rPr>
                <w:sz w:val="17"/>
              </w:rPr>
              <w:t>17,02%</w:t>
            </w:r>
          </w:p>
        </w:tc>
      </w:tr>
      <w:tr>
        <w:tc>
          <w:tcPr>
            <w:tcW w:type="dxa" w:w="1869"/>
          </w:tcPr>
          <w:p>
            <w:pPr>
              <w:jc w:val="left"/>
            </w:pPr>
            <w:r/>
            <w:r>
              <w:rPr>
                <w:sz w:val="17"/>
              </w:rPr>
              <w:t>Staten Island</w:t>
            </w:r>
          </w:p>
        </w:tc>
        <w:tc>
          <w:tcPr>
            <w:tcW w:type="dxa" w:w="1869"/>
          </w:tcPr>
          <w:p>
            <w:pPr>
              <w:jc w:val="center"/>
            </w:pPr>
            <w:r/>
            <w:r>
              <w:rPr>
                <w:sz w:val="17"/>
              </w:rPr>
              <w:t>485.385</w:t>
            </w:r>
          </w:p>
        </w:tc>
        <w:tc>
          <w:tcPr>
            <w:tcW w:type="dxa" w:w="1869"/>
          </w:tcPr>
          <w:p>
            <w:pPr>
              <w:jc w:val="center"/>
            </w:pPr>
            <w:r/>
            <w:r>
              <w:rPr>
                <w:sz w:val="17"/>
              </w:rPr>
              <w:t>61.634</w:t>
            </w:r>
          </w:p>
        </w:tc>
        <w:tc>
          <w:tcPr>
            <w:tcW w:type="dxa" w:w="1594"/>
          </w:tcPr>
          <w:p>
            <w:pPr>
              <w:jc w:val="center"/>
            </w:pPr>
            <w:r/>
            <w:r>
              <w:rPr>
                <w:sz w:val="17"/>
              </w:rPr>
              <w:t>12,70%</w:t>
            </w:r>
          </w:p>
        </w:tc>
        <w:tc>
          <w:tcPr>
            <w:tcW w:type="dxa" w:w="1869"/>
          </w:tcPr>
          <w:p>
            <w:pPr>
              <w:jc w:val="center"/>
            </w:pPr>
            <w:r/>
            <w:r>
              <w:rPr>
                <w:sz w:val="17"/>
              </w:rPr>
              <w:t>16,00%</w:t>
            </w:r>
          </w:p>
        </w:tc>
      </w:tr>
    </w:tbl>
    <w:p>
      <w:pPr>
        <w:spacing w:after="0" w:before="0"/>
      </w:pPr>
      <w:r>
        <w:rPr>
          <w:sz w:val="8"/>
        </w:rPr>
      </w:r>
    </w:p>
    <w:p>
      <w:r>
        <w:rPr>
          <w:b w:val="0"/>
          <w:i w:val="0"/>
          <w:sz w:val="22"/>
        </w:rPr>
        <w:t>La tasa obtenida para el conjunto de la ciudad en 2023, 18,00%, coincide con la cifra de 18,2% publicada para ese año, lo que valida la identificación de los códigos geográficos y la aplicación de los factores de expansión. El Bronx mantiene la primera posición en ambas mediciones, con una diferencia de casi quince puntos porcentuales frente a Staten Island.</w:t>
      </w:r>
    </w:p>
    <w:p>
      <w:r>
        <w:rPr>
          <w:b w:val="0"/>
          <w:i/>
          <w:sz w:val="22"/>
        </w:rPr>
        <w:t>La comparación entre columnas debe interpretarse con cautela: la medida NYCgov ajusta por costo de vida, impuestos y transferencias, mientras que la del ACS emplea el umbral federal. Las diferencias observadas en Queens y Staten Island responden en parte a esa distinción metodológica y no necesariamente a una mejora real.</w:t>
      </w:r>
    </w:p>
    <w:p>
      <w:pPr>
        <w:pStyle w:val="Heading2"/>
        <w:keepNext/>
        <w:spacing w:before="240"/>
      </w:pPr>
      <w:r>
        <w:t>Elemento 12. Desempeño educativo por distrito</w:t>
      </w:r>
    </w:p>
    <w:p>
      <w:pPr>
        <w:keepNext/>
        <w:spacing w:before="80" w:after="40"/>
        <w:jc w:val="center"/>
      </w:pPr>
      <w:r>
        <w:drawing>
          <wp:inline xmlns:a="http://schemas.openxmlformats.org/drawingml/2006/main" xmlns:pic="http://schemas.openxmlformats.org/drawingml/2006/picture">
            <wp:extent cx="4140000" cy="1840000"/>
            <wp:docPr id="12" name="Picture 12"/>
            <wp:cNvGraphicFramePr>
              <a:graphicFrameLocks noChangeAspect="1"/>
            </wp:cNvGraphicFramePr>
            <a:graphic>
              <a:graphicData uri="http://schemas.openxmlformats.org/drawingml/2006/picture">
                <pic:pic>
                  <pic:nvPicPr>
                    <pic:cNvPr id="0" name="12_graduacion.png"/>
                    <pic:cNvPicPr/>
                  </pic:nvPicPr>
                  <pic:blipFill>
                    <a:blip r:embed="rId31"/>
                    <a:stretch>
                      <a:fillRect/>
                    </a:stretch>
                  </pic:blipFill>
                  <pic:spPr>
                    <a:xfrm>
                      <a:off x="0" y="0"/>
                      <a:ext cx="4140000" cy="1840000"/>
                    </a:xfrm>
                    <a:prstGeom prst="rect"/>
                  </pic:spPr>
                </pic:pic>
              </a:graphicData>
            </a:graphic>
          </wp:inline>
        </w:drawing>
      </w:r>
    </w:p>
    <w:p>
      <w:pPr>
        <w:spacing w:after="160"/>
        <w:jc w:val="center"/>
      </w:pPr>
      <w:r>
        <w:rPr>
          <w:i/>
          <w:color w:val="404040"/>
          <w:sz w:val="17"/>
        </w:rPr>
        <w:t>Figura 12. Tasa de graduación a cuatro años de la clase de 2023.</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268"/>
            <w:shd w:fill="DCE6F1"/>
          </w:tcPr>
          <w:p>
            <w:pPr>
              <w:jc w:val="center"/>
            </w:pPr>
            <w:r/>
            <w:r>
              <w:rPr>
                <w:b/>
                <w:sz w:val="17"/>
              </w:rPr>
              <w:t>Distrito</w:t>
            </w:r>
          </w:p>
        </w:tc>
        <w:tc>
          <w:tcPr>
            <w:tcW w:type="dxa" w:w="2041"/>
            <w:shd w:fill="DCE6F1"/>
          </w:tcPr>
          <w:p>
            <w:pPr>
              <w:jc w:val="center"/>
            </w:pPr>
            <w:r/>
            <w:r>
              <w:rPr>
                <w:b/>
                <w:sz w:val="17"/>
              </w:rPr>
              <w:t>Cohorte</w:t>
            </w:r>
          </w:p>
        </w:tc>
        <w:tc>
          <w:tcPr>
            <w:tcW w:type="dxa" w:w="2268"/>
            <w:shd w:fill="DCE6F1"/>
          </w:tcPr>
          <w:p>
            <w:pPr>
              <w:jc w:val="center"/>
            </w:pPr>
            <w:r/>
            <w:r>
              <w:rPr>
                <w:b/>
                <w:sz w:val="17"/>
              </w:rPr>
              <w:t>Graduados</w:t>
            </w:r>
          </w:p>
        </w:tc>
        <w:tc>
          <w:tcPr>
            <w:tcW w:type="dxa" w:w="2494"/>
            <w:shd w:fill="DCE6F1"/>
          </w:tcPr>
          <w:p>
            <w:pPr>
              <w:jc w:val="center"/>
            </w:pPr>
            <w:r/>
            <w:r>
              <w:rPr>
                <w:b/>
                <w:sz w:val="17"/>
              </w:rPr>
              <w:t>Tasa de graduación</w:t>
            </w:r>
          </w:p>
        </w:tc>
      </w:tr>
      <w:tr>
        <w:tc>
          <w:tcPr>
            <w:tcW w:type="dxa" w:w="2268"/>
          </w:tcPr>
          <w:p>
            <w:pPr>
              <w:jc w:val="left"/>
            </w:pPr>
            <w:r/>
            <w:r>
              <w:rPr>
                <w:sz w:val="17"/>
              </w:rPr>
              <w:t>Staten Island</w:t>
            </w:r>
          </w:p>
        </w:tc>
        <w:tc>
          <w:tcPr>
            <w:tcW w:type="dxa" w:w="2041"/>
          </w:tcPr>
          <w:p>
            <w:pPr>
              <w:jc w:val="center"/>
            </w:pPr>
            <w:r/>
            <w:r>
              <w:rPr>
                <w:sz w:val="17"/>
              </w:rPr>
              <w:t>4.583</w:t>
            </w:r>
          </w:p>
        </w:tc>
        <w:tc>
          <w:tcPr>
            <w:tcW w:type="dxa" w:w="2268"/>
          </w:tcPr>
          <w:p>
            <w:pPr>
              <w:jc w:val="center"/>
            </w:pPr>
            <w:r/>
            <w:r>
              <w:rPr>
                <w:sz w:val="17"/>
              </w:rPr>
              <w:t>3.900</w:t>
            </w:r>
          </w:p>
        </w:tc>
        <w:tc>
          <w:tcPr>
            <w:tcW w:type="dxa" w:w="2494"/>
          </w:tcPr>
          <w:p>
            <w:pPr>
              <w:jc w:val="center"/>
            </w:pPr>
            <w:r/>
            <w:r>
              <w:rPr>
                <w:sz w:val="17"/>
              </w:rPr>
              <w:t>85,1%</w:t>
            </w:r>
          </w:p>
        </w:tc>
      </w:tr>
      <w:tr>
        <w:tc>
          <w:tcPr>
            <w:tcW w:type="dxa" w:w="2268"/>
          </w:tcPr>
          <w:p>
            <w:pPr>
              <w:jc w:val="left"/>
            </w:pPr>
            <w:r/>
            <w:r>
              <w:rPr>
                <w:sz w:val="17"/>
              </w:rPr>
              <w:t>Queens</w:t>
            </w:r>
          </w:p>
        </w:tc>
        <w:tc>
          <w:tcPr>
            <w:tcW w:type="dxa" w:w="2041"/>
          </w:tcPr>
          <w:p>
            <w:pPr>
              <w:jc w:val="center"/>
            </w:pPr>
            <w:r/>
            <w:r>
              <w:rPr>
                <w:sz w:val="17"/>
              </w:rPr>
              <w:t>18.712</w:t>
            </w:r>
          </w:p>
        </w:tc>
        <w:tc>
          <w:tcPr>
            <w:tcW w:type="dxa" w:w="2268"/>
          </w:tcPr>
          <w:p>
            <w:pPr>
              <w:jc w:val="center"/>
            </w:pPr>
            <w:r/>
            <w:r>
              <w:rPr>
                <w:sz w:val="17"/>
              </w:rPr>
              <w:t>15.727</w:t>
            </w:r>
          </w:p>
        </w:tc>
        <w:tc>
          <w:tcPr>
            <w:tcW w:type="dxa" w:w="2494"/>
          </w:tcPr>
          <w:p>
            <w:pPr>
              <w:jc w:val="center"/>
            </w:pPr>
            <w:r/>
            <w:r>
              <w:rPr>
                <w:sz w:val="17"/>
              </w:rPr>
              <w:t>84,0%</w:t>
            </w:r>
          </w:p>
        </w:tc>
      </w:tr>
      <w:tr>
        <w:tc>
          <w:tcPr>
            <w:tcW w:type="dxa" w:w="2268"/>
          </w:tcPr>
          <w:p>
            <w:pPr>
              <w:jc w:val="left"/>
            </w:pPr>
            <w:r/>
            <w:r>
              <w:rPr>
                <w:sz w:val="17"/>
              </w:rPr>
              <w:t>Manhattan</w:t>
            </w:r>
          </w:p>
        </w:tc>
        <w:tc>
          <w:tcPr>
            <w:tcW w:type="dxa" w:w="2041"/>
          </w:tcPr>
          <w:p>
            <w:pPr>
              <w:jc w:val="center"/>
            </w:pPr>
            <w:r/>
            <w:r>
              <w:rPr>
                <w:sz w:val="17"/>
              </w:rPr>
              <w:t>14.660</w:t>
            </w:r>
          </w:p>
        </w:tc>
        <w:tc>
          <w:tcPr>
            <w:tcW w:type="dxa" w:w="2268"/>
          </w:tcPr>
          <w:p>
            <w:pPr>
              <w:jc w:val="center"/>
            </w:pPr>
            <w:r/>
            <w:r>
              <w:rPr>
                <w:sz w:val="17"/>
              </w:rPr>
              <w:t>11.888</w:t>
            </w:r>
          </w:p>
        </w:tc>
        <w:tc>
          <w:tcPr>
            <w:tcW w:type="dxa" w:w="2494"/>
          </w:tcPr>
          <w:p>
            <w:pPr>
              <w:jc w:val="center"/>
            </w:pPr>
            <w:r/>
            <w:r>
              <w:rPr>
                <w:sz w:val="17"/>
              </w:rPr>
              <w:t>81,1%</w:t>
            </w:r>
          </w:p>
        </w:tc>
      </w:tr>
      <w:tr>
        <w:tc>
          <w:tcPr>
            <w:tcW w:type="dxa" w:w="2268"/>
          </w:tcPr>
          <w:p>
            <w:pPr>
              <w:jc w:val="left"/>
            </w:pPr>
            <w:r/>
            <w:r>
              <w:rPr>
                <w:sz w:val="17"/>
              </w:rPr>
              <w:t>Brooklyn</w:t>
            </w:r>
          </w:p>
        </w:tc>
        <w:tc>
          <w:tcPr>
            <w:tcW w:type="dxa" w:w="2041"/>
          </w:tcPr>
          <w:p>
            <w:pPr>
              <w:jc w:val="center"/>
            </w:pPr>
            <w:r/>
            <w:r>
              <w:rPr>
                <w:sz w:val="17"/>
              </w:rPr>
              <w:t>19.682</w:t>
            </w:r>
          </w:p>
        </w:tc>
        <w:tc>
          <w:tcPr>
            <w:tcW w:type="dxa" w:w="2268"/>
          </w:tcPr>
          <w:p>
            <w:pPr>
              <w:jc w:val="center"/>
            </w:pPr>
            <w:r/>
            <w:r>
              <w:rPr>
                <w:sz w:val="17"/>
              </w:rPr>
              <w:t>15.698</w:t>
            </w:r>
          </w:p>
        </w:tc>
        <w:tc>
          <w:tcPr>
            <w:tcW w:type="dxa" w:w="2494"/>
          </w:tcPr>
          <w:p>
            <w:pPr>
              <w:jc w:val="center"/>
            </w:pPr>
            <w:r/>
            <w:r>
              <w:rPr>
                <w:sz w:val="17"/>
              </w:rPr>
              <w:t>79,8%</w:t>
            </w:r>
          </w:p>
        </w:tc>
      </w:tr>
      <w:tr>
        <w:tc>
          <w:tcPr>
            <w:tcW w:type="dxa" w:w="2268"/>
          </w:tcPr>
          <w:p>
            <w:pPr>
              <w:jc w:val="left"/>
            </w:pPr>
            <w:r/>
            <w:r>
              <w:rPr>
                <w:sz w:val="17"/>
              </w:rPr>
              <w:t>Bronx</w:t>
            </w:r>
          </w:p>
        </w:tc>
        <w:tc>
          <w:tcPr>
            <w:tcW w:type="dxa" w:w="2041"/>
          </w:tcPr>
          <w:p>
            <w:pPr>
              <w:jc w:val="center"/>
            </w:pPr>
            <w:r/>
            <w:r>
              <w:rPr>
                <w:sz w:val="17"/>
              </w:rPr>
              <w:t>12.256</w:t>
            </w:r>
          </w:p>
        </w:tc>
        <w:tc>
          <w:tcPr>
            <w:tcW w:type="dxa" w:w="2268"/>
          </w:tcPr>
          <w:p>
            <w:pPr>
              <w:jc w:val="center"/>
            </w:pPr>
            <w:r/>
            <w:r>
              <w:rPr>
                <w:sz w:val="17"/>
              </w:rPr>
              <w:t>9.455</w:t>
            </w:r>
          </w:p>
        </w:tc>
        <w:tc>
          <w:tcPr>
            <w:tcW w:type="dxa" w:w="2494"/>
          </w:tcPr>
          <w:p>
            <w:pPr>
              <w:jc w:val="center"/>
            </w:pPr>
            <w:r/>
            <w:r>
              <w:rPr>
                <w:sz w:val="17"/>
              </w:rPr>
              <w:t>77,1%</w:t>
            </w:r>
          </w:p>
        </w:tc>
      </w:tr>
    </w:tbl>
    <w:p>
      <w:pPr>
        <w:spacing w:after="0" w:before="0"/>
      </w:pPr>
      <w:r>
        <w:rPr>
          <w:sz w:val="8"/>
        </w:rPr>
      </w:r>
    </w:p>
    <w:p>
      <w:r>
        <w:rPr>
          <w:b w:val="0"/>
          <w:i w:val="0"/>
          <w:sz w:val="22"/>
        </w:rPr>
        <w:t>El indicador educativo alineado con el año de referencia es la tasa de graduación a cuatro años de la clase de 2023, correspondiente a la cohorte que ingresó en 2019. La diferencia entre el distrito de mejor y peor desempeño asciende a ocho puntos porcentuales.</w:t>
      </w:r>
    </w:p>
    <w:p>
      <w:pPr>
        <w:pStyle w:val="Heading3"/>
        <w:keepNext/>
      </w:pPr>
      <w:r>
        <w:t>Persistencia del ordenamiento educativo</w:t>
      </w:r>
    </w:p>
    <w:p>
      <w:r>
        <w:rPr>
          <w:b w:val="0"/>
          <w:i w:val="0"/>
          <w:sz w:val="22"/>
        </w:rPr>
        <w:t>Cabe preguntarse si recurrir a un único año introduce arbitrariedad. Se contrastan para ello tres mediciones distintas separadas por once años: el puntaje SAT de 2012 que figura en el enunciado, el puntaje medio de los exámenes Regents de 2019 y la tasa de graduación de la clase de 2023.</w:t>
      </w:r>
    </w:p>
    <w:tbl>
      <w:tblPr>
        <w:tblStyle w:val="TableGrid"/>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701"/>
            <w:shd w:fill="DCE6F1"/>
          </w:tcPr>
          <w:p>
            <w:pPr>
              <w:jc w:val="center"/>
            </w:pPr>
            <w:r/>
            <w:r>
              <w:rPr>
                <w:b/>
                <w:sz w:val="17"/>
              </w:rPr>
              <w:t>Distrito</w:t>
            </w:r>
          </w:p>
        </w:tc>
        <w:tc>
          <w:tcPr>
            <w:tcW w:type="dxa" w:w="1247"/>
            <w:shd w:fill="DCE6F1"/>
          </w:tcPr>
          <w:p>
            <w:pPr>
              <w:jc w:val="center"/>
            </w:pPr>
            <w:r/>
            <w:r>
              <w:rPr>
                <w:b/>
                <w:sz w:val="17"/>
              </w:rPr>
              <w:t>SAT 2012</w:t>
            </w:r>
          </w:p>
        </w:tc>
        <w:tc>
          <w:tcPr>
            <w:tcW w:type="dxa" w:w="1247"/>
            <w:shd w:fill="DCE6F1"/>
          </w:tcPr>
          <w:p>
            <w:pPr>
              <w:jc w:val="center"/>
            </w:pPr>
            <w:r/>
            <w:r>
              <w:rPr>
                <w:b/>
                <w:sz w:val="17"/>
              </w:rPr>
              <w:t>Regents 2019</w:t>
            </w:r>
          </w:p>
        </w:tc>
        <w:tc>
          <w:tcPr>
            <w:tcW w:type="dxa" w:w="1361"/>
            <w:shd w:fill="DCE6F1"/>
          </w:tcPr>
          <w:p>
            <w:pPr>
              <w:jc w:val="center"/>
            </w:pPr>
            <w:r/>
            <w:r>
              <w:rPr>
                <w:b/>
                <w:sz w:val="17"/>
              </w:rPr>
              <w:t>Graduación 2023</w:t>
            </w:r>
          </w:p>
        </w:tc>
        <w:tc>
          <w:tcPr>
            <w:tcW w:type="dxa" w:w="1134"/>
            <w:shd w:fill="DCE6F1"/>
          </w:tcPr>
          <w:p>
            <w:pPr>
              <w:jc w:val="center"/>
            </w:pPr>
            <w:r/>
            <w:r>
              <w:rPr>
                <w:b/>
                <w:sz w:val="17"/>
              </w:rPr>
              <w:t>Puesto SAT</w:t>
            </w:r>
          </w:p>
        </w:tc>
        <w:tc>
          <w:tcPr>
            <w:tcW w:type="dxa" w:w="1134"/>
            <w:shd w:fill="DCE6F1"/>
          </w:tcPr>
          <w:p>
            <w:pPr>
              <w:jc w:val="center"/>
            </w:pPr>
            <w:r/>
            <w:r>
              <w:rPr>
                <w:b/>
                <w:sz w:val="17"/>
              </w:rPr>
              <w:t>Puesto Reg.</w:t>
            </w:r>
          </w:p>
        </w:tc>
        <w:tc>
          <w:tcPr>
            <w:tcW w:type="dxa" w:w="1247"/>
            <w:shd w:fill="DCE6F1"/>
          </w:tcPr>
          <w:p>
            <w:pPr>
              <w:jc w:val="center"/>
            </w:pPr>
            <w:r/>
            <w:r>
              <w:rPr>
                <w:b/>
                <w:sz w:val="17"/>
              </w:rPr>
              <w:t>Puesto grad.</w:t>
            </w:r>
          </w:p>
        </w:tc>
      </w:tr>
      <w:tr>
        <w:tc>
          <w:tcPr>
            <w:tcW w:type="dxa" w:w="1701"/>
          </w:tcPr>
          <w:p>
            <w:pPr>
              <w:jc w:val="left"/>
            </w:pPr>
            <w:r/>
            <w:r>
              <w:rPr>
                <w:sz w:val="17"/>
              </w:rPr>
              <w:t>Bronx</w:t>
            </w:r>
          </w:p>
        </w:tc>
        <w:tc>
          <w:tcPr>
            <w:tcW w:type="dxa" w:w="1247"/>
          </w:tcPr>
          <w:p>
            <w:pPr>
              <w:jc w:val="center"/>
            </w:pPr>
            <w:r/>
            <w:r>
              <w:rPr>
                <w:sz w:val="17"/>
              </w:rPr>
              <w:t>1.144,6</w:t>
            </w:r>
          </w:p>
        </w:tc>
        <w:tc>
          <w:tcPr>
            <w:tcW w:type="dxa" w:w="1247"/>
          </w:tcPr>
          <w:p>
            <w:pPr>
              <w:jc w:val="center"/>
            </w:pPr>
            <w:r/>
            <w:r>
              <w:rPr>
                <w:sz w:val="17"/>
              </w:rPr>
              <w:t>66,8</w:t>
            </w:r>
          </w:p>
        </w:tc>
        <w:tc>
          <w:tcPr>
            <w:tcW w:type="dxa" w:w="1361"/>
          </w:tcPr>
          <w:p>
            <w:pPr>
              <w:jc w:val="center"/>
            </w:pPr>
            <w:r/>
            <w:r>
              <w:rPr>
                <w:sz w:val="17"/>
              </w:rPr>
              <w:t>77,1%</w:t>
            </w:r>
          </w:p>
        </w:tc>
        <w:tc>
          <w:tcPr>
            <w:tcW w:type="dxa" w:w="1134"/>
          </w:tcPr>
          <w:p>
            <w:pPr>
              <w:jc w:val="center"/>
            </w:pPr>
            <w:r/>
            <w:r>
              <w:rPr>
                <w:sz w:val="17"/>
              </w:rPr>
              <w:t>1</w:t>
            </w:r>
          </w:p>
        </w:tc>
        <w:tc>
          <w:tcPr>
            <w:tcW w:type="dxa" w:w="1134"/>
          </w:tcPr>
          <w:p>
            <w:pPr>
              <w:jc w:val="center"/>
            </w:pPr>
            <w:r/>
            <w:r>
              <w:rPr>
                <w:sz w:val="17"/>
              </w:rPr>
              <w:t>1</w:t>
            </w:r>
          </w:p>
        </w:tc>
        <w:tc>
          <w:tcPr>
            <w:tcW w:type="dxa" w:w="1247"/>
          </w:tcPr>
          <w:p>
            <w:pPr>
              <w:jc w:val="center"/>
            </w:pPr>
            <w:r/>
            <w:r>
              <w:rPr>
                <w:sz w:val="17"/>
              </w:rPr>
              <w:t>1</w:t>
            </w:r>
          </w:p>
        </w:tc>
      </w:tr>
      <w:tr>
        <w:tc>
          <w:tcPr>
            <w:tcW w:type="dxa" w:w="1701"/>
          </w:tcPr>
          <w:p>
            <w:pPr>
              <w:jc w:val="left"/>
            </w:pPr>
            <w:r/>
            <w:r>
              <w:rPr>
                <w:sz w:val="17"/>
              </w:rPr>
              <w:t>Brooklyn</w:t>
            </w:r>
          </w:p>
        </w:tc>
        <w:tc>
          <w:tcPr>
            <w:tcW w:type="dxa" w:w="1247"/>
          </w:tcPr>
          <w:p>
            <w:pPr>
              <w:jc w:val="center"/>
            </w:pPr>
            <w:r/>
            <w:r>
              <w:rPr>
                <w:sz w:val="17"/>
              </w:rPr>
              <w:t>1.167,4</w:t>
            </w:r>
          </w:p>
        </w:tc>
        <w:tc>
          <w:tcPr>
            <w:tcW w:type="dxa" w:w="1247"/>
          </w:tcPr>
          <w:p>
            <w:pPr>
              <w:jc w:val="center"/>
            </w:pPr>
            <w:r/>
            <w:r>
              <w:rPr>
                <w:sz w:val="17"/>
              </w:rPr>
              <w:t>70,3</w:t>
            </w:r>
          </w:p>
        </w:tc>
        <w:tc>
          <w:tcPr>
            <w:tcW w:type="dxa" w:w="1361"/>
          </w:tcPr>
          <w:p>
            <w:pPr>
              <w:jc w:val="center"/>
            </w:pPr>
            <w:r/>
            <w:r>
              <w:rPr>
                <w:sz w:val="17"/>
              </w:rPr>
              <w:t>79,8%</w:t>
            </w:r>
          </w:p>
        </w:tc>
        <w:tc>
          <w:tcPr>
            <w:tcW w:type="dxa" w:w="1134"/>
          </w:tcPr>
          <w:p>
            <w:pPr>
              <w:jc w:val="center"/>
            </w:pPr>
            <w:r/>
            <w:r>
              <w:rPr>
                <w:sz w:val="17"/>
              </w:rPr>
              <w:t>2</w:t>
            </w:r>
          </w:p>
        </w:tc>
        <w:tc>
          <w:tcPr>
            <w:tcW w:type="dxa" w:w="1134"/>
          </w:tcPr>
          <w:p>
            <w:pPr>
              <w:jc w:val="center"/>
            </w:pPr>
            <w:r/>
            <w:r>
              <w:rPr>
                <w:sz w:val="17"/>
              </w:rPr>
              <w:t>2</w:t>
            </w:r>
          </w:p>
        </w:tc>
        <w:tc>
          <w:tcPr>
            <w:tcW w:type="dxa" w:w="1247"/>
          </w:tcPr>
          <w:p>
            <w:pPr>
              <w:jc w:val="center"/>
            </w:pPr>
            <w:r/>
            <w:r>
              <w:rPr>
                <w:sz w:val="17"/>
              </w:rPr>
              <w:t>2</w:t>
            </w:r>
          </w:p>
        </w:tc>
      </w:tr>
      <w:tr>
        <w:tc>
          <w:tcPr>
            <w:tcW w:type="dxa" w:w="1701"/>
          </w:tcPr>
          <w:p>
            <w:pPr>
              <w:jc w:val="left"/>
            </w:pPr>
            <w:r/>
            <w:r>
              <w:rPr>
                <w:sz w:val="17"/>
              </w:rPr>
              <w:t>Manhattan</w:t>
            </w:r>
          </w:p>
        </w:tc>
        <w:tc>
          <w:tcPr>
            <w:tcW w:type="dxa" w:w="1247"/>
          </w:tcPr>
          <w:p>
            <w:pPr>
              <w:jc w:val="center"/>
            </w:pPr>
            <w:r/>
            <w:r>
              <w:rPr>
                <w:sz w:val="17"/>
              </w:rPr>
              <w:t>1.260,2</w:t>
            </w:r>
          </w:p>
        </w:tc>
        <w:tc>
          <w:tcPr>
            <w:tcW w:type="dxa" w:w="1247"/>
          </w:tcPr>
          <w:p>
            <w:pPr>
              <w:jc w:val="center"/>
            </w:pPr>
            <w:r/>
            <w:r>
              <w:rPr>
                <w:sz w:val="17"/>
              </w:rPr>
              <w:t>72,7</w:t>
            </w:r>
          </w:p>
        </w:tc>
        <w:tc>
          <w:tcPr>
            <w:tcW w:type="dxa" w:w="1361"/>
          </w:tcPr>
          <w:p>
            <w:pPr>
              <w:jc w:val="center"/>
            </w:pPr>
            <w:r/>
            <w:r>
              <w:rPr>
                <w:sz w:val="17"/>
              </w:rPr>
              <w:t>81,1%</w:t>
            </w:r>
          </w:p>
        </w:tc>
        <w:tc>
          <w:tcPr>
            <w:tcW w:type="dxa" w:w="1134"/>
          </w:tcPr>
          <w:p>
            <w:pPr>
              <w:jc w:val="center"/>
            </w:pPr>
            <w:r/>
            <w:r>
              <w:rPr>
                <w:sz w:val="17"/>
              </w:rPr>
              <w:t>3</w:t>
            </w:r>
          </w:p>
        </w:tc>
        <w:tc>
          <w:tcPr>
            <w:tcW w:type="dxa" w:w="1134"/>
          </w:tcPr>
          <w:p>
            <w:pPr>
              <w:jc w:val="center"/>
            </w:pPr>
            <w:r/>
            <w:r>
              <w:rPr>
                <w:sz w:val="17"/>
              </w:rPr>
              <w:t>5</w:t>
            </w:r>
          </w:p>
        </w:tc>
        <w:tc>
          <w:tcPr>
            <w:tcW w:type="dxa" w:w="1247"/>
          </w:tcPr>
          <w:p>
            <w:pPr>
              <w:jc w:val="center"/>
            </w:pPr>
            <w:r/>
            <w:r>
              <w:rPr>
                <w:sz w:val="17"/>
              </w:rPr>
              <w:t>3</w:t>
            </w:r>
          </w:p>
        </w:tc>
      </w:tr>
      <w:tr>
        <w:tc>
          <w:tcPr>
            <w:tcW w:type="dxa" w:w="1701"/>
          </w:tcPr>
          <w:p>
            <w:pPr>
              <w:jc w:val="left"/>
            </w:pPr>
            <w:r/>
            <w:r>
              <w:rPr>
                <w:sz w:val="17"/>
              </w:rPr>
              <w:t>Queens</w:t>
            </w:r>
          </w:p>
        </w:tc>
        <w:tc>
          <w:tcPr>
            <w:tcW w:type="dxa" w:w="1247"/>
          </w:tcPr>
          <w:p>
            <w:pPr>
              <w:jc w:val="center"/>
            </w:pPr>
            <w:r/>
            <w:r>
              <w:rPr>
                <w:sz w:val="17"/>
              </w:rPr>
              <w:t>1.275,4</w:t>
            </w:r>
          </w:p>
        </w:tc>
        <w:tc>
          <w:tcPr>
            <w:tcW w:type="dxa" w:w="1247"/>
          </w:tcPr>
          <w:p>
            <w:pPr>
              <w:jc w:val="center"/>
            </w:pPr>
            <w:r/>
            <w:r>
              <w:rPr>
                <w:sz w:val="17"/>
              </w:rPr>
              <w:t>72,1</w:t>
            </w:r>
          </w:p>
        </w:tc>
        <w:tc>
          <w:tcPr>
            <w:tcW w:type="dxa" w:w="1361"/>
          </w:tcPr>
          <w:p>
            <w:pPr>
              <w:jc w:val="center"/>
            </w:pPr>
            <w:r/>
            <w:r>
              <w:rPr>
                <w:sz w:val="17"/>
              </w:rPr>
              <w:t>84,0%</w:t>
            </w:r>
          </w:p>
        </w:tc>
        <w:tc>
          <w:tcPr>
            <w:tcW w:type="dxa" w:w="1134"/>
          </w:tcPr>
          <w:p>
            <w:pPr>
              <w:jc w:val="center"/>
            </w:pPr>
            <w:r/>
            <w:r>
              <w:rPr>
                <w:sz w:val="17"/>
              </w:rPr>
              <w:t>4</w:t>
            </w:r>
          </w:p>
        </w:tc>
        <w:tc>
          <w:tcPr>
            <w:tcW w:type="dxa" w:w="1134"/>
          </w:tcPr>
          <w:p>
            <w:pPr>
              <w:jc w:val="center"/>
            </w:pPr>
            <w:r/>
            <w:r>
              <w:rPr>
                <w:sz w:val="17"/>
              </w:rPr>
              <w:t>4</w:t>
            </w:r>
          </w:p>
        </w:tc>
        <w:tc>
          <w:tcPr>
            <w:tcW w:type="dxa" w:w="1247"/>
          </w:tcPr>
          <w:p>
            <w:pPr>
              <w:jc w:val="center"/>
            </w:pPr>
            <w:r/>
            <w:r>
              <w:rPr>
                <w:sz w:val="17"/>
              </w:rPr>
              <w:t>4</w:t>
            </w:r>
          </w:p>
        </w:tc>
      </w:tr>
      <w:tr>
        <w:tc>
          <w:tcPr>
            <w:tcW w:type="dxa" w:w="1701"/>
          </w:tcPr>
          <w:p>
            <w:pPr>
              <w:jc w:val="left"/>
            </w:pPr>
            <w:r/>
            <w:r>
              <w:rPr>
                <w:sz w:val="17"/>
              </w:rPr>
              <w:t>Staten Island</w:t>
            </w:r>
          </w:p>
        </w:tc>
        <w:tc>
          <w:tcPr>
            <w:tcW w:type="dxa" w:w="1247"/>
          </w:tcPr>
          <w:p>
            <w:pPr>
              <w:jc w:val="center"/>
            </w:pPr>
            <w:r/>
            <w:r>
              <w:rPr>
                <w:sz w:val="17"/>
              </w:rPr>
              <w:t>1.359,2</w:t>
            </w:r>
          </w:p>
        </w:tc>
        <w:tc>
          <w:tcPr>
            <w:tcW w:type="dxa" w:w="1247"/>
          </w:tcPr>
          <w:p>
            <w:pPr>
              <w:jc w:val="center"/>
            </w:pPr>
            <w:r/>
            <w:r>
              <w:rPr>
                <w:sz w:val="17"/>
              </w:rPr>
              <w:t>71,9</w:t>
            </w:r>
          </w:p>
        </w:tc>
        <w:tc>
          <w:tcPr>
            <w:tcW w:type="dxa" w:w="1361"/>
          </w:tcPr>
          <w:p>
            <w:pPr>
              <w:jc w:val="center"/>
            </w:pPr>
            <w:r/>
            <w:r>
              <w:rPr>
                <w:sz w:val="17"/>
              </w:rPr>
              <w:t>85,1%</w:t>
            </w:r>
          </w:p>
        </w:tc>
        <w:tc>
          <w:tcPr>
            <w:tcW w:type="dxa" w:w="1134"/>
          </w:tcPr>
          <w:p>
            <w:pPr>
              <w:jc w:val="center"/>
            </w:pPr>
            <w:r/>
            <w:r>
              <w:rPr>
                <w:sz w:val="17"/>
              </w:rPr>
              <w:t>5</w:t>
            </w:r>
          </w:p>
        </w:tc>
        <w:tc>
          <w:tcPr>
            <w:tcW w:type="dxa" w:w="1134"/>
          </w:tcPr>
          <w:p>
            <w:pPr>
              <w:jc w:val="center"/>
            </w:pPr>
            <w:r/>
            <w:r>
              <w:rPr>
                <w:sz w:val="17"/>
              </w:rPr>
              <w:t>3</w:t>
            </w:r>
          </w:p>
        </w:tc>
        <w:tc>
          <w:tcPr>
            <w:tcW w:type="dxa" w:w="1247"/>
          </w:tcPr>
          <w:p>
            <w:pPr>
              <w:jc w:val="center"/>
            </w:pPr>
            <w:r/>
            <w:r>
              <w:rPr>
                <w:sz w:val="17"/>
              </w:rPr>
              <w:t>5</w:t>
            </w:r>
          </w:p>
        </w:tc>
      </w:tr>
    </w:tbl>
    <w:p>
      <w:pPr>
        <w:spacing w:after="0" w:before="0"/>
      </w:pPr>
      <w:r>
        <w:rPr>
          <w:sz w:val="8"/>
        </w:rPr>
      </w:r>
    </w:p>
    <w:p>
      <w:r>
        <w:rPr>
          <w:b w:val="0"/>
          <w:i w:val="0"/>
          <w:sz w:val="22"/>
        </w:rPr>
        <w:t>El resultado es parcialmente concluyente. El puntaje SAT de 2012 y la tasa de graduación de 2023 producen un ordenamiento idéntico, pese a mediar once años y tratarse de mediciones de naturaleza distinta. El examen Regents discrepa en Manhattan y Staten Island, lo que resulta atribuible a que mide la aprobación de exámenes concretos y depende de qué alumnos se presentan a cuáles.</w:t>
      </w:r>
    </w:p>
    <w:p>
      <w:r>
        <w:rPr>
          <w:b/>
          <w:i w:val="0"/>
          <w:sz w:val="22"/>
        </w:rPr>
        <w:t>Las dos primeras posiciones desfavorables, Bronx y Brooklyn, son idénticas en las tres mediciones. Cabe concluir que la identificación del territorio educativamente más rezagado no depende del año ni del instrumento empleado, mientras que el ordenamiento entre los distritos de mejor desempeño sí es sensible a ambos factores.</w:t>
      </w:r>
    </w:p>
    <w:p>
      <w:pPr>
        <w:pStyle w:val="Heading2"/>
        <w:keepNext/>
        <w:spacing w:before="240"/>
      </w:pPr>
      <w:r>
        <w:t>Elemento 13. Convergencia territorial de los indicadores</w:t>
      </w:r>
    </w:p>
    <w:p>
      <w:r>
        <w:rPr>
          <w:b w:val="0"/>
          <w:i w:val="0"/>
          <w:sz w:val="22"/>
        </w:rPr>
        <w:t>Se consolidan en una sola tabla los indicadores construidos, todos correspondientes a 2023, lo que permite apreciar si los distritos con mayor incidencia de arrestos y siniestros coinciden con aquellos de mayor pobreza y menor desempeño educativo.</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792"/>
            <w:shd w:fill="DCE6F1"/>
          </w:tcPr>
          <w:p>
            <w:pPr>
              <w:jc w:val="center"/>
            </w:pPr>
            <w:r/>
            <w:r>
              <w:rPr>
                <w:b/>
                <w:sz w:val="17"/>
              </w:rPr>
              <w:t>Distrito</w:t>
            </w:r>
          </w:p>
        </w:tc>
        <w:tc>
          <w:tcPr>
            <w:tcW w:type="dxa" w:w="1568"/>
            <w:shd w:fill="DCE6F1"/>
          </w:tcPr>
          <w:p>
            <w:pPr>
              <w:jc w:val="center"/>
            </w:pPr>
            <w:r/>
            <w:r>
              <w:rPr>
                <w:b/>
                <w:sz w:val="17"/>
              </w:rPr>
              <w:t>Arrestos/100k</w:t>
            </w:r>
          </w:p>
        </w:tc>
        <w:tc>
          <w:tcPr>
            <w:tcW w:type="dxa" w:w="1680"/>
            <w:shd w:fill="DCE6F1"/>
          </w:tcPr>
          <w:p>
            <w:pPr>
              <w:jc w:val="center"/>
            </w:pPr>
            <w:r/>
            <w:r>
              <w:rPr>
                <w:b/>
                <w:sz w:val="17"/>
              </w:rPr>
              <w:t>Siniestros/100k</w:t>
            </w:r>
          </w:p>
        </w:tc>
        <w:tc>
          <w:tcPr>
            <w:tcW w:type="dxa" w:w="1344"/>
            <w:shd w:fill="DCE6F1"/>
          </w:tcPr>
          <w:p>
            <w:pPr>
              <w:jc w:val="center"/>
            </w:pPr>
            <w:r/>
            <w:r>
              <w:rPr>
                <w:b/>
                <w:sz w:val="17"/>
              </w:rPr>
              <w:t>Letalidad ‰</w:t>
            </w:r>
          </w:p>
        </w:tc>
        <w:tc>
          <w:tcPr>
            <w:tcW w:type="dxa" w:w="1344"/>
            <w:shd w:fill="DCE6F1"/>
          </w:tcPr>
          <w:p>
            <w:pPr>
              <w:jc w:val="center"/>
            </w:pPr>
            <w:r/>
            <w:r>
              <w:rPr>
                <w:b/>
                <w:sz w:val="17"/>
              </w:rPr>
              <w:t>Pobreza</w:t>
            </w:r>
          </w:p>
        </w:tc>
        <w:tc>
          <w:tcPr>
            <w:tcW w:type="dxa" w:w="1344"/>
            <w:shd w:fill="DCE6F1"/>
          </w:tcPr>
          <w:p>
            <w:pPr>
              <w:jc w:val="center"/>
            </w:pPr>
            <w:r/>
            <w:r>
              <w:rPr>
                <w:b/>
                <w:sz w:val="17"/>
              </w:rPr>
              <w:t>Graduación</w:t>
            </w:r>
          </w:p>
        </w:tc>
      </w:tr>
      <w:tr>
        <w:tc>
          <w:tcPr>
            <w:tcW w:type="dxa" w:w="1792"/>
          </w:tcPr>
          <w:p>
            <w:pPr>
              <w:jc w:val="left"/>
            </w:pPr>
            <w:r/>
            <w:r>
              <w:rPr>
                <w:sz w:val="17"/>
              </w:rPr>
              <w:t>Bronx</w:t>
            </w:r>
          </w:p>
        </w:tc>
        <w:tc>
          <w:tcPr>
            <w:tcW w:type="dxa" w:w="1568"/>
          </w:tcPr>
          <w:p>
            <w:pPr>
              <w:jc w:val="center"/>
            </w:pPr>
            <w:r/>
            <w:r>
              <w:rPr>
                <w:sz w:val="17"/>
              </w:rPr>
              <w:t>3.925</w:t>
            </w:r>
          </w:p>
        </w:tc>
        <w:tc>
          <w:tcPr>
            <w:tcW w:type="dxa" w:w="1680"/>
          </w:tcPr>
          <w:p>
            <w:pPr>
              <w:jc w:val="center"/>
            </w:pPr>
            <w:r/>
            <w:r>
              <w:rPr>
                <w:sz w:val="17"/>
              </w:rPr>
              <w:t>774</w:t>
            </w:r>
          </w:p>
        </w:tc>
        <w:tc>
          <w:tcPr>
            <w:tcW w:type="dxa" w:w="1344"/>
          </w:tcPr>
          <w:p>
            <w:pPr>
              <w:jc w:val="center"/>
            </w:pPr>
            <w:r/>
            <w:r>
              <w:rPr>
                <w:sz w:val="17"/>
              </w:rPr>
              <w:t>2,38</w:t>
            </w:r>
          </w:p>
        </w:tc>
        <w:tc>
          <w:tcPr>
            <w:tcW w:type="dxa" w:w="1344"/>
          </w:tcPr>
          <w:p>
            <w:pPr>
              <w:jc w:val="center"/>
            </w:pPr>
            <w:r/>
            <w:r>
              <w:rPr>
                <w:sz w:val="17"/>
              </w:rPr>
              <w:t>27,67%</w:t>
            </w:r>
          </w:p>
        </w:tc>
        <w:tc>
          <w:tcPr>
            <w:tcW w:type="dxa" w:w="1344"/>
          </w:tcPr>
          <w:p>
            <w:pPr>
              <w:jc w:val="center"/>
            </w:pPr>
            <w:r/>
            <w:r>
              <w:rPr>
                <w:sz w:val="17"/>
              </w:rPr>
              <w:t>77,1%</w:t>
            </w:r>
          </w:p>
        </w:tc>
      </w:tr>
      <w:tr>
        <w:tc>
          <w:tcPr>
            <w:tcW w:type="dxa" w:w="1792"/>
          </w:tcPr>
          <w:p>
            <w:pPr>
              <w:jc w:val="left"/>
            </w:pPr>
            <w:r/>
            <w:r>
              <w:rPr>
                <w:sz w:val="17"/>
              </w:rPr>
              <w:t>Manhattan</w:t>
            </w:r>
          </w:p>
        </w:tc>
        <w:tc>
          <w:tcPr>
            <w:tcW w:type="dxa" w:w="1568"/>
          </w:tcPr>
          <w:p>
            <w:pPr>
              <w:jc w:val="center"/>
            </w:pPr>
            <w:r/>
            <w:r>
              <w:rPr>
                <w:sz w:val="17"/>
              </w:rPr>
              <w:t>3.310</w:t>
            </w:r>
          </w:p>
        </w:tc>
        <w:tc>
          <w:tcPr>
            <w:tcW w:type="dxa" w:w="1680"/>
          </w:tcPr>
          <w:p>
            <w:pPr>
              <w:jc w:val="center"/>
            </w:pPr>
            <w:r/>
            <w:r>
              <w:rPr>
                <w:sz w:val="17"/>
              </w:rPr>
              <w:t>740</w:t>
            </w:r>
          </w:p>
        </w:tc>
        <w:tc>
          <w:tcPr>
            <w:tcW w:type="dxa" w:w="1344"/>
          </w:tcPr>
          <w:p>
            <w:pPr>
              <w:jc w:val="center"/>
            </w:pPr>
            <w:r/>
            <w:r>
              <w:rPr>
                <w:sz w:val="17"/>
              </w:rPr>
              <w:t>2,37</w:t>
            </w:r>
          </w:p>
        </w:tc>
        <w:tc>
          <w:tcPr>
            <w:tcW w:type="dxa" w:w="1344"/>
          </w:tcPr>
          <w:p>
            <w:pPr>
              <w:jc w:val="center"/>
            </w:pPr>
            <w:r/>
            <w:r>
              <w:rPr>
                <w:sz w:val="17"/>
              </w:rPr>
              <w:t>16,03%</w:t>
            </w:r>
          </w:p>
        </w:tc>
        <w:tc>
          <w:tcPr>
            <w:tcW w:type="dxa" w:w="1344"/>
          </w:tcPr>
          <w:p>
            <w:pPr>
              <w:jc w:val="center"/>
            </w:pPr>
            <w:r/>
            <w:r>
              <w:rPr>
                <w:sz w:val="17"/>
              </w:rPr>
              <w:t>81,1%</w:t>
            </w:r>
          </w:p>
        </w:tc>
      </w:tr>
      <w:tr>
        <w:tc>
          <w:tcPr>
            <w:tcW w:type="dxa" w:w="1792"/>
          </w:tcPr>
          <w:p>
            <w:pPr>
              <w:jc w:val="left"/>
            </w:pPr>
            <w:r/>
            <w:r>
              <w:rPr>
                <w:sz w:val="17"/>
              </w:rPr>
              <w:t>Brooklyn</w:t>
            </w:r>
          </w:p>
        </w:tc>
        <w:tc>
          <w:tcPr>
            <w:tcW w:type="dxa" w:w="1568"/>
          </w:tcPr>
          <w:p>
            <w:pPr>
              <w:jc w:val="center"/>
            </w:pPr>
            <w:r/>
            <w:r>
              <w:rPr>
                <w:sz w:val="17"/>
              </w:rPr>
              <w:t>2.437</w:t>
            </w:r>
          </w:p>
        </w:tc>
        <w:tc>
          <w:tcPr>
            <w:tcW w:type="dxa" w:w="1680"/>
          </w:tcPr>
          <w:p>
            <w:pPr>
              <w:jc w:val="center"/>
            </w:pPr>
            <w:r/>
            <w:r>
              <w:rPr>
                <w:sz w:val="17"/>
              </w:rPr>
              <w:t>894</w:t>
            </w:r>
          </w:p>
        </w:tc>
        <w:tc>
          <w:tcPr>
            <w:tcW w:type="dxa" w:w="1344"/>
          </w:tcPr>
          <w:p>
            <w:pPr>
              <w:jc w:val="center"/>
            </w:pPr>
            <w:r/>
            <w:r>
              <w:rPr>
                <w:sz w:val="17"/>
              </w:rPr>
              <w:t>2,14</w:t>
            </w:r>
          </w:p>
        </w:tc>
        <w:tc>
          <w:tcPr>
            <w:tcW w:type="dxa" w:w="1344"/>
          </w:tcPr>
          <w:p>
            <w:pPr>
              <w:jc w:val="center"/>
            </w:pPr>
            <w:r/>
            <w:r>
              <w:rPr>
                <w:sz w:val="17"/>
              </w:rPr>
              <w:t>18,84%</w:t>
            </w:r>
          </w:p>
        </w:tc>
        <w:tc>
          <w:tcPr>
            <w:tcW w:type="dxa" w:w="1344"/>
          </w:tcPr>
          <w:p>
            <w:pPr>
              <w:jc w:val="center"/>
            </w:pPr>
            <w:r/>
            <w:r>
              <w:rPr>
                <w:sz w:val="17"/>
              </w:rPr>
              <w:t>79,8%</w:t>
            </w:r>
          </w:p>
        </w:tc>
      </w:tr>
      <w:tr>
        <w:tc>
          <w:tcPr>
            <w:tcW w:type="dxa" w:w="1792"/>
          </w:tcPr>
          <w:p>
            <w:pPr>
              <w:jc w:val="left"/>
            </w:pPr>
            <w:r/>
            <w:r>
              <w:rPr>
                <w:sz w:val="17"/>
              </w:rPr>
              <w:t>Queens</w:t>
            </w:r>
          </w:p>
        </w:tc>
        <w:tc>
          <w:tcPr>
            <w:tcW w:type="dxa" w:w="1568"/>
          </w:tcPr>
          <w:p>
            <w:pPr>
              <w:jc w:val="center"/>
            </w:pPr>
            <w:r/>
            <w:r>
              <w:rPr>
                <w:sz w:val="17"/>
              </w:rPr>
              <w:t>2.145</w:t>
            </w:r>
          </w:p>
        </w:tc>
        <w:tc>
          <w:tcPr>
            <w:tcW w:type="dxa" w:w="1680"/>
          </w:tcPr>
          <w:p>
            <w:pPr>
              <w:jc w:val="center"/>
            </w:pPr>
            <w:r/>
            <w:r>
              <w:rPr>
                <w:sz w:val="17"/>
              </w:rPr>
              <w:t>790</w:t>
            </w:r>
          </w:p>
        </w:tc>
        <w:tc>
          <w:tcPr>
            <w:tcW w:type="dxa" w:w="1344"/>
          </w:tcPr>
          <w:p>
            <w:pPr>
              <w:jc w:val="center"/>
            </w:pPr>
            <w:r/>
            <w:r>
              <w:rPr>
                <w:sz w:val="17"/>
              </w:rPr>
              <w:t>2,59</w:t>
            </w:r>
          </w:p>
        </w:tc>
        <w:tc>
          <w:tcPr>
            <w:tcW w:type="dxa" w:w="1344"/>
          </w:tcPr>
          <w:p>
            <w:pPr>
              <w:jc w:val="center"/>
            </w:pPr>
            <w:r/>
            <w:r>
              <w:rPr>
                <w:sz w:val="17"/>
              </w:rPr>
              <w:t>13,83%</w:t>
            </w:r>
          </w:p>
        </w:tc>
        <w:tc>
          <w:tcPr>
            <w:tcW w:type="dxa" w:w="1344"/>
          </w:tcPr>
          <w:p>
            <w:pPr>
              <w:jc w:val="center"/>
            </w:pPr>
            <w:r/>
            <w:r>
              <w:rPr>
                <w:sz w:val="17"/>
              </w:rPr>
              <w:t>84,0%</w:t>
            </w:r>
          </w:p>
        </w:tc>
      </w:tr>
      <w:tr>
        <w:tc>
          <w:tcPr>
            <w:tcW w:type="dxa" w:w="1792"/>
          </w:tcPr>
          <w:p>
            <w:pPr>
              <w:jc w:val="left"/>
            </w:pPr>
            <w:r/>
            <w:r>
              <w:rPr>
                <w:sz w:val="17"/>
              </w:rPr>
              <w:t>Staten Island</w:t>
            </w:r>
          </w:p>
        </w:tc>
        <w:tc>
          <w:tcPr>
            <w:tcW w:type="dxa" w:w="1568"/>
          </w:tcPr>
          <w:p>
            <w:pPr>
              <w:jc w:val="center"/>
            </w:pPr>
            <w:r/>
            <w:r>
              <w:rPr>
                <w:sz w:val="17"/>
              </w:rPr>
              <w:t>2.041</w:t>
            </w:r>
          </w:p>
        </w:tc>
        <w:tc>
          <w:tcPr>
            <w:tcW w:type="dxa" w:w="1680"/>
          </w:tcPr>
          <w:p>
            <w:pPr>
              <w:jc w:val="center"/>
            </w:pPr>
            <w:r/>
            <w:r>
              <w:rPr>
                <w:sz w:val="17"/>
              </w:rPr>
              <w:t>555</w:t>
            </w:r>
          </w:p>
        </w:tc>
        <w:tc>
          <w:tcPr>
            <w:tcW w:type="dxa" w:w="1344"/>
          </w:tcPr>
          <w:p>
            <w:pPr>
              <w:jc w:val="center"/>
            </w:pPr>
            <w:r/>
            <w:r>
              <w:rPr>
                <w:sz w:val="17"/>
              </w:rPr>
              <w:t>1,84</w:t>
            </w:r>
          </w:p>
        </w:tc>
        <w:tc>
          <w:tcPr>
            <w:tcW w:type="dxa" w:w="1344"/>
          </w:tcPr>
          <w:p>
            <w:pPr>
              <w:jc w:val="center"/>
            </w:pPr>
            <w:r/>
            <w:r>
              <w:rPr>
                <w:sz w:val="17"/>
              </w:rPr>
              <w:t>12,70%</w:t>
            </w:r>
          </w:p>
        </w:tc>
        <w:tc>
          <w:tcPr>
            <w:tcW w:type="dxa" w:w="1344"/>
          </w:tcPr>
          <w:p>
            <w:pPr>
              <w:jc w:val="center"/>
            </w:pPr>
            <w:r/>
            <w:r>
              <w:rPr>
                <w:sz w:val="17"/>
              </w:rPr>
              <w:t>85,1%</w:t>
            </w:r>
          </w:p>
        </w:tc>
      </w:tr>
    </w:tbl>
    <w:p>
      <w:pPr>
        <w:spacing w:after="0" w:before="0"/>
      </w:pPr>
      <w:r>
        <w:rPr>
          <w:sz w:val="8"/>
        </w:rPr>
      </w:r>
    </w:p>
    <w:p>
      <w:r>
        <w:rPr>
          <w:b w:val="0"/>
          <w:i w:val="0"/>
          <w:sz w:val="22"/>
        </w:rPr>
        <w:t>Ordenamiento de los distritos según cada indicador, donde la posición 1 corresponde a la situación más desfavorable: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91"/>
            <w:shd w:fill="DCE6F1"/>
          </w:tcPr>
          <w:p>
            <w:pPr>
              <w:jc w:val="center"/>
            </w:pPr>
            <w:r/>
            <w:r>
              <w:rPr>
                <w:b/>
                <w:sz w:val="17"/>
              </w:rPr>
              <w:t>Distrito</w:t>
            </w:r>
          </w:p>
        </w:tc>
        <w:tc>
          <w:tcPr>
            <w:tcW w:type="dxa" w:w="1659"/>
            <w:shd w:fill="DCE6F1"/>
          </w:tcPr>
          <w:p>
            <w:pPr>
              <w:jc w:val="center"/>
            </w:pPr>
            <w:r/>
            <w:r>
              <w:rPr>
                <w:b/>
                <w:sz w:val="17"/>
              </w:rPr>
              <w:t>Arrestos</w:t>
            </w:r>
          </w:p>
        </w:tc>
        <w:tc>
          <w:tcPr>
            <w:tcW w:type="dxa" w:w="1770"/>
            <w:shd w:fill="DCE6F1"/>
          </w:tcPr>
          <w:p>
            <w:pPr>
              <w:jc w:val="center"/>
            </w:pPr>
            <w:r/>
            <w:r>
              <w:rPr>
                <w:b/>
                <w:sz w:val="17"/>
              </w:rPr>
              <w:t>Siniestros</w:t>
            </w:r>
          </w:p>
        </w:tc>
        <w:tc>
          <w:tcPr>
            <w:tcW w:type="dxa" w:w="1659"/>
            <w:shd w:fill="DCE6F1"/>
          </w:tcPr>
          <w:p>
            <w:pPr>
              <w:jc w:val="center"/>
            </w:pPr>
            <w:r/>
            <w:r>
              <w:rPr>
                <w:b/>
                <w:sz w:val="17"/>
              </w:rPr>
              <w:t>Pobreza</w:t>
            </w:r>
          </w:p>
        </w:tc>
        <w:tc>
          <w:tcPr>
            <w:tcW w:type="dxa" w:w="1991"/>
            <w:shd w:fill="DCE6F1"/>
          </w:tcPr>
          <w:p>
            <w:pPr>
              <w:jc w:val="center"/>
            </w:pPr>
            <w:r/>
            <w:r>
              <w:rPr>
                <w:b/>
                <w:sz w:val="17"/>
              </w:rPr>
              <w:t>Graduación (menor tasa)</w:t>
            </w:r>
          </w:p>
        </w:tc>
      </w:tr>
      <w:tr>
        <w:tc>
          <w:tcPr>
            <w:tcW w:type="dxa" w:w="1991"/>
          </w:tcPr>
          <w:p>
            <w:pPr>
              <w:jc w:val="left"/>
            </w:pPr>
            <w:r/>
            <w:r>
              <w:rPr>
                <w:sz w:val="17"/>
              </w:rPr>
              <w:t>Bronx</w:t>
            </w:r>
          </w:p>
        </w:tc>
        <w:tc>
          <w:tcPr>
            <w:tcW w:type="dxa" w:w="1659"/>
          </w:tcPr>
          <w:p>
            <w:pPr>
              <w:jc w:val="center"/>
            </w:pPr>
            <w:r/>
            <w:r>
              <w:rPr>
                <w:sz w:val="17"/>
              </w:rPr>
              <w:t>1</w:t>
            </w:r>
          </w:p>
        </w:tc>
        <w:tc>
          <w:tcPr>
            <w:tcW w:type="dxa" w:w="1770"/>
          </w:tcPr>
          <w:p>
            <w:pPr>
              <w:jc w:val="center"/>
            </w:pPr>
            <w:r/>
            <w:r>
              <w:rPr>
                <w:sz w:val="17"/>
              </w:rPr>
              <w:t>3</w:t>
            </w:r>
          </w:p>
        </w:tc>
        <w:tc>
          <w:tcPr>
            <w:tcW w:type="dxa" w:w="1659"/>
          </w:tcPr>
          <w:p>
            <w:pPr>
              <w:jc w:val="center"/>
            </w:pPr>
            <w:r/>
            <w:r>
              <w:rPr>
                <w:sz w:val="17"/>
              </w:rPr>
              <w:t>1</w:t>
            </w:r>
          </w:p>
        </w:tc>
        <w:tc>
          <w:tcPr>
            <w:tcW w:type="dxa" w:w="1991"/>
          </w:tcPr>
          <w:p>
            <w:pPr>
              <w:jc w:val="center"/>
            </w:pPr>
            <w:r/>
            <w:r>
              <w:rPr>
                <w:sz w:val="17"/>
              </w:rPr>
              <w:t>1</w:t>
            </w:r>
          </w:p>
        </w:tc>
      </w:tr>
      <w:tr>
        <w:tc>
          <w:tcPr>
            <w:tcW w:type="dxa" w:w="1991"/>
          </w:tcPr>
          <w:p>
            <w:pPr>
              <w:jc w:val="left"/>
            </w:pPr>
            <w:r/>
            <w:r>
              <w:rPr>
                <w:sz w:val="17"/>
              </w:rPr>
              <w:t>Manhattan</w:t>
            </w:r>
          </w:p>
        </w:tc>
        <w:tc>
          <w:tcPr>
            <w:tcW w:type="dxa" w:w="1659"/>
          </w:tcPr>
          <w:p>
            <w:pPr>
              <w:jc w:val="center"/>
            </w:pPr>
            <w:r/>
            <w:r>
              <w:rPr>
                <w:sz w:val="17"/>
              </w:rPr>
              <w:t>2</w:t>
            </w:r>
          </w:p>
        </w:tc>
        <w:tc>
          <w:tcPr>
            <w:tcW w:type="dxa" w:w="1770"/>
          </w:tcPr>
          <w:p>
            <w:pPr>
              <w:jc w:val="center"/>
            </w:pPr>
            <w:r/>
            <w:r>
              <w:rPr>
                <w:sz w:val="17"/>
              </w:rPr>
              <w:t>4</w:t>
            </w:r>
          </w:p>
        </w:tc>
        <w:tc>
          <w:tcPr>
            <w:tcW w:type="dxa" w:w="1659"/>
          </w:tcPr>
          <w:p>
            <w:pPr>
              <w:jc w:val="center"/>
            </w:pPr>
            <w:r/>
            <w:r>
              <w:rPr>
                <w:sz w:val="17"/>
              </w:rPr>
              <w:t>3</w:t>
            </w:r>
          </w:p>
        </w:tc>
        <w:tc>
          <w:tcPr>
            <w:tcW w:type="dxa" w:w="1991"/>
          </w:tcPr>
          <w:p>
            <w:pPr>
              <w:jc w:val="center"/>
            </w:pPr>
            <w:r/>
            <w:r>
              <w:rPr>
                <w:sz w:val="17"/>
              </w:rPr>
              <w:t>3</w:t>
            </w:r>
          </w:p>
        </w:tc>
      </w:tr>
      <w:tr>
        <w:tc>
          <w:tcPr>
            <w:tcW w:type="dxa" w:w="1991"/>
          </w:tcPr>
          <w:p>
            <w:pPr>
              <w:jc w:val="left"/>
            </w:pPr>
            <w:r/>
            <w:r>
              <w:rPr>
                <w:sz w:val="17"/>
              </w:rPr>
              <w:t>Brooklyn</w:t>
            </w:r>
          </w:p>
        </w:tc>
        <w:tc>
          <w:tcPr>
            <w:tcW w:type="dxa" w:w="1659"/>
          </w:tcPr>
          <w:p>
            <w:pPr>
              <w:jc w:val="center"/>
            </w:pPr>
            <w:r/>
            <w:r>
              <w:rPr>
                <w:sz w:val="17"/>
              </w:rPr>
              <w:t>3</w:t>
            </w:r>
          </w:p>
        </w:tc>
        <w:tc>
          <w:tcPr>
            <w:tcW w:type="dxa" w:w="1770"/>
          </w:tcPr>
          <w:p>
            <w:pPr>
              <w:jc w:val="center"/>
            </w:pPr>
            <w:r/>
            <w:r>
              <w:rPr>
                <w:sz w:val="17"/>
              </w:rPr>
              <w:t>1</w:t>
            </w:r>
          </w:p>
        </w:tc>
        <w:tc>
          <w:tcPr>
            <w:tcW w:type="dxa" w:w="1659"/>
          </w:tcPr>
          <w:p>
            <w:pPr>
              <w:jc w:val="center"/>
            </w:pPr>
            <w:r/>
            <w:r>
              <w:rPr>
                <w:sz w:val="17"/>
              </w:rPr>
              <w:t>2</w:t>
            </w:r>
          </w:p>
        </w:tc>
        <w:tc>
          <w:tcPr>
            <w:tcW w:type="dxa" w:w="1991"/>
          </w:tcPr>
          <w:p>
            <w:pPr>
              <w:jc w:val="center"/>
            </w:pPr>
            <w:r/>
            <w:r>
              <w:rPr>
                <w:sz w:val="17"/>
              </w:rPr>
              <w:t>2</w:t>
            </w:r>
          </w:p>
        </w:tc>
      </w:tr>
      <w:tr>
        <w:tc>
          <w:tcPr>
            <w:tcW w:type="dxa" w:w="1991"/>
          </w:tcPr>
          <w:p>
            <w:pPr>
              <w:jc w:val="left"/>
            </w:pPr>
            <w:r/>
            <w:r>
              <w:rPr>
                <w:sz w:val="17"/>
              </w:rPr>
              <w:t>Queens</w:t>
            </w:r>
          </w:p>
        </w:tc>
        <w:tc>
          <w:tcPr>
            <w:tcW w:type="dxa" w:w="1659"/>
          </w:tcPr>
          <w:p>
            <w:pPr>
              <w:jc w:val="center"/>
            </w:pPr>
            <w:r/>
            <w:r>
              <w:rPr>
                <w:sz w:val="17"/>
              </w:rPr>
              <w:t>4</w:t>
            </w:r>
          </w:p>
        </w:tc>
        <w:tc>
          <w:tcPr>
            <w:tcW w:type="dxa" w:w="1770"/>
          </w:tcPr>
          <w:p>
            <w:pPr>
              <w:jc w:val="center"/>
            </w:pPr>
            <w:r/>
            <w:r>
              <w:rPr>
                <w:sz w:val="17"/>
              </w:rPr>
              <w:t>2</w:t>
            </w:r>
          </w:p>
        </w:tc>
        <w:tc>
          <w:tcPr>
            <w:tcW w:type="dxa" w:w="1659"/>
          </w:tcPr>
          <w:p>
            <w:pPr>
              <w:jc w:val="center"/>
            </w:pPr>
            <w:r/>
            <w:r>
              <w:rPr>
                <w:sz w:val="17"/>
              </w:rPr>
              <w:t>4</w:t>
            </w:r>
          </w:p>
        </w:tc>
        <w:tc>
          <w:tcPr>
            <w:tcW w:type="dxa" w:w="1991"/>
          </w:tcPr>
          <w:p>
            <w:pPr>
              <w:jc w:val="center"/>
            </w:pPr>
            <w:r/>
            <w:r>
              <w:rPr>
                <w:sz w:val="17"/>
              </w:rPr>
              <w:t>4</w:t>
            </w:r>
          </w:p>
        </w:tc>
      </w:tr>
      <w:tr>
        <w:tc>
          <w:tcPr>
            <w:tcW w:type="dxa" w:w="1991"/>
          </w:tcPr>
          <w:p>
            <w:pPr>
              <w:jc w:val="left"/>
            </w:pPr>
            <w:r/>
            <w:r>
              <w:rPr>
                <w:sz w:val="17"/>
              </w:rPr>
              <w:t>Staten Island</w:t>
            </w:r>
          </w:p>
        </w:tc>
        <w:tc>
          <w:tcPr>
            <w:tcW w:type="dxa" w:w="1659"/>
          </w:tcPr>
          <w:p>
            <w:pPr>
              <w:jc w:val="center"/>
            </w:pPr>
            <w:r/>
            <w:r>
              <w:rPr>
                <w:sz w:val="17"/>
              </w:rPr>
              <w:t>5</w:t>
            </w:r>
          </w:p>
        </w:tc>
        <w:tc>
          <w:tcPr>
            <w:tcW w:type="dxa" w:w="1770"/>
          </w:tcPr>
          <w:p>
            <w:pPr>
              <w:jc w:val="center"/>
            </w:pPr>
            <w:r/>
            <w:r>
              <w:rPr>
                <w:sz w:val="17"/>
              </w:rPr>
              <w:t>5</w:t>
            </w:r>
          </w:p>
        </w:tc>
        <w:tc>
          <w:tcPr>
            <w:tcW w:type="dxa" w:w="1659"/>
          </w:tcPr>
          <w:p>
            <w:pPr>
              <w:jc w:val="center"/>
            </w:pPr>
            <w:r/>
            <w:r>
              <w:rPr>
                <w:sz w:val="17"/>
              </w:rPr>
              <w:t>5</w:t>
            </w:r>
          </w:p>
        </w:tc>
        <w:tc>
          <w:tcPr>
            <w:tcW w:type="dxa" w:w="1991"/>
          </w:tcPr>
          <w:p>
            <w:pPr>
              <w:jc w:val="center"/>
            </w:pPr>
            <w:r/>
            <w:r>
              <w:rPr>
                <w:sz w:val="17"/>
              </w:rPr>
              <w:t>5</w:t>
            </w:r>
          </w:p>
        </w:tc>
      </w:tr>
    </w:tbl>
    <w:p>
      <w:pPr>
        <w:spacing w:after="0" w:before="0"/>
      </w:pPr>
      <w:r>
        <w:rPr>
          <w:sz w:val="8"/>
        </w:rPr>
      </w:r>
    </w:p>
    <w:p>
      <w:r>
        <w:rPr>
          <w:b w:val="0"/>
          <w:i w:val="0"/>
          <w:sz w:val="22"/>
        </w:rPr>
        <w:t>El Bronx ocupa la primera posición desfavorable en arrestos, pobreza y rezago educativo, y la tercera en siniestralidad. Staten Island ocupa la quinta posición en los cuatro indicadores. La coincidencia entre seguridad ciudadana, pobreza y educación es, por tanto, notable; la siniestralidad vial sigue en cambio un patrón propio, encabezado por Brooklyn.</w:t>
      </w:r>
    </w:p>
    <w:p>
      <w:r>
        <w:rPr>
          <w:b w:val="0"/>
          <w:i w:val="0"/>
          <w:sz w:val="22"/>
        </w:rPr>
        <w:t>Manhattan merece una advertencia específica: ocupa la segunda posición en arrestos por habitante pese a registrar una tasa de pobreza inferior a la media de la ciudad. La explicación más plausible es metodológica. Los arrestos se contabilizan en el lugar de ocurrencia y no en el de residencia, y Manhattan recibe a diario una población flotante de trabajadores y visitantes que supera ampliamente a sus 1,60 millones de residentes. El denominador empleado subestima, por consiguiente, la población realmente expuesta.</w:t>
      </w:r>
    </w:p>
    <w:p>
      <w:r>
        <w:rPr>
          <w:b w:val="0"/>
          <w:i/>
          <w:sz w:val="22"/>
        </w:rPr>
        <w:t>Se advierte expresamente que lo anterior constituye una descripción de coincidencia territorial y en ningún caso una relación de causalidad. Su contrastación formal corresponde a la entrega final del proyecto.</w:t>
      </w:r>
    </w:p>
    <w:p>
      <w:pPr>
        <w:pStyle w:val="Heading2"/>
        <w:keepNext/>
        <w:spacing w:before="240"/>
      </w:pPr>
      <w:r>
        <w:t>Elemento 14. Estabilidad del ordenamiento territorial</w:t>
      </w:r>
    </w:p>
    <w:p>
      <w:r>
        <w:rPr>
          <w:b w:val="0"/>
          <w:i w:val="0"/>
          <w:sz w:val="22"/>
        </w:rPr>
        <w:t>El corte transversal se construyó sobre 2023, pero las recomendaciones del plan de acción se aplicarán en el presente. Procede entonces verificar si el ordenamiento de los distritos se mantiene a lo largo del tiempo. Se emplea la población de 2023 como denominador en todos los años, de modo que la comparación aísle la variación del numerador.</w:t>
      </w:r>
    </w:p>
    <w:p>
      <w:pPr>
        <w:keepNext/>
        <w:spacing w:before="80" w:after="40"/>
        <w:jc w:val="center"/>
      </w:pPr>
      <w:r>
        <w:drawing>
          <wp:inline xmlns:a="http://schemas.openxmlformats.org/drawingml/2006/main" xmlns:pic="http://schemas.openxmlformats.org/drawingml/2006/picture">
            <wp:extent cx="4140000" cy="1506403"/>
            <wp:docPr id="13" name="Picture 13"/>
            <wp:cNvGraphicFramePr>
              <a:graphicFrameLocks noChangeAspect="1"/>
            </wp:cNvGraphicFramePr>
            <a:graphic>
              <a:graphicData uri="http://schemas.openxmlformats.org/drawingml/2006/picture">
                <pic:pic>
                  <pic:nvPicPr>
                    <pic:cNvPr id="0" name="14_estabilidad.png"/>
                    <pic:cNvPicPr/>
                  </pic:nvPicPr>
                  <pic:blipFill>
                    <a:blip r:embed="rId32"/>
                    <a:stretch>
                      <a:fillRect/>
                    </a:stretch>
                  </pic:blipFill>
                  <pic:spPr>
                    <a:xfrm>
                      <a:off x="0" y="0"/>
                      <a:ext cx="4140000" cy="1506403"/>
                    </a:xfrm>
                    <a:prstGeom prst="rect"/>
                  </pic:spPr>
                </pic:pic>
              </a:graphicData>
            </a:graphic>
          </wp:inline>
        </w:drawing>
      </w:r>
    </w:p>
    <w:p>
      <w:pPr>
        <w:spacing w:after="160"/>
        <w:jc w:val="center"/>
      </w:pPr>
      <w:r>
        <w:rPr>
          <w:i/>
          <w:color w:val="404040"/>
          <w:sz w:val="17"/>
        </w:rPr>
        <w:t>Figura 13. Evolución de las tasas por cien mil habitantes de arrestos y siniestros, por distrito.</w:t>
      </w:r>
    </w:p>
    <w:p>
      <w:r>
        <w:rPr>
          <w:b/>
          <w:i w:val="0"/>
          <w:sz w:val="22"/>
        </w:rPr>
        <w:t>Arrestos: ordenamiento estable</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268"/>
            <w:shd w:fill="DCE6F1"/>
          </w:tcPr>
          <w:p>
            <w:pPr>
              <w:jc w:val="center"/>
            </w:pPr>
            <w:r/>
            <w:r>
              <w:rPr>
                <w:b/>
                <w:sz w:val="17"/>
              </w:rPr>
              <w:t>Distrito</w:t>
            </w:r>
          </w:p>
        </w:tc>
        <w:tc>
          <w:tcPr>
            <w:tcW w:type="dxa" w:w="1361"/>
            <w:shd w:fill="DCE6F1"/>
          </w:tcPr>
          <w:p>
            <w:pPr>
              <w:jc w:val="center"/>
            </w:pPr>
            <w:r/>
            <w:r>
              <w:rPr>
                <w:b/>
                <w:sz w:val="17"/>
              </w:rPr>
              <w:t>2015</w:t>
            </w:r>
          </w:p>
        </w:tc>
        <w:tc>
          <w:tcPr>
            <w:tcW w:type="dxa" w:w="1361"/>
            <w:shd w:fill="DCE6F1"/>
          </w:tcPr>
          <w:p>
            <w:pPr>
              <w:jc w:val="center"/>
            </w:pPr>
            <w:r/>
            <w:r>
              <w:rPr>
                <w:b/>
                <w:sz w:val="17"/>
              </w:rPr>
              <w:t>2018</w:t>
            </w:r>
          </w:p>
        </w:tc>
        <w:tc>
          <w:tcPr>
            <w:tcW w:type="dxa" w:w="1361"/>
            <w:shd w:fill="DCE6F1"/>
          </w:tcPr>
          <w:p>
            <w:pPr>
              <w:jc w:val="center"/>
            </w:pPr>
            <w:r/>
            <w:r>
              <w:rPr>
                <w:b/>
                <w:sz w:val="17"/>
              </w:rPr>
              <w:t>2021</w:t>
            </w:r>
          </w:p>
        </w:tc>
        <w:tc>
          <w:tcPr>
            <w:tcW w:type="dxa" w:w="1361"/>
            <w:shd w:fill="DCE6F1"/>
          </w:tcPr>
          <w:p>
            <w:pPr>
              <w:jc w:val="center"/>
            </w:pPr>
            <w:r/>
            <w:r>
              <w:rPr>
                <w:b/>
                <w:sz w:val="17"/>
              </w:rPr>
              <w:t>2023</w:t>
            </w:r>
          </w:p>
        </w:tc>
        <w:tc>
          <w:tcPr>
            <w:tcW w:type="dxa" w:w="1361"/>
            <w:shd w:fill="DCE6F1"/>
          </w:tcPr>
          <w:p>
            <w:pPr>
              <w:jc w:val="center"/>
            </w:pPr>
            <w:r/>
            <w:r>
              <w:rPr>
                <w:b/>
                <w:sz w:val="17"/>
              </w:rPr>
              <w:t>2025</w:t>
            </w:r>
          </w:p>
        </w:tc>
      </w:tr>
      <w:tr>
        <w:tc>
          <w:tcPr>
            <w:tcW w:type="dxa" w:w="2268"/>
          </w:tcPr>
          <w:p>
            <w:pPr>
              <w:jc w:val="left"/>
            </w:pPr>
            <w:r/>
            <w:r>
              <w:rPr>
                <w:sz w:val="17"/>
              </w:rPr>
              <w:t>Bronx</w:t>
            </w:r>
          </w:p>
        </w:tc>
        <w:tc>
          <w:tcPr>
            <w:tcW w:type="dxa" w:w="1361"/>
          </w:tcPr>
          <w:p>
            <w:pPr>
              <w:jc w:val="center"/>
            </w:pPr>
            <w:r/>
            <w:r>
              <w:rPr>
                <w:sz w:val="17"/>
              </w:rPr>
              <w:t>2</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1</w:t>
            </w:r>
          </w:p>
        </w:tc>
      </w:tr>
      <w:tr>
        <w:tc>
          <w:tcPr>
            <w:tcW w:type="dxa" w:w="2268"/>
          </w:tcPr>
          <w:p>
            <w:pPr>
              <w:jc w:val="left"/>
            </w:pPr>
            <w:r/>
            <w:r>
              <w:rPr>
                <w:sz w:val="17"/>
              </w:rPr>
              <w:t>Manhattan</w:t>
            </w:r>
          </w:p>
        </w:tc>
        <w:tc>
          <w:tcPr>
            <w:tcW w:type="dxa" w:w="1361"/>
          </w:tcPr>
          <w:p>
            <w:pPr>
              <w:jc w:val="center"/>
            </w:pPr>
            <w:r/>
            <w:r>
              <w:rPr>
                <w:sz w:val="17"/>
              </w:rPr>
              <w:t>1</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r>
      <w:tr>
        <w:tc>
          <w:tcPr>
            <w:tcW w:type="dxa" w:w="2268"/>
          </w:tcPr>
          <w:p>
            <w:pPr>
              <w:jc w:val="left"/>
            </w:pPr>
            <w:r/>
            <w:r>
              <w:rPr>
                <w:sz w:val="17"/>
              </w:rPr>
              <w:t>Brooklyn</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r>
      <w:tr>
        <w:tc>
          <w:tcPr>
            <w:tcW w:type="dxa" w:w="2268"/>
          </w:tcPr>
          <w:p>
            <w:pPr>
              <w:jc w:val="left"/>
            </w:pPr>
            <w:r/>
            <w:r>
              <w:rPr>
                <w:sz w:val="17"/>
              </w:rPr>
              <w:t>Queens</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5</w:t>
            </w:r>
          </w:p>
        </w:tc>
        <w:tc>
          <w:tcPr>
            <w:tcW w:type="dxa" w:w="1361"/>
          </w:tcPr>
          <w:p>
            <w:pPr>
              <w:jc w:val="center"/>
            </w:pPr>
            <w:r/>
            <w:r>
              <w:rPr>
                <w:sz w:val="17"/>
              </w:rPr>
              <w:t>4</w:t>
            </w:r>
          </w:p>
        </w:tc>
        <w:tc>
          <w:tcPr>
            <w:tcW w:type="dxa" w:w="1361"/>
          </w:tcPr>
          <w:p>
            <w:pPr>
              <w:jc w:val="center"/>
            </w:pPr>
            <w:r/>
            <w:r>
              <w:rPr>
                <w:sz w:val="17"/>
              </w:rPr>
              <w:t>4</w:t>
            </w:r>
          </w:p>
        </w:tc>
      </w:tr>
      <w:tr>
        <w:tc>
          <w:tcPr>
            <w:tcW w:type="dxa" w:w="2268"/>
          </w:tcPr>
          <w:p>
            <w:pPr>
              <w:jc w:val="left"/>
            </w:pPr>
            <w:r/>
            <w:r>
              <w:rPr>
                <w:sz w:val="17"/>
              </w:rPr>
              <w:t>Staten Island</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4</w:t>
            </w:r>
          </w:p>
        </w:tc>
        <w:tc>
          <w:tcPr>
            <w:tcW w:type="dxa" w:w="1361"/>
          </w:tcPr>
          <w:p>
            <w:pPr>
              <w:jc w:val="center"/>
            </w:pPr>
            <w:r/>
            <w:r>
              <w:rPr>
                <w:sz w:val="17"/>
              </w:rPr>
              <w:t>5</w:t>
            </w:r>
          </w:p>
        </w:tc>
        <w:tc>
          <w:tcPr>
            <w:tcW w:type="dxa" w:w="1361"/>
          </w:tcPr>
          <w:p>
            <w:pPr>
              <w:jc w:val="center"/>
            </w:pPr>
            <w:r/>
            <w:r>
              <w:rPr>
                <w:sz w:val="17"/>
              </w:rPr>
              <w:t>5</w:t>
            </w:r>
          </w:p>
        </w:tc>
      </w:tr>
    </w:tbl>
    <w:p>
      <w:pPr>
        <w:spacing w:after="0" w:before="0"/>
      </w:pPr>
      <w:r>
        <w:rPr>
          <w:sz w:val="8"/>
        </w:rPr>
      </w:r>
    </w:p>
    <w:p>
      <w:r>
        <w:rPr>
          <w:b w:val="0"/>
          <w:i w:val="0"/>
          <w:sz w:val="22"/>
        </w:rPr>
        <w:t>El Bronx ocupa la primera posición en 2018, 2021, 2023 y 2025, y cada distrito ocupa como máximo dos posiciones distintas en diez años. Un diagnóstico de arrestos construido sobre cualquier año reciente resulta por tanto válido para orientar la priorización actual.</w:t>
      </w:r>
    </w:p>
    <w:p>
      <w:r>
        <w:rPr>
          <w:b/>
          <w:i w:val="0"/>
          <w:sz w:val="22"/>
        </w:rPr>
        <w:t>Siniestros: ordenamiento inestable</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268"/>
            <w:shd w:fill="DCE6F1"/>
          </w:tcPr>
          <w:p>
            <w:pPr>
              <w:jc w:val="center"/>
            </w:pPr>
            <w:r/>
            <w:r>
              <w:rPr>
                <w:b/>
                <w:sz w:val="17"/>
              </w:rPr>
              <w:t>Distrito</w:t>
            </w:r>
          </w:p>
        </w:tc>
        <w:tc>
          <w:tcPr>
            <w:tcW w:type="dxa" w:w="1361"/>
            <w:shd w:fill="DCE6F1"/>
          </w:tcPr>
          <w:p>
            <w:pPr>
              <w:jc w:val="center"/>
            </w:pPr>
            <w:r/>
            <w:r>
              <w:rPr>
                <w:b/>
                <w:sz w:val="17"/>
              </w:rPr>
              <w:t>2015</w:t>
            </w:r>
          </w:p>
        </w:tc>
        <w:tc>
          <w:tcPr>
            <w:tcW w:type="dxa" w:w="1361"/>
            <w:shd w:fill="DCE6F1"/>
          </w:tcPr>
          <w:p>
            <w:pPr>
              <w:jc w:val="center"/>
            </w:pPr>
            <w:r/>
            <w:r>
              <w:rPr>
                <w:b/>
                <w:sz w:val="17"/>
              </w:rPr>
              <w:t>2018</w:t>
            </w:r>
          </w:p>
        </w:tc>
        <w:tc>
          <w:tcPr>
            <w:tcW w:type="dxa" w:w="1361"/>
            <w:shd w:fill="DCE6F1"/>
          </w:tcPr>
          <w:p>
            <w:pPr>
              <w:jc w:val="center"/>
            </w:pPr>
            <w:r/>
            <w:r>
              <w:rPr>
                <w:b/>
                <w:sz w:val="17"/>
              </w:rPr>
              <w:t>2021</w:t>
            </w:r>
          </w:p>
        </w:tc>
        <w:tc>
          <w:tcPr>
            <w:tcW w:type="dxa" w:w="1361"/>
            <w:shd w:fill="DCE6F1"/>
          </w:tcPr>
          <w:p>
            <w:pPr>
              <w:jc w:val="center"/>
            </w:pPr>
            <w:r/>
            <w:r>
              <w:rPr>
                <w:b/>
                <w:sz w:val="17"/>
              </w:rPr>
              <w:t>2023</w:t>
            </w:r>
          </w:p>
        </w:tc>
        <w:tc>
          <w:tcPr>
            <w:tcW w:type="dxa" w:w="1361"/>
            <w:shd w:fill="DCE6F1"/>
          </w:tcPr>
          <w:p>
            <w:pPr>
              <w:jc w:val="center"/>
            </w:pPr>
            <w:r/>
            <w:r>
              <w:rPr>
                <w:b/>
                <w:sz w:val="17"/>
              </w:rPr>
              <w:t>2025</w:t>
            </w:r>
          </w:p>
        </w:tc>
      </w:tr>
      <w:tr>
        <w:tc>
          <w:tcPr>
            <w:tcW w:type="dxa" w:w="2268"/>
          </w:tcPr>
          <w:p>
            <w:pPr>
              <w:jc w:val="left"/>
            </w:pPr>
            <w:r/>
            <w:r>
              <w:rPr>
                <w:sz w:val="17"/>
              </w:rPr>
              <w:t>Manhattan</w:t>
            </w:r>
          </w:p>
        </w:tc>
        <w:tc>
          <w:tcPr>
            <w:tcW w:type="dxa" w:w="1361"/>
          </w:tcPr>
          <w:p>
            <w:pPr>
              <w:jc w:val="center"/>
            </w:pPr>
            <w:r/>
            <w:r>
              <w:rPr>
                <w:sz w:val="17"/>
              </w:rPr>
              <w:t>1</w:t>
            </w:r>
          </w:p>
        </w:tc>
        <w:tc>
          <w:tcPr>
            <w:tcW w:type="dxa" w:w="1361"/>
          </w:tcPr>
          <w:p>
            <w:pPr>
              <w:jc w:val="center"/>
            </w:pPr>
            <w:r/>
            <w:r>
              <w:rPr>
                <w:sz w:val="17"/>
              </w:rPr>
              <w:t>1</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2</w:t>
            </w:r>
          </w:p>
        </w:tc>
      </w:tr>
      <w:tr>
        <w:tc>
          <w:tcPr>
            <w:tcW w:type="dxa" w:w="2268"/>
          </w:tcPr>
          <w:p>
            <w:pPr>
              <w:jc w:val="left"/>
            </w:pPr>
            <w:r/>
            <w:r>
              <w:rPr>
                <w:sz w:val="17"/>
              </w:rPr>
              <w:t>Brooklyn</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2</w:t>
            </w:r>
          </w:p>
        </w:tc>
        <w:tc>
          <w:tcPr>
            <w:tcW w:type="dxa" w:w="1361"/>
          </w:tcPr>
          <w:p>
            <w:pPr>
              <w:jc w:val="center"/>
            </w:pPr>
            <w:r/>
            <w:r>
              <w:rPr>
                <w:sz w:val="17"/>
              </w:rPr>
              <w:t>1</w:t>
            </w:r>
          </w:p>
        </w:tc>
        <w:tc>
          <w:tcPr>
            <w:tcW w:type="dxa" w:w="1361"/>
          </w:tcPr>
          <w:p>
            <w:pPr>
              <w:jc w:val="center"/>
            </w:pPr>
            <w:r/>
            <w:r>
              <w:rPr>
                <w:sz w:val="17"/>
              </w:rPr>
              <w:t>1</w:t>
            </w:r>
          </w:p>
        </w:tc>
      </w:tr>
      <w:tr>
        <w:tc>
          <w:tcPr>
            <w:tcW w:type="dxa" w:w="2268"/>
          </w:tcPr>
          <w:p>
            <w:pPr>
              <w:jc w:val="left"/>
            </w:pPr>
            <w:r/>
            <w:r>
              <w:rPr>
                <w:sz w:val="17"/>
              </w:rPr>
              <w:t>Queens</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3</w:t>
            </w:r>
          </w:p>
        </w:tc>
        <w:tc>
          <w:tcPr>
            <w:tcW w:type="dxa" w:w="1361"/>
          </w:tcPr>
          <w:p>
            <w:pPr>
              <w:jc w:val="center"/>
            </w:pPr>
            <w:r/>
            <w:r>
              <w:rPr>
                <w:sz w:val="17"/>
              </w:rPr>
              <w:t>2</w:t>
            </w:r>
          </w:p>
        </w:tc>
        <w:tc>
          <w:tcPr>
            <w:tcW w:type="dxa" w:w="1361"/>
          </w:tcPr>
          <w:p>
            <w:pPr>
              <w:jc w:val="center"/>
            </w:pPr>
            <w:r/>
            <w:r>
              <w:rPr>
                <w:sz w:val="17"/>
              </w:rPr>
              <w:t>3</w:t>
            </w:r>
          </w:p>
        </w:tc>
      </w:tr>
      <w:tr>
        <w:tc>
          <w:tcPr>
            <w:tcW w:type="dxa" w:w="2268"/>
          </w:tcPr>
          <w:p>
            <w:pPr>
              <w:jc w:val="left"/>
            </w:pPr>
            <w:r/>
            <w:r>
              <w:rPr>
                <w:sz w:val="17"/>
              </w:rPr>
              <w:t>Bronx</w:t>
            </w:r>
          </w:p>
        </w:tc>
        <w:tc>
          <w:tcPr>
            <w:tcW w:type="dxa" w:w="1361"/>
          </w:tcPr>
          <w:p>
            <w:pPr>
              <w:jc w:val="center"/>
            </w:pPr>
            <w:r/>
            <w:r>
              <w:rPr>
                <w:sz w:val="17"/>
              </w:rPr>
              <w:t>4</w:t>
            </w:r>
          </w:p>
        </w:tc>
        <w:tc>
          <w:tcPr>
            <w:tcW w:type="dxa" w:w="1361"/>
          </w:tcPr>
          <w:p>
            <w:pPr>
              <w:jc w:val="center"/>
            </w:pPr>
            <w:r/>
            <w:r>
              <w:rPr>
                <w:sz w:val="17"/>
              </w:rPr>
              <w:t>4</w:t>
            </w:r>
          </w:p>
        </w:tc>
        <w:tc>
          <w:tcPr>
            <w:tcW w:type="dxa" w:w="1361"/>
          </w:tcPr>
          <w:p>
            <w:pPr>
              <w:jc w:val="center"/>
            </w:pPr>
            <w:r/>
            <w:r>
              <w:rPr>
                <w:sz w:val="17"/>
              </w:rPr>
              <w:t>1</w:t>
            </w:r>
          </w:p>
        </w:tc>
        <w:tc>
          <w:tcPr>
            <w:tcW w:type="dxa" w:w="1361"/>
          </w:tcPr>
          <w:p>
            <w:pPr>
              <w:jc w:val="center"/>
            </w:pPr>
            <w:r/>
            <w:r>
              <w:rPr>
                <w:sz w:val="17"/>
              </w:rPr>
              <w:t>3</w:t>
            </w:r>
          </w:p>
        </w:tc>
        <w:tc>
          <w:tcPr>
            <w:tcW w:type="dxa" w:w="1361"/>
          </w:tcPr>
          <w:p>
            <w:pPr>
              <w:jc w:val="center"/>
            </w:pPr>
            <w:r/>
            <w:r>
              <w:rPr>
                <w:sz w:val="17"/>
              </w:rPr>
              <w:t>4</w:t>
            </w:r>
          </w:p>
        </w:tc>
      </w:tr>
      <w:tr>
        <w:tc>
          <w:tcPr>
            <w:tcW w:type="dxa" w:w="2268"/>
          </w:tcPr>
          <w:p>
            <w:pPr>
              <w:jc w:val="left"/>
            </w:pPr>
            <w:r/>
            <w:r>
              <w:rPr>
                <w:sz w:val="17"/>
              </w:rPr>
              <w:t>Staten Island</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c>
          <w:tcPr>
            <w:tcW w:type="dxa" w:w="1361"/>
          </w:tcPr>
          <w:p>
            <w:pPr>
              <w:jc w:val="center"/>
            </w:pPr>
            <w:r/>
            <w:r>
              <w:rPr>
                <w:sz w:val="17"/>
              </w:rPr>
              <w:t>5</w:t>
            </w:r>
          </w:p>
        </w:tc>
      </w:tr>
    </w:tbl>
    <w:p>
      <w:pPr>
        <w:spacing w:after="0" w:before="0"/>
      </w:pPr>
      <w:r>
        <w:rPr>
          <w:sz w:val="8"/>
        </w:rPr>
      </w:r>
    </w:p>
    <w:p>
      <w:r>
        <w:rPr>
          <w:b w:val="0"/>
          <w:i w:val="0"/>
          <w:sz w:val="22"/>
        </w:rPr>
        <w:t>El comportamiento es radicalmente distinto. Manhattan desciende de la primera a la cuarta posición, con una caída de 2.662 a 740 siniestros por cien mil habitantes entre 2015 y 2023, y el Bronx oscila entre la primera y la cuarta. Únicamente Staten Island mantiene una posición invariable.</w:t>
      </w:r>
    </w:p>
    <w:p>
      <w:r>
        <w:rPr>
          <w:b/>
          <w:i w:val="0"/>
          <w:sz w:val="22"/>
        </w:rPr>
        <w:t>De ello se desprende una conclusión operativa de interés para el equipo de gobierno: la priorización territorial en materia de seguridad ciudadana puede apoyarse en un diagnóstico estable, mientras que la priorización en materia de seguridad vial debe recalcularse de manera periódica. El caso de Manhattan constituye además la mejora más pronunciada de la ciudad y merece estudio específico como posible referencia de política pública.</w:t>
      </w:r>
    </w:p>
    <w:p>
      <w:pPr>
        <w:pStyle w:val="Heading1"/>
        <w:keepNext/>
        <w:spacing w:before="360"/>
      </w:pPr>
      <w:r>
        <w:t>5. Reporte de calidad de datos</w:t>
      </w:r>
    </w:p>
    <w:p>
      <w:pPr>
        <w:pStyle w:val="Heading2"/>
        <w:keepNext/>
        <w:spacing w:before="240"/>
      </w:pPr>
      <w:r>
        <w:t>5.1 Conteo de valores faltantes</w:t>
      </w:r>
    </w:p>
    <w:p>
      <w:r>
        <w:rPr>
          <w:b w:val="0"/>
          <w:i w:val="0"/>
          <w:sz w:val="22"/>
        </w:rPr>
        <w:t>El conteo considera de manera conjunta los valores nulos y las cadenas vacías, dado que la exportación en formato CSV representa la ausencia de dato de ambas maneras de forma indistinta. Los conjuntos exhiben comportamientos marcadamente distintos.</w:t>
      </w:r>
    </w:p>
    <w:p>
      <w:pPr>
        <w:pStyle w:val="Heading3"/>
        <w:keepNext/>
      </w:pPr>
      <w:r>
        <w:t>Arrestos: calidad elevada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LAW_CAT_CD</w:t>
            </w:r>
          </w:p>
        </w:tc>
        <w:tc>
          <w:tcPr>
            <w:tcW w:type="dxa" w:w="2268"/>
          </w:tcPr>
          <w:p>
            <w:pPr>
              <w:jc w:val="center"/>
            </w:pPr>
            <w:r/>
            <w:r>
              <w:rPr>
                <w:sz w:val="17"/>
              </w:rPr>
              <w:t>26.464</w:t>
            </w:r>
          </w:p>
        </w:tc>
        <w:tc>
          <w:tcPr>
            <w:tcW w:type="dxa" w:w="2268"/>
          </w:tcPr>
          <w:p>
            <w:pPr>
              <w:jc w:val="center"/>
            </w:pPr>
            <w:r/>
            <w:r>
              <w:rPr>
                <w:sz w:val="17"/>
              </w:rPr>
              <w:t>0,42%</w:t>
            </w:r>
          </w:p>
        </w:tc>
      </w:tr>
      <w:tr>
        <w:tc>
          <w:tcPr>
            <w:tcW w:type="dxa" w:w="4535"/>
          </w:tcPr>
          <w:p>
            <w:pPr>
              <w:jc w:val="left"/>
            </w:pPr>
            <w:r/>
            <w:r>
              <w:rPr>
                <w:sz w:val="17"/>
              </w:rPr>
              <w:t>KY_CD</w:t>
            </w:r>
          </w:p>
        </w:tc>
        <w:tc>
          <w:tcPr>
            <w:tcW w:type="dxa" w:w="2268"/>
          </w:tcPr>
          <w:p>
            <w:pPr>
              <w:jc w:val="center"/>
            </w:pPr>
            <w:r/>
            <w:r>
              <w:rPr>
                <w:sz w:val="17"/>
              </w:rPr>
              <w:t>9.811</w:t>
            </w:r>
          </w:p>
        </w:tc>
        <w:tc>
          <w:tcPr>
            <w:tcW w:type="dxa" w:w="2268"/>
          </w:tcPr>
          <w:p>
            <w:pPr>
              <w:jc w:val="center"/>
            </w:pPr>
            <w:r/>
            <w:r>
              <w:rPr>
                <w:sz w:val="17"/>
              </w:rPr>
              <w:t>0,16%</w:t>
            </w:r>
          </w:p>
        </w:tc>
      </w:tr>
      <w:tr>
        <w:tc>
          <w:tcPr>
            <w:tcW w:type="dxa" w:w="4535"/>
          </w:tcPr>
          <w:p>
            <w:pPr>
              <w:jc w:val="left"/>
            </w:pPr>
            <w:r/>
            <w:r>
              <w:rPr>
                <w:sz w:val="17"/>
              </w:rPr>
              <w:t>OFNS_DESC / PD_DESC</w:t>
            </w:r>
          </w:p>
        </w:tc>
        <w:tc>
          <w:tcPr>
            <w:tcW w:type="dxa" w:w="2268"/>
          </w:tcPr>
          <w:p>
            <w:pPr>
              <w:jc w:val="center"/>
            </w:pPr>
            <w:r/>
            <w:r>
              <w:rPr>
                <w:sz w:val="17"/>
              </w:rPr>
              <w:t>9.169</w:t>
            </w:r>
          </w:p>
        </w:tc>
        <w:tc>
          <w:tcPr>
            <w:tcW w:type="dxa" w:w="2268"/>
          </w:tcPr>
          <w:p>
            <w:pPr>
              <w:jc w:val="center"/>
            </w:pPr>
            <w:r/>
            <w:r>
              <w:rPr>
                <w:sz w:val="17"/>
              </w:rPr>
              <w:t>0,15%</w:t>
            </w:r>
          </w:p>
        </w:tc>
      </w:tr>
      <w:tr>
        <w:tc>
          <w:tcPr>
            <w:tcW w:type="dxa" w:w="4535"/>
          </w:tcPr>
          <w:p>
            <w:pPr>
              <w:jc w:val="left"/>
            </w:pPr>
            <w:r/>
            <w:r>
              <w:rPr>
                <w:sz w:val="17"/>
              </w:rPr>
              <w:t>PD_CD</w:t>
            </w:r>
          </w:p>
        </w:tc>
        <w:tc>
          <w:tcPr>
            <w:tcW w:type="dxa" w:w="2268"/>
          </w:tcPr>
          <w:p>
            <w:pPr>
              <w:jc w:val="center"/>
            </w:pPr>
            <w:r/>
            <w:r>
              <w:rPr>
                <w:sz w:val="17"/>
              </w:rPr>
              <w:t>884</w:t>
            </w:r>
          </w:p>
        </w:tc>
        <w:tc>
          <w:tcPr>
            <w:tcW w:type="dxa" w:w="2268"/>
          </w:tcPr>
          <w:p>
            <w:pPr>
              <w:jc w:val="center"/>
            </w:pPr>
            <w:r/>
            <w:r>
              <w:rPr>
                <w:sz w:val="17"/>
              </w:rPr>
              <w:t>0,01%</w:t>
            </w:r>
          </w:p>
        </w:tc>
      </w:tr>
      <w:tr>
        <w:tc>
          <w:tcPr>
            <w:tcW w:type="dxa" w:w="4535"/>
          </w:tcPr>
          <w:p>
            <w:pPr>
              <w:jc w:val="left"/>
            </w:pPr>
            <w:r/>
            <w:r>
              <w:rPr>
                <w:sz w:val="17"/>
              </w:rPr>
              <w:t>ARREST_BORO</w:t>
            </w:r>
          </w:p>
        </w:tc>
        <w:tc>
          <w:tcPr>
            <w:tcW w:type="dxa" w:w="2268"/>
          </w:tcPr>
          <w:p>
            <w:pPr>
              <w:jc w:val="center"/>
            </w:pPr>
            <w:r/>
            <w:r>
              <w:rPr>
                <w:sz w:val="17"/>
              </w:rPr>
              <w:t>8</w:t>
            </w:r>
          </w:p>
        </w:tc>
        <w:tc>
          <w:tcPr>
            <w:tcW w:type="dxa" w:w="2268"/>
          </w:tcPr>
          <w:p>
            <w:pPr>
              <w:jc w:val="center"/>
            </w:pPr>
            <w:r/>
            <w:r>
              <w:rPr>
                <w:sz w:val="17"/>
              </w:rPr>
              <w:t>0,00%</w:t>
            </w:r>
          </w:p>
        </w:tc>
      </w:tr>
      <w:tr>
        <w:tc>
          <w:tcPr>
            <w:tcW w:type="dxa" w:w="4535"/>
          </w:tcPr>
          <w:p>
            <w:pPr>
              <w:jc w:val="left"/>
            </w:pPr>
            <w:r/>
            <w:r>
              <w:rPr>
                <w:sz w:val="17"/>
              </w:rPr>
              <w:t>ARREST_DATE, ARREST_PRECINCT, PERP_SEX, PERP_RACE</w:t>
            </w:r>
          </w:p>
        </w:tc>
        <w:tc>
          <w:tcPr>
            <w:tcW w:type="dxa" w:w="2268"/>
          </w:tcPr>
          <w:p>
            <w:pPr>
              <w:jc w:val="center"/>
            </w:pPr>
            <w:r/>
            <w:r>
              <w:rPr>
                <w:sz w:val="17"/>
              </w:rPr>
              <w:t>0</w:t>
            </w:r>
          </w:p>
        </w:tc>
        <w:tc>
          <w:tcPr>
            <w:tcW w:type="dxa" w:w="2268"/>
          </w:tcPr>
          <w:p>
            <w:pPr>
              <w:jc w:val="center"/>
            </w:pPr>
            <w:r/>
            <w:r>
              <w:rPr>
                <w:sz w:val="17"/>
              </w:rPr>
              <w:t>0,00%</w:t>
            </w:r>
          </w:p>
        </w:tc>
      </w:tr>
    </w:tbl>
    <w:p>
      <w:pPr>
        <w:spacing w:after="0" w:before="0"/>
      </w:pPr>
      <w:r>
        <w:rPr>
          <w:sz w:val="8"/>
        </w:rPr>
      </w:r>
    </w:p>
    <w:p>
      <w:r>
        <w:rPr>
          <w:b w:val="0"/>
          <w:i w:val="0"/>
          <w:sz w:val="22"/>
        </w:rPr>
        <w:t>Sobre 6.264.978 registros, el atributo más afectado no alcanza el medio punto porcentual. Los atributos requeridos para el análisis territorial se encuentran íntegros.</w:t>
      </w:r>
    </w:p>
    <w:p>
      <w:pPr>
        <w:pStyle w:val="Heading3"/>
        <w:keepNext/>
      </w:pPr>
      <w:r>
        <w:t>Siniestros – Crashes: deficiencia geográfica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tipo_veh_5</w:t>
            </w:r>
          </w:p>
        </w:tc>
        <w:tc>
          <w:tcPr>
            <w:tcW w:type="dxa" w:w="2268"/>
          </w:tcPr>
          <w:p>
            <w:pPr>
              <w:jc w:val="center"/>
            </w:pPr>
            <w:r/>
            <w:r>
              <w:rPr>
                <w:sz w:val="17"/>
              </w:rPr>
              <w:t>2.259.199</w:t>
            </w:r>
          </w:p>
        </w:tc>
        <w:tc>
          <w:tcPr>
            <w:tcW w:type="dxa" w:w="2268"/>
          </w:tcPr>
          <w:p>
            <w:pPr>
              <w:jc w:val="center"/>
            </w:pPr>
            <w:r/>
            <w:r>
              <w:rPr>
                <w:sz w:val="17"/>
              </w:rPr>
              <w:t>99,56%</w:t>
            </w:r>
          </w:p>
        </w:tc>
      </w:tr>
      <w:tr>
        <w:tc>
          <w:tcPr>
            <w:tcW w:type="dxa" w:w="4535"/>
          </w:tcPr>
          <w:p>
            <w:pPr>
              <w:jc w:val="left"/>
            </w:pPr>
            <w:r/>
            <w:r>
              <w:rPr>
                <w:sz w:val="17"/>
              </w:rPr>
              <w:t>factor_5</w:t>
            </w:r>
          </w:p>
        </w:tc>
        <w:tc>
          <w:tcPr>
            <w:tcW w:type="dxa" w:w="2268"/>
          </w:tcPr>
          <w:p>
            <w:pPr>
              <w:jc w:val="center"/>
            </w:pPr>
            <w:r/>
            <w:r>
              <w:rPr>
                <w:sz w:val="17"/>
              </w:rPr>
              <w:t>2.258.873</w:t>
            </w:r>
          </w:p>
        </w:tc>
        <w:tc>
          <w:tcPr>
            <w:tcW w:type="dxa" w:w="2268"/>
          </w:tcPr>
          <w:p>
            <w:pPr>
              <w:jc w:val="center"/>
            </w:pPr>
            <w:r/>
            <w:r>
              <w:rPr>
                <w:sz w:val="17"/>
              </w:rPr>
              <w:t>99,55%</w:t>
            </w:r>
          </w:p>
        </w:tc>
      </w:tr>
      <w:tr>
        <w:tc>
          <w:tcPr>
            <w:tcW w:type="dxa" w:w="4535"/>
          </w:tcPr>
          <w:p>
            <w:pPr>
              <w:jc w:val="left"/>
            </w:pPr>
            <w:r/>
            <w:r>
              <w:rPr>
                <w:sz w:val="17"/>
              </w:rPr>
              <w:t>off_street_name</w:t>
            </w:r>
          </w:p>
        </w:tc>
        <w:tc>
          <w:tcPr>
            <w:tcW w:type="dxa" w:w="2268"/>
          </w:tcPr>
          <w:p>
            <w:pPr>
              <w:jc w:val="center"/>
            </w:pPr>
            <w:r/>
            <w:r>
              <w:rPr>
                <w:sz w:val="17"/>
              </w:rPr>
              <w:t>1.862.411</w:t>
            </w:r>
          </w:p>
        </w:tc>
        <w:tc>
          <w:tcPr>
            <w:tcW w:type="dxa" w:w="2268"/>
          </w:tcPr>
          <w:p>
            <w:pPr>
              <w:jc w:val="center"/>
            </w:pPr>
            <w:r/>
            <w:r>
              <w:rPr>
                <w:sz w:val="17"/>
              </w:rPr>
              <w:t>82,07%</w:t>
            </w:r>
          </w:p>
        </w:tc>
      </w:tr>
      <w:tr>
        <w:tc>
          <w:tcPr>
            <w:tcW w:type="dxa" w:w="4535"/>
          </w:tcPr>
          <w:p>
            <w:pPr>
              <w:jc w:val="left"/>
            </w:pPr>
            <w:r/>
            <w:r>
              <w:rPr>
                <w:sz w:val="17"/>
              </w:rPr>
              <w:t>cross_street_name</w:t>
            </w:r>
          </w:p>
        </w:tc>
        <w:tc>
          <w:tcPr>
            <w:tcW w:type="dxa" w:w="2268"/>
          </w:tcPr>
          <w:p>
            <w:pPr>
              <w:jc w:val="center"/>
            </w:pPr>
            <w:r/>
            <w:r>
              <w:rPr>
                <w:sz w:val="17"/>
              </w:rPr>
              <w:t>870.164</w:t>
            </w:r>
          </w:p>
        </w:tc>
        <w:tc>
          <w:tcPr>
            <w:tcW w:type="dxa" w:w="2268"/>
          </w:tcPr>
          <w:p>
            <w:pPr>
              <w:jc w:val="center"/>
            </w:pPr>
            <w:r/>
            <w:r>
              <w:rPr>
                <w:sz w:val="17"/>
              </w:rPr>
              <w:t>38,35%</w:t>
            </w:r>
          </w:p>
        </w:tc>
      </w:tr>
      <w:tr>
        <w:tc>
          <w:tcPr>
            <w:tcW w:type="dxa" w:w="4535"/>
          </w:tcPr>
          <w:p>
            <w:pPr>
              <w:jc w:val="left"/>
            </w:pPr>
            <w:r/>
            <w:r>
              <w:rPr>
                <w:sz w:val="17"/>
              </w:rPr>
              <w:t>zip_code</w:t>
            </w:r>
          </w:p>
        </w:tc>
        <w:tc>
          <w:tcPr>
            <w:tcW w:type="dxa" w:w="2268"/>
          </w:tcPr>
          <w:p>
            <w:pPr>
              <w:jc w:val="center"/>
            </w:pPr>
            <w:r/>
            <w:r>
              <w:rPr>
                <w:sz w:val="17"/>
              </w:rPr>
              <w:t>691.703</w:t>
            </w:r>
          </w:p>
        </w:tc>
        <w:tc>
          <w:tcPr>
            <w:tcW w:type="dxa" w:w="2268"/>
          </w:tcPr>
          <w:p>
            <w:pPr>
              <w:jc w:val="center"/>
            </w:pPr>
            <w:r/>
            <w:r>
              <w:rPr>
                <w:sz w:val="17"/>
              </w:rPr>
              <w:t>30,48%</w:t>
            </w:r>
          </w:p>
        </w:tc>
      </w:tr>
      <w:tr>
        <w:tc>
          <w:tcPr>
            <w:tcW w:type="dxa" w:w="4535"/>
          </w:tcPr>
          <w:p>
            <w:pPr>
              <w:jc w:val="left"/>
            </w:pPr>
            <w:r/>
            <w:r>
              <w:rPr>
                <w:sz w:val="17"/>
              </w:rPr>
              <w:t>borough</w:t>
            </w:r>
          </w:p>
        </w:tc>
        <w:tc>
          <w:tcPr>
            <w:tcW w:type="dxa" w:w="2268"/>
          </w:tcPr>
          <w:p>
            <w:pPr>
              <w:jc w:val="center"/>
            </w:pPr>
            <w:r/>
            <w:r>
              <w:rPr>
                <w:sz w:val="17"/>
              </w:rPr>
              <w:t>691.375</w:t>
            </w:r>
          </w:p>
        </w:tc>
        <w:tc>
          <w:tcPr>
            <w:tcW w:type="dxa" w:w="2268"/>
          </w:tcPr>
          <w:p>
            <w:pPr>
              <w:jc w:val="center"/>
            </w:pPr>
            <w:r/>
            <w:r>
              <w:rPr>
                <w:sz w:val="17"/>
              </w:rPr>
              <w:t>30,47%</w:t>
            </w:r>
          </w:p>
        </w:tc>
      </w:tr>
      <w:tr>
        <w:tc>
          <w:tcPr>
            <w:tcW w:type="dxa" w:w="4535"/>
          </w:tcPr>
          <w:p>
            <w:pPr>
              <w:jc w:val="left"/>
            </w:pPr>
            <w:r/>
            <w:r>
              <w:rPr>
                <w:sz w:val="17"/>
              </w:rPr>
              <w:t>latitude / longitude</w:t>
            </w:r>
          </w:p>
        </w:tc>
        <w:tc>
          <w:tcPr>
            <w:tcW w:type="dxa" w:w="2268"/>
          </w:tcPr>
          <w:p>
            <w:pPr>
              <w:jc w:val="center"/>
            </w:pPr>
            <w:r/>
            <w:r>
              <w:rPr>
                <w:sz w:val="17"/>
              </w:rPr>
              <w:t>240.806</w:t>
            </w:r>
          </w:p>
        </w:tc>
        <w:tc>
          <w:tcPr>
            <w:tcW w:type="dxa" w:w="2268"/>
          </w:tcPr>
          <w:p>
            <w:pPr>
              <w:jc w:val="center"/>
            </w:pPr>
            <w:r/>
            <w:r>
              <w:rPr>
                <w:sz w:val="17"/>
              </w:rPr>
              <w:t>10,61%</w:t>
            </w:r>
          </w:p>
        </w:tc>
      </w:tr>
      <w:tr>
        <w:tc>
          <w:tcPr>
            <w:tcW w:type="dxa" w:w="4535"/>
          </w:tcPr>
          <w:p>
            <w:pPr>
              <w:jc w:val="left"/>
            </w:pPr>
            <w:r/>
            <w:r>
              <w:rPr>
                <w:sz w:val="17"/>
              </w:rPr>
              <w:t>n_persons_killed</w:t>
            </w:r>
          </w:p>
        </w:tc>
        <w:tc>
          <w:tcPr>
            <w:tcW w:type="dxa" w:w="2268"/>
          </w:tcPr>
          <w:p>
            <w:pPr>
              <w:jc w:val="center"/>
            </w:pPr>
            <w:r/>
            <w:r>
              <w:rPr>
                <w:sz w:val="17"/>
              </w:rPr>
              <w:t>8.913</w:t>
            </w:r>
          </w:p>
        </w:tc>
        <w:tc>
          <w:tcPr>
            <w:tcW w:type="dxa" w:w="2268"/>
          </w:tcPr>
          <w:p>
            <w:pPr>
              <w:jc w:val="center"/>
            </w:pPr>
            <w:r/>
            <w:r>
              <w:rPr>
                <w:sz w:val="17"/>
              </w:rPr>
              <w:t>0,39%</w:t>
            </w:r>
          </w:p>
        </w:tc>
      </w:tr>
    </w:tbl>
    <w:p>
      <w:pPr>
        <w:spacing w:after="0" w:before="0"/>
      </w:pPr>
      <w:r>
        <w:rPr>
          <w:sz w:val="8"/>
        </w:rPr>
      </w:r>
    </w:p>
    <w:p>
      <w:r>
        <w:rPr>
          <w:b w:val="0"/>
          <w:i w:val="0"/>
          <w:sz w:val="22"/>
        </w:rPr>
        <w:t>La ausencia de distrito en casi un tercio de los registros constituye la principal limitación del conjunto. Los atributos relativos al cuarto y quinto vehículo presentan ausencias superiores al 98%, si bien ello no constituye un defecto: la inmensa mayoría de los siniestros involucra uno o dos vehículos.</w:t>
      </w:r>
    </w:p>
    <w:p>
      <w:pPr>
        <w:pStyle w:val="Heading3"/>
        <w:keepNext/>
      </w:pPr>
      <w:r>
        <w:t>Siniestros – Vehicles: degradación estructural</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4535"/>
            <w:shd w:fill="DCE6F1"/>
          </w:tcPr>
          <w:p>
            <w:pPr>
              <w:jc w:val="center"/>
            </w:pPr>
            <w:r/>
            <w:r>
              <w:rPr>
                <w:b/>
                <w:sz w:val="17"/>
              </w:rPr>
              <w:t>Atributo</w:t>
            </w:r>
          </w:p>
        </w:tc>
        <w:tc>
          <w:tcPr>
            <w:tcW w:type="dxa" w:w="2268"/>
            <w:shd w:fill="DCE6F1"/>
          </w:tcPr>
          <w:p>
            <w:pPr>
              <w:jc w:val="center"/>
            </w:pPr>
            <w:r/>
            <w:r>
              <w:rPr>
                <w:b/>
                <w:sz w:val="17"/>
              </w:rPr>
              <w:t>Faltantes</w:t>
            </w:r>
          </w:p>
        </w:tc>
        <w:tc>
          <w:tcPr>
            <w:tcW w:type="dxa" w:w="2268"/>
            <w:shd w:fill="DCE6F1"/>
          </w:tcPr>
          <w:p>
            <w:pPr>
              <w:jc w:val="center"/>
            </w:pPr>
            <w:r/>
            <w:r>
              <w:rPr>
                <w:b/>
                <w:sz w:val="17"/>
              </w:rPr>
              <w:t>% del total</w:t>
            </w:r>
          </w:p>
        </w:tc>
      </w:tr>
      <w:tr>
        <w:tc>
          <w:tcPr>
            <w:tcW w:type="dxa" w:w="4535"/>
          </w:tcPr>
          <w:p>
            <w:pPr>
              <w:jc w:val="left"/>
            </w:pPr>
            <w:r/>
            <w:r>
              <w:rPr>
                <w:sz w:val="17"/>
              </w:rPr>
              <w:t>public_property_damage_type</w:t>
            </w:r>
          </w:p>
        </w:tc>
        <w:tc>
          <w:tcPr>
            <w:tcW w:type="dxa" w:w="2268"/>
          </w:tcPr>
          <w:p>
            <w:pPr>
              <w:jc w:val="center"/>
            </w:pPr>
            <w:r/>
            <w:r>
              <w:rPr>
                <w:sz w:val="17"/>
              </w:rPr>
              <w:t>4.519.917</w:t>
            </w:r>
          </w:p>
        </w:tc>
        <w:tc>
          <w:tcPr>
            <w:tcW w:type="dxa" w:w="2268"/>
          </w:tcPr>
          <w:p>
            <w:pPr>
              <w:jc w:val="center"/>
            </w:pPr>
            <w:r/>
            <w:r>
              <w:rPr>
                <w:sz w:val="17"/>
              </w:rPr>
              <w:t>99,32%</w:t>
            </w:r>
          </w:p>
        </w:tc>
      </w:tr>
      <w:tr>
        <w:tc>
          <w:tcPr>
            <w:tcW w:type="dxa" w:w="4535"/>
          </w:tcPr>
          <w:p>
            <w:pPr>
              <w:jc w:val="left"/>
            </w:pPr>
            <w:r/>
            <w:r>
              <w:rPr>
                <w:sz w:val="17"/>
              </w:rPr>
              <w:t>vehicle_model</w:t>
            </w:r>
          </w:p>
        </w:tc>
        <w:tc>
          <w:tcPr>
            <w:tcW w:type="dxa" w:w="2268"/>
          </w:tcPr>
          <w:p>
            <w:pPr>
              <w:jc w:val="center"/>
            </w:pPr>
            <w:r/>
            <w:r>
              <w:rPr>
                <w:sz w:val="17"/>
              </w:rPr>
              <w:t>4.490.072</w:t>
            </w:r>
          </w:p>
        </w:tc>
        <w:tc>
          <w:tcPr>
            <w:tcW w:type="dxa" w:w="2268"/>
          </w:tcPr>
          <w:p>
            <w:pPr>
              <w:jc w:val="center"/>
            </w:pPr>
            <w:r/>
            <w:r>
              <w:rPr>
                <w:sz w:val="17"/>
              </w:rPr>
              <w:t>98,66%</w:t>
            </w:r>
          </w:p>
        </w:tc>
      </w:tr>
      <w:tr>
        <w:tc>
          <w:tcPr>
            <w:tcW w:type="dxa" w:w="4535"/>
          </w:tcPr>
          <w:p>
            <w:pPr>
              <w:jc w:val="left"/>
            </w:pPr>
            <w:r/>
            <w:r>
              <w:rPr>
                <w:sz w:val="17"/>
              </w:rPr>
              <w:t>driver_license_status</w:t>
            </w:r>
          </w:p>
        </w:tc>
        <w:tc>
          <w:tcPr>
            <w:tcW w:type="dxa" w:w="2268"/>
          </w:tcPr>
          <w:p>
            <w:pPr>
              <w:jc w:val="center"/>
            </w:pPr>
            <w:r/>
            <w:r>
              <w:rPr>
                <w:sz w:val="17"/>
              </w:rPr>
              <w:t>2.456.358</w:t>
            </w:r>
          </w:p>
        </w:tc>
        <w:tc>
          <w:tcPr>
            <w:tcW w:type="dxa" w:w="2268"/>
          </w:tcPr>
          <w:p>
            <w:pPr>
              <w:jc w:val="center"/>
            </w:pPr>
            <w:r/>
            <w:r>
              <w:rPr>
                <w:sz w:val="17"/>
              </w:rPr>
              <w:t>53,97%</w:t>
            </w:r>
          </w:p>
        </w:tc>
      </w:tr>
      <w:tr>
        <w:tc>
          <w:tcPr>
            <w:tcW w:type="dxa" w:w="4535"/>
          </w:tcPr>
          <w:p>
            <w:pPr>
              <w:jc w:val="left"/>
            </w:pPr>
            <w:r/>
            <w:r>
              <w:rPr>
                <w:sz w:val="17"/>
              </w:rPr>
              <w:t>driver_sex</w:t>
            </w:r>
          </w:p>
        </w:tc>
        <w:tc>
          <w:tcPr>
            <w:tcW w:type="dxa" w:w="2268"/>
          </w:tcPr>
          <w:p>
            <w:pPr>
              <w:jc w:val="center"/>
            </w:pPr>
            <w:r/>
            <w:r>
              <w:rPr>
                <w:sz w:val="17"/>
              </w:rPr>
              <w:t>2.349.139</w:t>
            </w:r>
          </w:p>
        </w:tc>
        <w:tc>
          <w:tcPr>
            <w:tcW w:type="dxa" w:w="2268"/>
          </w:tcPr>
          <w:p>
            <w:pPr>
              <w:jc w:val="center"/>
            </w:pPr>
            <w:r/>
            <w:r>
              <w:rPr>
                <w:sz w:val="17"/>
              </w:rPr>
              <w:t>51,62%</w:t>
            </w:r>
          </w:p>
        </w:tc>
      </w:tr>
      <w:tr>
        <w:tc>
          <w:tcPr>
            <w:tcW w:type="dxa" w:w="4535"/>
          </w:tcPr>
          <w:p>
            <w:pPr>
              <w:jc w:val="left"/>
            </w:pPr>
            <w:r/>
            <w:r>
              <w:rPr>
                <w:sz w:val="17"/>
              </w:rPr>
              <w:t>vehicle_year</w:t>
            </w:r>
          </w:p>
        </w:tc>
        <w:tc>
          <w:tcPr>
            <w:tcW w:type="dxa" w:w="2268"/>
          </w:tcPr>
          <w:p>
            <w:pPr>
              <w:jc w:val="center"/>
            </w:pPr>
            <w:r/>
            <w:r>
              <w:rPr>
                <w:sz w:val="17"/>
              </w:rPr>
              <w:t>1.981.905</w:t>
            </w:r>
          </w:p>
        </w:tc>
        <w:tc>
          <w:tcPr>
            <w:tcW w:type="dxa" w:w="2268"/>
          </w:tcPr>
          <w:p>
            <w:pPr>
              <w:jc w:val="center"/>
            </w:pPr>
            <w:r/>
            <w:r>
              <w:rPr>
                <w:sz w:val="17"/>
              </w:rPr>
              <w:t>43,55%</w:t>
            </w:r>
          </w:p>
        </w:tc>
      </w:tr>
      <w:tr>
        <w:tc>
          <w:tcPr>
            <w:tcW w:type="dxa" w:w="4535"/>
          </w:tcPr>
          <w:p>
            <w:pPr>
              <w:jc w:val="left"/>
            </w:pPr>
            <w:r/>
            <w:r>
              <w:rPr>
                <w:sz w:val="17"/>
              </w:rPr>
              <w:t>contributing_factor_1</w:t>
            </w:r>
          </w:p>
        </w:tc>
        <w:tc>
          <w:tcPr>
            <w:tcW w:type="dxa" w:w="2268"/>
          </w:tcPr>
          <w:p>
            <w:pPr>
              <w:jc w:val="center"/>
            </w:pPr>
            <w:r/>
            <w:r>
              <w:rPr>
                <w:sz w:val="17"/>
              </w:rPr>
              <w:t>170.464</w:t>
            </w:r>
          </w:p>
        </w:tc>
        <w:tc>
          <w:tcPr>
            <w:tcW w:type="dxa" w:w="2268"/>
          </w:tcPr>
          <w:p>
            <w:pPr>
              <w:jc w:val="center"/>
            </w:pPr>
            <w:r/>
            <w:r>
              <w:rPr>
                <w:sz w:val="17"/>
              </w:rPr>
              <w:t>3,75%</w:t>
            </w:r>
          </w:p>
        </w:tc>
      </w:tr>
    </w:tbl>
    <w:p>
      <w:pPr>
        <w:spacing w:after="0" w:before="0"/>
      </w:pPr>
      <w:r>
        <w:rPr>
          <w:sz w:val="8"/>
        </w:rPr>
      </w:r>
    </w:p>
    <w:p>
      <w:r>
        <w:rPr>
          <w:b w:val="0"/>
          <w:i w:val="0"/>
          <w:sz w:val="22"/>
        </w:rPr>
        <w:t>Conforme se demostró en el Elemento 10, esta degradación obedece a una modificación del formulario de captura y no a un deterioro aleatorio de la calidad.</w:t>
      </w:r>
    </w:p>
    <w:p>
      <w:pPr>
        <w:pStyle w:val="Heading2"/>
        <w:keepNext/>
        <w:spacing w:before="240"/>
      </w:pPr>
      <w:r>
        <w:t>5.2 Valores faltantes encubiertos bajo un marcador</w:t>
      </w:r>
    </w:p>
    <w:p>
      <w:r>
        <w:rPr>
          <w:b w:val="0"/>
          <w:i w:val="0"/>
          <w:sz w:val="22"/>
        </w:rPr>
        <w:t>El equipo consultor identificó que el conteo de nulos resulta insuficiente en los conjuntos educativos, por cuanto la ausencia de dato se representa mediante un valor válido. El Departamento de Educación sustituye el valor por el literal «s» en las instituciones con menos de cinco estudiantes, por razones de confidencialidad.</w:t>
      </w:r>
    </w:p>
    <w:p>
      <w:r>
        <w:rPr>
          <w:b w:val="0"/>
          <w:i w:val="0"/>
          <w:sz w:val="22"/>
        </w:rPr>
        <w:t>Se trata de una convención aplicada de manera sistemática y no de una peculiaridad de un único conjunto. El efecto cuantificado es el siguiente:</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3175"/>
            <w:shd w:fill="DCE6F1"/>
          </w:tcPr>
          <w:p>
            <w:pPr>
              <w:jc w:val="center"/>
            </w:pPr>
            <w:r/>
            <w:r>
              <w:rPr>
                <w:b/>
                <w:sz w:val="17"/>
              </w:rPr>
              <w:t>Conjunto</w:t>
            </w:r>
          </w:p>
        </w:tc>
        <w:tc>
          <w:tcPr>
            <w:tcW w:type="dxa" w:w="2041"/>
            <w:shd w:fill="DCE6F1"/>
          </w:tcPr>
          <w:p>
            <w:pPr>
              <w:jc w:val="center"/>
            </w:pPr>
            <w:r/>
            <w:r>
              <w:rPr>
                <w:b/>
                <w:sz w:val="17"/>
              </w:rPr>
              <w:t>Filas afectadas</w:t>
            </w:r>
          </w:p>
        </w:tc>
        <w:tc>
          <w:tcPr>
            <w:tcW w:type="dxa" w:w="1814"/>
            <w:shd w:fill="DCE6F1"/>
          </w:tcPr>
          <w:p>
            <w:pPr>
              <w:jc w:val="center"/>
            </w:pPr>
            <w:r/>
            <w:r>
              <w:rPr>
                <w:b/>
                <w:sz w:val="17"/>
              </w:rPr>
              <w:t>Total</w:t>
            </w:r>
          </w:p>
        </w:tc>
        <w:tc>
          <w:tcPr>
            <w:tcW w:type="dxa" w:w="2041"/>
            <w:shd w:fill="DCE6F1"/>
          </w:tcPr>
          <w:p>
            <w:pPr>
              <w:jc w:val="center"/>
            </w:pPr>
            <w:r/>
            <w:r>
              <w:rPr>
                <w:b/>
                <w:sz w:val="17"/>
              </w:rPr>
              <w:t>% del conjunto</w:t>
            </w:r>
          </w:p>
        </w:tc>
      </w:tr>
      <w:tr>
        <w:tc>
          <w:tcPr>
            <w:tcW w:type="dxa" w:w="3175"/>
          </w:tcPr>
          <w:p>
            <w:pPr>
              <w:jc w:val="left"/>
            </w:pPr>
            <w:r/>
            <w:r>
              <w:rPr>
                <w:sz w:val="17"/>
              </w:rPr>
              <w:t>Regents (puntaje medio)</w:t>
            </w:r>
          </w:p>
        </w:tc>
        <w:tc>
          <w:tcPr>
            <w:tcW w:type="dxa" w:w="2041"/>
          </w:tcPr>
          <w:p>
            <w:pPr>
              <w:jc w:val="center"/>
            </w:pPr>
            <w:r/>
            <w:r>
              <w:rPr>
                <w:sz w:val="17"/>
              </w:rPr>
              <w:t>33.112</w:t>
            </w:r>
          </w:p>
        </w:tc>
        <w:tc>
          <w:tcPr>
            <w:tcW w:type="dxa" w:w="1814"/>
          </w:tcPr>
          <w:p>
            <w:pPr>
              <w:jc w:val="center"/>
            </w:pPr>
            <w:r/>
            <w:r>
              <w:rPr>
                <w:sz w:val="17"/>
              </w:rPr>
              <w:t>82.964</w:t>
            </w:r>
          </w:p>
        </w:tc>
        <w:tc>
          <w:tcPr>
            <w:tcW w:type="dxa" w:w="2041"/>
          </w:tcPr>
          <w:p>
            <w:pPr>
              <w:jc w:val="center"/>
            </w:pPr>
            <w:r/>
            <w:r>
              <w:rPr>
                <w:sz w:val="17"/>
              </w:rPr>
              <w:t>39,91%</w:t>
            </w:r>
          </w:p>
        </w:tc>
      </w:tr>
      <w:tr>
        <w:tc>
          <w:tcPr>
            <w:tcW w:type="dxa" w:w="3175"/>
          </w:tcPr>
          <w:p>
            <w:pPr>
              <w:jc w:val="left"/>
            </w:pPr>
            <w:r/>
            <w:r>
              <w:rPr>
                <w:sz w:val="17"/>
              </w:rPr>
              <w:t>Graduación (tasa)</w:t>
            </w:r>
          </w:p>
        </w:tc>
        <w:tc>
          <w:tcPr>
            <w:tcW w:type="dxa" w:w="2041"/>
          </w:tcPr>
          <w:p>
            <w:pPr>
              <w:jc w:val="center"/>
            </w:pPr>
            <w:r/>
            <w:r>
              <w:rPr>
                <w:sz w:val="17"/>
              </w:rPr>
              <w:t>81.688</w:t>
            </w:r>
          </w:p>
        </w:tc>
        <w:tc>
          <w:tcPr>
            <w:tcW w:type="dxa" w:w="1814"/>
          </w:tcPr>
          <w:p>
            <w:pPr>
              <w:jc w:val="center"/>
            </w:pPr>
            <w:r/>
            <w:r>
              <w:rPr>
                <w:sz w:val="17"/>
              </w:rPr>
              <w:t>321.002</w:t>
            </w:r>
          </w:p>
        </w:tc>
        <w:tc>
          <w:tcPr>
            <w:tcW w:type="dxa" w:w="2041"/>
          </w:tcPr>
          <w:p>
            <w:pPr>
              <w:jc w:val="center"/>
            </w:pPr>
            <w:r/>
            <w:r>
              <w:rPr>
                <w:sz w:val="17"/>
              </w:rPr>
              <w:t>25,45%</w:t>
            </w:r>
          </w:p>
        </w:tc>
      </w:tr>
      <w:tr>
        <w:tc>
          <w:tcPr>
            <w:tcW w:type="dxa" w:w="3175"/>
          </w:tcPr>
          <w:p>
            <w:pPr>
              <w:jc w:val="left"/>
            </w:pPr>
            <w:r/>
            <w:r>
              <w:rPr>
                <w:sz w:val="17"/>
              </w:rPr>
              <w:t>SAT 2012 (cuatro columnas)</w:t>
            </w:r>
          </w:p>
        </w:tc>
        <w:tc>
          <w:tcPr>
            <w:tcW w:type="dxa" w:w="2041"/>
          </w:tcPr>
          <w:p>
            <w:pPr>
              <w:jc w:val="center"/>
            </w:pPr>
            <w:r/>
            <w:r>
              <w:rPr>
                <w:sz w:val="17"/>
              </w:rPr>
              <w:t>57</w:t>
            </w:r>
          </w:p>
        </w:tc>
        <w:tc>
          <w:tcPr>
            <w:tcW w:type="dxa" w:w="1814"/>
          </w:tcPr>
          <w:p>
            <w:pPr>
              <w:jc w:val="center"/>
            </w:pPr>
            <w:r/>
            <w:r>
              <w:rPr>
                <w:sz w:val="17"/>
              </w:rPr>
              <w:t>478</w:t>
            </w:r>
          </w:p>
        </w:tc>
        <w:tc>
          <w:tcPr>
            <w:tcW w:type="dxa" w:w="2041"/>
          </w:tcPr>
          <w:p>
            <w:pPr>
              <w:jc w:val="center"/>
            </w:pPr>
            <w:r/>
            <w:r>
              <w:rPr>
                <w:sz w:val="17"/>
              </w:rPr>
              <w:t>11,92%</w:t>
            </w:r>
          </w:p>
        </w:tc>
      </w:tr>
    </w:tbl>
    <w:p>
      <w:pPr>
        <w:spacing w:after="0" w:before="0"/>
      </w:pPr>
      <w:r>
        <w:rPr>
          <w:sz w:val="8"/>
        </w:rPr>
      </w:r>
    </w:p>
    <w:p>
      <w:r>
        <w:rPr>
          <w:b w:val="0"/>
          <w:i w:val="0"/>
          <w:sz w:val="22"/>
        </w:rPr>
        <w:t>El conteo de nulos sobre el conjunto SAT arrojaba cero ausencias en los seis atributos, lo que sugería una calidad perfecta. Un reporte de calidad que solo busque nulos pasaría por alto casi el 40% del conjunto de Regents.</w:t>
      </w:r>
    </w:p>
    <w:p>
      <w:r>
        <w:rPr>
          <w:b w:val="0"/>
          <w:i/>
          <w:sz w:val="22"/>
        </w:rPr>
        <w:t>Esta circunstancia tuvo además una consecuencia técnica. Apache Spark 4 aplica semántica ANSI en las conversiones de tipo: al encontrar el literal «s» en una columna que se convierte a número, interrumpe la ejecución del trabajo con el error CAST_INVALID_INPUT en lugar de resolver el valor como nulo. Fue necesario emplear la función try_cast, que tolera la entrada malformada.</w:t>
      </w:r>
    </w:p>
    <w:p>
      <w:r>
        <w:rPr>
          <w:b w:val="0"/>
          <w:i w:val="0"/>
          <w:sz w:val="22"/>
        </w:rPr>
        <w:t>Se identificó asimismo un segundo marcador encubierto en los siniestros. La hora 0:00 registra 75.806 eventos, frente a 40.498 de la hora siguiente y 63.665 de la anterior. El exceso resulta incompatible con un patrón de movilidad real y sugiere el empleo de 00:00 como valor por defecto ante el desconocimiento de la hora.</w:t>
      </w:r>
    </w:p>
    <w:p>
      <w:pPr>
        <w:pStyle w:val="Heading2"/>
        <w:keepNext/>
        <w:spacing w:before="240"/>
      </w:pPr>
      <w:r>
        <w:t>5.3 Valores ausentes frente a valores no aplicables</w:t>
      </w:r>
    </w:p>
    <w:p>
      <w:r>
        <w:rPr>
          <w:b w:val="0"/>
          <w:i w:val="0"/>
          <w:sz w:val="22"/>
        </w:rPr>
        <w:t>No todo valor vacío constituye un dato faltante. En el conjunto de pobreza de 2018, la variable eng, que mide el dominio del idioma inglés, solo se diligencia para las personas que declaran hablar otro idioma en el hogar. El contraste con su condición de aplicabilidad arroja el siguiente resultado: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608"/>
            <w:shd w:fill="DCE6F1"/>
          </w:tcPr>
          <w:p>
            <w:pPr>
              <w:jc w:val="center"/>
            </w:pPr>
            <w:r/>
            <w:r>
              <w:rPr>
                <w:b/>
                <w:sz w:val="17"/>
              </w:rPr>
              <w:t>Condición (lanx)</w:t>
            </w:r>
          </w:p>
        </w:tc>
        <w:tc>
          <w:tcPr>
            <w:tcW w:type="dxa" w:w="1587"/>
            <w:shd w:fill="DCE6F1"/>
          </w:tcPr>
          <w:p>
            <w:pPr>
              <w:jc w:val="center"/>
            </w:pPr>
            <w:r/>
            <w:r>
              <w:rPr>
                <w:b/>
                <w:sz w:val="17"/>
              </w:rPr>
              <w:t>Personas</w:t>
            </w:r>
          </w:p>
        </w:tc>
        <w:tc>
          <w:tcPr>
            <w:tcW w:type="dxa" w:w="2041"/>
            <w:shd w:fill="DCE6F1"/>
          </w:tcPr>
          <w:p>
            <w:pPr>
              <w:jc w:val="center"/>
            </w:pPr>
            <w:r/>
            <w:r>
              <w:rPr>
                <w:b/>
                <w:sz w:val="17"/>
              </w:rPr>
              <w:t>Registros sin eng</w:t>
            </w:r>
          </w:p>
        </w:tc>
        <w:tc>
          <w:tcPr>
            <w:tcW w:type="dxa" w:w="2835"/>
            <w:shd w:fill="DCE6F1"/>
          </w:tcPr>
          <w:p>
            <w:pPr>
              <w:jc w:val="center"/>
            </w:pPr>
            <w:r/>
            <w:r>
              <w:rPr>
                <w:b/>
                <w:sz w:val="17"/>
              </w:rPr>
              <w:t>Interpretación</w:t>
            </w:r>
          </w:p>
        </w:tc>
      </w:tr>
      <w:tr>
        <w:tc>
          <w:tcPr>
            <w:tcW w:type="dxa" w:w="2608"/>
          </w:tcPr>
          <w:p>
            <w:pPr>
              <w:jc w:val="left"/>
            </w:pPr>
            <w:r/>
            <w:r>
              <w:rPr>
                <w:sz w:val="17"/>
              </w:rPr>
              <w:t>1 — Habla otro idioma</w:t>
            </w:r>
          </w:p>
        </w:tc>
        <w:tc>
          <w:tcPr>
            <w:tcW w:type="dxa" w:w="1587"/>
          </w:tcPr>
          <w:p>
            <w:pPr>
              <w:jc w:val="center"/>
            </w:pPr>
            <w:r/>
            <w:r>
              <w:rPr>
                <w:sz w:val="17"/>
              </w:rPr>
              <w:t>30.716</w:t>
            </w:r>
          </w:p>
        </w:tc>
        <w:tc>
          <w:tcPr>
            <w:tcW w:type="dxa" w:w="2041"/>
          </w:tcPr>
          <w:p>
            <w:pPr>
              <w:jc w:val="center"/>
            </w:pPr>
            <w:r/>
            <w:r>
              <w:rPr>
                <w:sz w:val="17"/>
              </w:rPr>
              <w:t>0</w:t>
            </w:r>
          </w:p>
        </w:tc>
        <w:tc>
          <w:tcPr>
            <w:tcW w:type="dxa" w:w="2835"/>
          </w:tcPr>
          <w:p>
            <w:pPr>
              <w:jc w:val="center"/>
            </w:pPr>
            <w:r/>
            <w:r>
              <w:rPr>
                <w:sz w:val="17"/>
              </w:rPr>
              <w:t>Diligenciado en su totalidad</w:t>
            </w:r>
          </w:p>
        </w:tc>
      </w:tr>
      <w:tr>
        <w:tc>
          <w:tcPr>
            <w:tcW w:type="dxa" w:w="2608"/>
          </w:tcPr>
          <w:p>
            <w:pPr>
              <w:jc w:val="left"/>
            </w:pPr>
            <w:r/>
            <w:r>
              <w:rPr>
                <w:sz w:val="17"/>
              </w:rPr>
              <w:t>2 — Solo inglés</w:t>
            </w:r>
          </w:p>
        </w:tc>
        <w:tc>
          <w:tcPr>
            <w:tcW w:type="dxa" w:w="1587"/>
          </w:tcPr>
          <w:p>
            <w:pPr>
              <w:jc w:val="center"/>
            </w:pPr>
            <w:r/>
            <w:r>
              <w:rPr>
                <w:sz w:val="17"/>
              </w:rPr>
              <w:t>34.024</w:t>
            </w:r>
          </w:p>
        </w:tc>
        <w:tc>
          <w:tcPr>
            <w:tcW w:type="dxa" w:w="2041"/>
          </w:tcPr>
          <w:p>
            <w:pPr>
              <w:jc w:val="center"/>
            </w:pPr>
            <w:r/>
            <w:r>
              <w:rPr>
                <w:sz w:val="17"/>
              </w:rPr>
              <w:t>34.024</w:t>
            </w:r>
          </w:p>
        </w:tc>
        <w:tc>
          <w:tcPr>
            <w:tcW w:type="dxa" w:w="2835"/>
          </w:tcPr>
          <w:p>
            <w:pPr>
              <w:jc w:val="center"/>
            </w:pPr>
            <w:r/>
            <w:r>
              <w:rPr>
                <w:sz w:val="17"/>
              </w:rPr>
              <w:t>No aplica por definición</w:t>
            </w:r>
          </w:p>
        </w:tc>
      </w:tr>
      <w:tr>
        <w:tc>
          <w:tcPr>
            <w:tcW w:type="dxa" w:w="2608"/>
          </w:tcPr>
          <w:p>
            <w:pPr>
              <w:jc w:val="left"/>
            </w:pPr>
            <w:r/>
            <w:r>
              <w:rPr>
                <w:sz w:val="17"/>
              </w:rPr>
              <w:t>Nulo — menores de 5 años</w:t>
            </w:r>
          </w:p>
        </w:tc>
        <w:tc>
          <w:tcPr>
            <w:tcW w:type="dxa" w:w="1587"/>
          </w:tcPr>
          <w:p>
            <w:pPr>
              <w:jc w:val="center"/>
            </w:pPr>
            <w:r/>
            <w:r>
              <w:rPr>
                <w:sz w:val="17"/>
              </w:rPr>
              <w:t>3.533</w:t>
            </w:r>
          </w:p>
        </w:tc>
        <w:tc>
          <w:tcPr>
            <w:tcW w:type="dxa" w:w="2041"/>
          </w:tcPr>
          <w:p>
            <w:pPr>
              <w:jc w:val="center"/>
            </w:pPr>
            <w:r/>
            <w:r>
              <w:rPr>
                <w:sz w:val="17"/>
              </w:rPr>
              <w:t>3.533</w:t>
            </w:r>
          </w:p>
        </w:tc>
        <w:tc>
          <w:tcPr>
            <w:tcW w:type="dxa" w:w="2835"/>
          </w:tcPr>
          <w:p>
            <w:pPr>
              <w:jc w:val="center"/>
            </w:pPr>
            <w:r/>
            <w:r>
              <w:rPr>
                <w:sz w:val="17"/>
              </w:rPr>
              <w:t>Fuera del universo de la pregunta</w:t>
            </w:r>
          </w:p>
        </w:tc>
      </w:tr>
    </w:tbl>
    <w:p>
      <w:pPr>
        <w:spacing w:after="0" w:before="0"/>
      </w:pPr>
      <w:r>
        <w:rPr>
          <w:sz w:val="8"/>
        </w:rPr>
      </w:r>
    </w:p>
    <w:p>
      <w:r>
        <w:rPr>
          <w:b w:val="0"/>
          <w:i w:val="0"/>
          <w:sz w:val="22"/>
        </w:rPr>
        <w:t>En consecuencia, el conjunto no presenta valor faltante alguno en dicha variable: los 37.557 registros vacíos responden a la estructura del cuestionario. El mismo criterio se aplica a la variable POVPIP del ACS, cuya ausencia identifica a la población situada fuera del universo de pobreza, esto es, la institucionalizada y los menores de quince años no emparentados. Dicha población, 152.529 personas ponderadas, se excluye del denominador conforme al criterio del propio Censo.</w:t>
      </w:r>
    </w:p>
    <w:p>
      <w:pPr>
        <w:pStyle w:val="Heading2"/>
        <w:keepNext/>
        <w:spacing w:before="240"/>
      </w:pPr>
      <w:r>
        <w:t>5.4 Técnicas propuestas para el tratamiento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041"/>
            <w:shd w:fill="DCE6F1"/>
          </w:tcPr>
          <w:p>
            <w:pPr>
              <w:jc w:val="center"/>
            </w:pPr>
            <w:r/>
            <w:r>
              <w:rPr>
                <w:b/>
                <w:sz w:val="16"/>
              </w:rPr>
              <w:t>Situación</w:t>
            </w:r>
          </w:p>
        </w:tc>
        <w:tc>
          <w:tcPr>
            <w:tcW w:type="dxa" w:w="1020"/>
            <w:shd w:fill="DCE6F1"/>
          </w:tcPr>
          <w:p>
            <w:pPr>
              <w:jc w:val="center"/>
            </w:pPr>
            <w:r/>
            <w:r>
              <w:rPr>
                <w:b/>
                <w:sz w:val="16"/>
              </w:rPr>
              <w:t>Alcance</w:t>
            </w:r>
          </w:p>
        </w:tc>
        <w:tc>
          <w:tcPr>
            <w:tcW w:type="dxa" w:w="2494"/>
            <w:shd w:fill="DCE6F1"/>
          </w:tcPr>
          <w:p>
            <w:pPr>
              <w:jc w:val="center"/>
            </w:pPr>
            <w:r/>
            <w:r>
              <w:rPr>
                <w:b/>
                <w:sz w:val="16"/>
              </w:rPr>
              <w:t>Técnica propuesta</w:t>
            </w:r>
          </w:p>
        </w:tc>
        <w:tc>
          <w:tcPr>
            <w:tcW w:type="dxa" w:w="3515"/>
            <w:shd w:fill="DCE6F1"/>
          </w:tcPr>
          <w:p>
            <w:pPr>
              <w:jc w:val="center"/>
            </w:pPr>
            <w:r/>
            <w:r>
              <w:rPr>
                <w:b/>
                <w:sz w:val="16"/>
              </w:rPr>
              <w:t>Justificación</w:t>
            </w:r>
          </w:p>
        </w:tc>
      </w:tr>
      <w:tr>
        <w:tc>
          <w:tcPr>
            <w:tcW w:type="dxa" w:w="2041"/>
          </w:tcPr>
          <w:p>
            <w:pPr>
              <w:jc w:val="left"/>
            </w:pPr>
            <w:r/>
            <w:r>
              <w:rPr>
                <w:sz w:val="16"/>
              </w:rPr>
              <w:t>borough ausente en Crashes</w:t>
            </w:r>
          </w:p>
        </w:tc>
        <w:tc>
          <w:tcPr>
            <w:tcW w:type="dxa" w:w="1020"/>
          </w:tcPr>
          <w:p>
            <w:pPr>
              <w:jc w:val="center"/>
            </w:pPr>
            <w:r/>
            <w:r>
              <w:rPr>
                <w:sz w:val="16"/>
              </w:rPr>
              <w:t>30,47%</w:t>
            </w:r>
          </w:p>
        </w:tc>
        <w:tc>
          <w:tcPr>
            <w:tcW w:type="dxa" w:w="2494"/>
          </w:tcPr>
          <w:p>
            <w:pPr>
              <w:jc w:val="center"/>
            </w:pPr>
            <w:r/>
            <w:r>
              <w:rPr>
                <w:sz w:val="16"/>
              </w:rPr>
              <w:t>Imputación geoespacial a partir de las coordenadas</w:t>
            </w:r>
          </w:p>
        </w:tc>
        <w:tc>
          <w:tcPr>
            <w:tcW w:type="dxa" w:w="3515"/>
          </w:tcPr>
          <w:p>
            <w:pPr>
              <w:jc w:val="center"/>
            </w:pPr>
            <w:r/>
            <w:r>
              <w:rPr>
                <w:sz w:val="16"/>
              </w:rPr>
              <w:t>Solo el 10,61% carece de coordenadas, de modo que unos 450.000 registros admiten recuperación mediante contraste con los polígonos distritales</w:t>
            </w:r>
          </w:p>
        </w:tc>
      </w:tr>
      <w:tr>
        <w:tc>
          <w:tcPr>
            <w:tcW w:type="dxa" w:w="2041"/>
          </w:tcPr>
          <w:p>
            <w:pPr>
              <w:jc w:val="left"/>
            </w:pPr>
            <w:r/>
            <w:r>
              <w:rPr>
                <w:sz w:val="16"/>
              </w:rPr>
              <w:t>Coordenadas ausentes</w:t>
            </w:r>
          </w:p>
        </w:tc>
        <w:tc>
          <w:tcPr>
            <w:tcW w:type="dxa" w:w="1020"/>
          </w:tcPr>
          <w:p>
            <w:pPr>
              <w:jc w:val="center"/>
            </w:pPr>
            <w:r/>
            <w:r>
              <w:rPr>
                <w:sz w:val="16"/>
              </w:rPr>
              <w:t>10,61%</w:t>
            </w:r>
          </w:p>
        </w:tc>
        <w:tc>
          <w:tcPr>
            <w:tcW w:type="dxa" w:w="2494"/>
          </w:tcPr>
          <w:p>
            <w:pPr>
              <w:jc w:val="center"/>
            </w:pPr>
            <w:r/>
            <w:r>
              <w:rPr>
                <w:sz w:val="16"/>
              </w:rPr>
              <w:t>Exclusión del análisis territorial</w:t>
            </w:r>
          </w:p>
        </w:tc>
        <w:tc>
          <w:tcPr>
            <w:tcW w:type="dxa" w:w="3515"/>
          </w:tcPr>
          <w:p>
            <w:pPr>
              <w:jc w:val="center"/>
            </w:pPr>
            <w:r/>
            <w:r>
              <w:rPr>
                <w:sz w:val="16"/>
              </w:rPr>
              <w:t>No existe información alternativa que permita su recuperación</w:t>
            </w:r>
          </w:p>
        </w:tc>
      </w:tr>
      <w:tr>
        <w:tc>
          <w:tcPr>
            <w:tcW w:type="dxa" w:w="2041"/>
          </w:tcPr>
          <w:p>
            <w:pPr>
              <w:jc w:val="left"/>
            </w:pPr>
            <w:r/>
            <w:r>
              <w:rPr>
                <w:sz w:val="16"/>
              </w:rPr>
              <w:t>Atributos del conductor en Vehicles</w:t>
            </w:r>
          </w:p>
        </w:tc>
        <w:tc>
          <w:tcPr>
            <w:tcW w:type="dxa" w:w="1020"/>
          </w:tcPr>
          <w:p>
            <w:pPr>
              <w:jc w:val="center"/>
            </w:pPr>
            <w:r/>
            <w:r>
              <w:rPr>
                <w:sz w:val="16"/>
              </w:rPr>
              <w:t>51,62%</w:t>
            </w:r>
          </w:p>
        </w:tc>
        <w:tc>
          <w:tcPr>
            <w:tcW w:type="dxa" w:w="2494"/>
          </w:tcPr>
          <w:p>
            <w:pPr>
              <w:jc w:val="center"/>
            </w:pPr>
            <w:r/>
            <w:r>
              <w:rPr>
                <w:sz w:val="16"/>
              </w:rPr>
              <w:t>Restricción de la ventana temporal a 2016 en adelante</w:t>
            </w:r>
          </w:p>
        </w:tc>
        <w:tc>
          <w:tcPr>
            <w:tcW w:type="dxa" w:w="3515"/>
          </w:tcPr>
          <w:p>
            <w:pPr>
              <w:jc w:val="center"/>
            </w:pPr>
            <w:r/>
            <w:r>
              <w:rPr>
                <w:sz w:val="16"/>
              </w:rPr>
              <w:t>La ausencia es estructural y anterior a la captura del dato; imputarla equivaldría a fabricar información</w:t>
            </w:r>
          </w:p>
        </w:tc>
      </w:tr>
      <w:tr>
        <w:tc>
          <w:tcPr>
            <w:tcW w:type="dxa" w:w="2041"/>
          </w:tcPr>
          <w:p>
            <w:pPr>
              <w:jc w:val="left"/>
            </w:pPr>
            <w:r/>
            <w:r>
              <w:rPr>
                <w:sz w:val="16"/>
              </w:rPr>
              <w:t>Marcador «s» en Regents, graduación y SAT</w:t>
            </w:r>
          </w:p>
        </w:tc>
        <w:tc>
          <w:tcPr>
            <w:tcW w:type="dxa" w:w="1020"/>
          </w:tcPr>
          <w:p>
            <w:pPr>
              <w:jc w:val="center"/>
            </w:pPr>
            <w:r/>
            <w:r>
              <w:rPr>
                <w:sz w:val="16"/>
              </w:rPr>
              <w:t>hasta 39,91%</w:t>
            </w:r>
          </w:p>
        </w:tc>
        <w:tc>
          <w:tcPr>
            <w:tcW w:type="dxa" w:w="2494"/>
          </w:tcPr>
          <w:p>
            <w:pPr>
              <w:jc w:val="center"/>
            </w:pPr>
            <w:r/>
            <w:r>
              <w:rPr>
                <w:sz w:val="16"/>
              </w:rPr>
              <w:t>Conversión tolerante a nulo mediante try_cast y exclusión de los promedios</w:t>
            </w:r>
          </w:p>
        </w:tc>
        <w:tc>
          <w:tcPr>
            <w:tcW w:type="dxa" w:w="3515"/>
          </w:tcPr>
          <w:p>
            <w:pPr>
              <w:jc w:val="center"/>
            </w:pPr>
            <w:r/>
            <w:r>
              <w:rPr>
                <w:sz w:val="16"/>
              </w:rPr>
              <w:t>El valor suprimido no admite estimación; además su conversión estricta interrumpe la ejecución en Spark 4</w:t>
            </w:r>
          </w:p>
        </w:tc>
      </w:tr>
      <w:tr>
        <w:tc>
          <w:tcPr>
            <w:tcW w:type="dxa" w:w="2041"/>
          </w:tcPr>
          <w:p>
            <w:pPr>
              <w:jc w:val="left"/>
            </w:pPr>
            <w:r/>
            <w:r>
              <w:rPr>
                <w:sz w:val="16"/>
              </w:rPr>
              <w:t>Hora 0:00 en Crashes</w:t>
            </w:r>
          </w:p>
        </w:tc>
        <w:tc>
          <w:tcPr>
            <w:tcW w:type="dxa" w:w="1020"/>
          </w:tcPr>
          <w:p>
            <w:pPr>
              <w:jc w:val="center"/>
            </w:pPr>
            <w:r/>
            <w:r>
              <w:rPr>
                <w:sz w:val="16"/>
              </w:rPr>
              <w:t>3,34%</w:t>
            </w:r>
          </w:p>
        </w:tc>
        <w:tc>
          <w:tcPr>
            <w:tcW w:type="dxa" w:w="2494"/>
          </w:tcPr>
          <w:p>
            <w:pPr>
              <w:jc w:val="center"/>
            </w:pPr>
            <w:r/>
            <w:r>
              <w:rPr>
                <w:sz w:val="16"/>
              </w:rPr>
              <w:t>Marcado como hora desconocida</w:t>
            </w:r>
          </w:p>
        </w:tc>
        <w:tc>
          <w:tcPr>
            <w:tcW w:type="dxa" w:w="3515"/>
          </w:tcPr>
          <w:p>
            <w:pPr>
              <w:jc w:val="center"/>
            </w:pPr>
            <w:r/>
            <w:r>
              <w:rPr>
                <w:sz w:val="16"/>
              </w:rPr>
              <w:t>Su conservación distorsionaría el análisis de franjas horarias</w:t>
            </w:r>
          </w:p>
        </w:tc>
      </w:tr>
      <w:tr>
        <w:tc>
          <w:tcPr>
            <w:tcW w:type="dxa" w:w="2041"/>
          </w:tcPr>
          <w:p>
            <w:pPr>
              <w:jc w:val="left"/>
            </w:pPr>
            <w:r/>
            <w:r>
              <w:rPr>
                <w:sz w:val="16"/>
              </w:rPr>
              <w:t>LAW_CAT_CD ausente</w:t>
            </w:r>
          </w:p>
        </w:tc>
        <w:tc>
          <w:tcPr>
            <w:tcW w:type="dxa" w:w="1020"/>
          </w:tcPr>
          <w:p>
            <w:pPr>
              <w:jc w:val="center"/>
            </w:pPr>
            <w:r/>
            <w:r>
              <w:rPr>
                <w:sz w:val="16"/>
              </w:rPr>
              <w:t>0,42%</w:t>
            </w:r>
          </w:p>
        </w:tc>
        <w:tc>
          <w:tcPr>
            <w:tcW w:type="dxa" w:w="2494"/>
          </w:tcPr>
          <w:p>
            <w:pPr>
              <w:jc w:val="center"/>
            </w:pPr>
            <w:r/>
            <w:r>
              <w:rPr>
                <w:sz w:val="16"/>
              </w:rPr>
              <w:t>Imputación por moda condicionada a KY_CD</w:t>
            </w:r>
          </w:p>
        </w:tc>
        <w:tc>
          <w:tcPr>
            <w:tcW w:type="dxa" w:w="3515"/>
          </w:tcPr>
          <w:p>
            <w:pPr>
              <w:jc w:val="center"/>
            </w:pPr>
            <w:r/>
            <w:r>
              <w:rPr>
                <w:sz w:val="16"/>
              </w:rPr>
              <w:t>La gravedad se encuentra determinada por la categoría delictiva</w:t>
            </w:r>
          </w:p>
        </w:tc>
      </w:tr>
      <w:tr>
        <w:tc>
          <w:tcPr>
            <w:tcW w:type="dxa" w:w="2041"/>
          </w:tcPr>
          <w:p>
            <w:pPr>
              <w:jc w:val="left"/>
            </w:pPr>
            <w:r/>
            <w:r>
              <w:rPr>
                <w:sz w:val="16"/>
              </w:rPr>
              <w:t>factor_1 sin especificar</w:t>
            </w:r>
          </w:p>
        </w:tc>
        <w:tc>
          <w:tcPr>
            <w:tcW w:type="dxa" w:w="1020"/>
          </w:tcPr>
          <w:p>
            <w:pPr>
              <w:jc w:val="center"/>
            </w:pPr>
            <w:r/>
            <w:r>
              <w:rPr>
                <w:sz w:val="16"/>
              </w:rPr>
              <w:t>33,3%</w:t>
            </w:r>
          </w:p>
        </w:tc>
        <w:tc>
          <w:tcPr>
            <w:tcW w:type="dxa" w:w="2494"/>
          </w:tcPr>
          <w:p>
            <w:pPr>
              <w:jc w:val="center"/>
            </w:pPr>
            <w:r/>
            <w:r>
              <w:rPr>
                <w:sz w:val="16"/>
              </w:rPr>
              <w:t>Conservación como categoría propia</w:t>
            </w:r>
          </w:p>
        </w:tc>
        <w:tc>
          <w:tcPr>
            <w:tcW w:type="dxa" w:w="3515"/>
          </w:tcPr>
          <w:p>
            <w:pPr>
              <w:jc w:val="center"/>
            </w:pPr>
            <w:r/>
            <w:r>
              <w:rPr>
                <w:sz w:val="16"/>
              </w:rPr>
              <w:t>«Unspecified» es una respuesta válida del formulario y no una ausencia</w:t>
            </w:r>
          </w:p>
        </w:tc>
      </w:tr>
      <w:tr>
        <w:tc>
          <w:tcPr>
            <w:tcW w:type="dxa" w:w="2041"/>
          </w:tcPr>
          <w:p>
            <w:pPr>
              <w:jc w:val="left"/>
            </w:pPr>
            <w:r/>
            <w:r>
              <w:rPr>
                <w:sz w:val="16"/>
              </w:rPr>
              <w:t>Variables eng y POVPIP</w:t>
            </w:r>
          </w:p>
        </w:tc>
        <w:tc>
          <w:tcPr>
            <w:tcW w:type="dxa" w:w="1020"/>
          </w:tcPr>
          <w:p>
            <w:pPr>
              <w:jc w:val="center"/>
            </w:pPr>
            <w:r/>
            <w:r>
              <w:rPr>
                <w:sz w:val="16"/>
              </w:rPr>
              <w:t>55,0% / 1,8%</w:t>
            </w:r>
          </w:p>
        </w:tc>
        <w:tc>
          <w:tcPr>
            <w:tcW w:type="dxa" w:w="2494"/>
          </w:tcPr>
          <w:p>
            <w:pPr>
              <w:jc w:val="center"/>
            </w:pPr>
            <w:r/>
            <w:r>
              <w:rPr>
                <w:sz w:val="16"/>
              </w:rPr>
              <w:t>Ningún tratamiento</w:t>
            </w:r>
          </w:p>
        </w:tc>
        <w:tc>
          <w:tcPr>
            <w:tcW w:type="dxa" w:w="3515"/>
          </w:tcPr>
          <w:p>
            <w:pPr>
              <w:jc w:val="center"/>
            </w:pPr>
            <w:r/>
            <w:r>
              <w:rPr>
                <w:sz w:val="16"/>
              </w:rPr>
              <w:t>Corresponden a valores no aplicables y no a datos faltantes</w:t>
            </w:r>
          </w:p>
        </w:tc>
      </w:tr>
    </w:tbl>
    <w:p>
      <w:pPr>
        <w:spacing w:after="0" w:before="0"/>
      </w:pPr>
      <w:r>
        <w:rPr>
          <w:sz w:val="8"/>
        </w:rPr>
      </w:r>
    </w:p>
    <w:p>
      <w:pPr>
        <w:pStyle w:val="Heading1"/>
        <w:keepNext/>
        <w:spacing w:before="360"/>
      </w:pPr>
      <w:r>
        <w:t>6. Planteamiento de preguntas sobre los datos</w:t>
      </w:r>
    </w:p>
    <w:p>
      <w:r>
        <w:rPr>
          <w:b w:val="0"/>
          <w:i w:val="0"/>
          <w:sz w:val="22"/>
        </w:rPr>
        <w:t>Se formulan a continuación diez preguntas de negocio derivadas del objetivo de consultoría, a las cuales se dará respuesta en la entrega final del proyecto. Todas ellas resultan abordables con los conjuntos seleccionados y con la infraestructura descrita.</w:t>
      </w:r>
    </w:p>
    <w:p>
      <w:pPr>
        <w:spacing w:after="40"/>
      </w:pPr>
      <w:r>
        <w:rPr>
          <w:b/>
          <w:color w:val="1F4E79"/>
        </w:rPr>
        <w:t xml:space="preserve">Pregunta 1. </w:t>
      </w:r>
      <w:r>
        <w:t>¿Cuáles son los diez precintos policiales con mayor tasa de arrestos por cada cien mil habitantes y qué composición delictiva presentan?</w:t>
      </w:r>
    </w:p>
    <w:p>
      <w:pPr>
        <w:spacing w:after="180"/>
        <w:ind w:left="454"/>
      </w:pPr>
      <w:r>
        <w:rPr>
          <w:i/>
          <w:sz w:val="19"/>
        </w:rPr>
        <w:t>Pertinencia: Permite pasar de la priorización por distrito a la priorización por precinto, que es la unidad sobre la que efectivamente se asignan recursos policiales.</w:t>
      </w:r>
    </w:p>
    <w:p>
      <w:pPr>
        <w:spacing w:after="40"/>
      </w:pPr>
      <w:r>
        <w:rPr>
          <w:b/>
          <w:color w:val="1F4E79"/>
        </w:rPr>
        <w:t xml:space="preserve">Pregunta 2. </w:t>
      </w:r>
      <w:r>
        <w:t>¿En qué medida la tasa de pobreza de un distrito se asocia con su tasa de arrestos, una vez controlado el tamaño de la población, empleando datos del mismo año?</w:t>
      </w:r>
    </w:p>
    <w:p>
      <w:pPr>
        <w:spacing w:after="180"/>
        <w:ind w:left="454"/>
      </w:pPr>
      <w:r>
        <w:rPr>
          <w:i/>
          <w:sz w:val="19"/>
        </w:rPr>
        <w:t>Pertinencia: Contrasta formalmente la coincidencia territorial descrita en el Elemento 13, sobre una base temporalmente homogénea.</w:t>
      </w:r>
    </w:p>
    <w:p>
      <w:pPr>
        <w:spacing w:after="40"/>
      </w:pPr>
      <w:r>
        <w:rPr>
          <w:b/>
          <w:color w:val="1F4E79"/>
        </w:rPr>
        <w:t xml:space="preserve">Pregunta 3. </w:t>
      </w:r>
      <w:r>
        <w:t>¿Por qué la siniestralidad vial no sigue el mismo patrón territorial que los arrestos, y qué distingue a Brooklyn del Bronx en este aspecto?</w:t>
      </w:r>
    </w:p>
    <w:p>
      <w:pPr>
        <w:spacing w:after="180"/>
        <w:ind w:left="454"/>
      </w:pPr>
      <w:r>
        <w:rPr>
          <w:i/>
          <w:sz w:val="19"/>
        </w:rPr>
        <w:t>Pertinencia: Los dos indicadores del encargo identifican territorios prioritarios distintos, lo que obliga a explicar la divergencia antes de recomendar una asignación de recursos.</w:t>
      </w:r>
    </w:p>
    <w:p>
      <w:pPr>
        <w:spacing w:after="40"/>
      </w:pPr>
      <w:r>
        <w:rPr>
          <w:b/>
          <w:color w:val="1F4E79"/>
        </w:rPr>
        <w:t xml:space="preserve">Pregunta 4. </w:t>
      </w:r>
      <w:r>
        <w:t>¿Qué explica la caída de Manhattan desde la primera hasta la cuarta posición en siniestralidad, y qué elementos de esa experiencia resultan transferibles?</w:t>
      </w:r>
    </w:p>
    <w:p>
      <w:pPr>
        <w:spacing w:after="180"/>
        <w:ind w:left="454"/>
      </w:pPr>
      <w:r>
        <w:rPr>
          <w:i/>
          <w:sz w:val="19"/>
        </w:rPr>
        <w:t>Pertinencia: Es la mejora más pronunciada que registran los datos; identificar su causa tiene un valor directo para el diseño de la intervención.</w:t>
      </w:r>
    </w:p>
    <w:p>
      <w:pPr>
        <w:spacing w:after="40"/>
      </w:pPr>
      <w:r>
        <w:rPr>
          <w:b/>
          <w:color w:val="1F4E79"/>
        </w:rPr>
        <w:t xml:space="preserve">Pregunta 5. </w:t>
      </w:r>
      <w:r>
        <w:t>¿Qué corredores viales concentran el mayor número de siniestros con víctimas, y cuántos de ellos se ubican en los distritos de mayor pobreza?</w:t>
      </w:r>
    </w:p>
    <w:p>
      <w:pPr>
        <w:spacing w:after="180"/>
        <w:ind w:left="454"/>
      </w:pPr>
      <w:r>
        <w:rPr>
          <w:i/>
          <w:sz w:val="19"/>
        </w:rPr>
        <w:t>Pertinencia: El atributo on_street_name permite descender de la escala distrital a la de vía, que es la escala de la intervención en infraestructura.</w:t>
      </w:r>
    </w:p>
    <w:p>
      <w:pPr>
        <w:spacing w:after="40"/>
      </w:pPr>
      <w:r>
        <w:rPr>
          <w:b/>
          <w:color w:val="1F4E79"/>
        </w:rPr>
        <w:t xml:space="preserve">Pregunta 6. </w:t>
      </w:r>
      <w:r>
        <w:t>¿Qué factores contribuyentes se asocian con mayor letalidad y no únicamente con mayor frecuencia?</w:t>
      </w:r>
    </w:p>
    <w:p>
      <w:pPr>
        <w:spacing w:after="180"/>
        <w:ind w:left="454"/>
      </w:pPr>
      <w:r>
        <w:rPr>
          <w:i/>
          <w:sz w:val="19"/>
        </w:rPr>
        <w:t>Pertinencia: La distracción domina en frecuencia, pero no necesariamente en gravedad. La distinción resulta determinante para priorizar medidas.</w:t>
      </w:r>
    </w:p>
    <w:p>
      <w:pPr>
        <w:spacing w:after="40"/>
      </w:pPr>
      <w:r>
        <w:rPr>
          <w:b/>
          <w:color w:val="1F4E79"/>
        </w:rPr>
        <w:t xml:space="preserve">Pregunta 7. </w:t>
      </w:r>
      <w:r>
        <w:t>¿Cómo ha variado la composición por gravedad de los arrestos entre 2006 y 2026, y qué revela esa variación sobre el cambio en las prácticas de aplicación de la ley?</w:t>
      </w:r>
    </w:p>
    <w:p>
      <w:pPr>
        <w:spacing w:after="180"/>
        <w:ind w:left="454"/>
      </w:pPr>
      <w:r>
        <w:rPr>
          <w:i/>
          <w:sz w:val="19"/>
        </w:rPr>
        <w:t>Pertinencia: Un descenso de arrestos con recomposición hacia delitos graves admite una lectura distinta de un descenso uniforme.</w:t>
      </w:r>
    </w:p>
    <w:p>
      <w:pPr>
        <w:spacing w:after="40"/>
      </w:pPr>
      <w:r>
        <w:rPr>
          <w:b/>
          <w:color w:val="1F4E79"/>
        </w:rPr>
        <w:t xml:space="preserve">Pregunta 8. </w:t>
      </w:r>
      <w:r>
        <w:t>¿Existe asociación entre la tasa de graduación de un distrito y su tasa de arrestos de personas menores de 18 años?</w:t>
      </w:r>
    </w:p>
    <w:p>
      <w:pPr>
        <w:spacing w:after="180"/>
        <w:ind w:left="454"/>
      </w:pPr>
      <w:r>
        <w:rPr>
          <w:i/>
          <w:sz w:val="19"/>
        </w:rPr>
        <w:t>Pertinencia: Vincula el conjunto educativo con el indicador de seguridad en el grupo etario sobre el cual la intervención preventiva resulta más eficaz.</w:t>
      </w:r>
    </w:p>
    <w:p>
      <w:pPr>
        <w:spacing w:after="40"/>
      </w:pPr>
      <w:r>
        <w:rPr>
          <w:b/>
          <w:color w:val="1F4E79"/>
        </w:rPr>
        <w:t xml:space="preserve">Pregunta 9. </w:t>
      </w:r>
      <w:r>
        <w:t>¿Qué combinación de tipo de vehículo, maniobra previa y punto de impacto concentra los siniestros con fallecidos a partir de 2016?</w:t>
      </w:r>
    </w:p>
    <w:p>
      <w:pPr>
        <w:spacing w:after="180"/>
        <w:ind w:left="454"/>
      </w:pPr>
      <w:r>
        <w:rPr>
          <w:i/>
          <w:sz w:val="19"/>
        </w:rPr>
        <w:t>Pertinencia: Explota el conjunto Vehicles dentro de la ventana temporal en que sus atributos resultan fiables.</w:t>
      </w:r>
    </w:p>
    <w:p>
      <w:pPr>
        <w:spacing w:after="40"/>
      </w:pPr>
      <w:r>
        <w:rPr>
          <w:b/>
          <w:color w:val="1F4E79"/>
        </w:rPr>
        <w:t xml:space="preserve">Pregunta 10. </w:t>
      </w:r>
      <w:r>
        <w:t>¿Qué porcentaje de los arrestos y de los siniestros se concentraría en el diez por ciento de las zonas más críticas, y qué cobertura alcanzaría una intervención focalizada en ellas?</w:t>
      </w:r>
    </w:p>
    <w:p>
      <w:pPr>
        <w:spacing w:after="180"/>
        <w:ind w:left="454"/>
      </w:pPr>
      <w:r>
        <w:rPr>
          <w:i/>
          <w:sz w:val="19"/>
        </w:rPr>
        <w:t>Pertinencia: Cuantifica el retorno esperado de la focalización frente a una política uniforme, que es el argumento central ante los tomadores de decisiones.</w:t>
      </w:r>
    </w:p>
    <w:p>
      <w:pPr>
        <w:pStyle w:val="Heading1"/>
        <w:keepNext/>
        <w:spacing w:before="360"/>
      </w:pPr>
      <w:r>
        <w:t>7. Filtros, limpieza y transformación inicial</w:t>
      </w:r>
    </w:p>
    <w:p>
      <w:r>
        <w:rPr>
          <w:b w:val="0"/>
          <w:i w:val="0"/>
          <w:sz w:val="22"/>
        </w:rPr>
        <w:t>Se relacionan las operaciones ya aplicadas sobre los datos, así como aquellas previstas para la entrega final.</w:t>
      </w:r>
    </w:p>
    <w:p>
      <w:pPr>
        <w:pStyle w:val="Heading2"/>
        <w:keepNext/>
        <w:spacing w:before="240"/>
      </w:pPr>
      <w:r>
        <w:t>7.1 Transformaciones aplicadas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041"/>
            <w:shd w:fill="DCE6F1"/>
          </w:tcPr>
          <w:p>
            <w:pPr>
              <w:jc w:val="center"/>
            </w:pPr>
            <w:r/>
            <w:r>
              <w:rPr>
                <w:b/>
                <w:sz w:val="17"/>
              </w:rPr>
              <w:t>Transformación</w:t>
            </w:r>
          </w:p>
        </w:tc>
        <w:tc>
          <w:tcPr>
            <w:tcW w:type="dxa" w:w="1928"/>
            <w:shd w:fill="DCE6F1"/>
          </w:tcPr>
          <w:p>
            <w:pPr>
              <w:jc w:val="center"/>
            </w:pPr>
            <w:r/>
            <w:r>
              <w:rPr>
                <w:b/>
                <w:sz w:val="17"/>
              </w:rPr>
              <w:t>Conjunto</w:t>
            </w:r>
          </w:p>
        </w:tc>
        <w:tc>
          <w:tcPr>
            <w:tcW w:type="dxa" w:w="5102"/>
            <w:shd w:fill="DCE6F1"/>
          </w:tcPr>
          <w:p>
            <w:pPr>
              <w:jc w:val="center"/>
            </w:pPr>
            <w:r/>
            <w:r>
              <w:rPr>
                <w:b/>
                <w:sz w:val="17"/>
              </w:rPr>
              <w:t>Descripción</w:t>
            </w:r>
          </w:p>
        </w:tc>
      </w:tr>
      <w:tr>
        <w:tc>
          <w:tcPr>
            <w:tcW w:type="dxa" w:w="2041"/>
          </w:tcPr>
          <w:p>
            <w:pPr>
              <w:jc w:val="left"/>
            </w:pPr>
            <w:r/>
            <w:r>
              <w:rPr>
                <w:sz w:val="17"/>
              </w:rPr>
              <w:t>Conversión de fechas</w:t>
            </w:r>
          </w:p>
        </w:tc>
        <w:tc>
          <w:tcPr>
            <w:tcW w:type="dxa" w:w="1928"/>
          </w:tcPr>
          <w:p>
            <w:pPr>
              <w:jc w:val="center"/>
            </w:pPr>
            <w:r/>
            <w:r>
              <w:rPr>
                <w:sz w:val="17"/>
              </w:rPr>
              <w:t>Arrestos, Crashes, Vehicles</w:t>
            </w:r>
          </w:p>
        </w:tc>
        <w:tc>
          <w:tcPr>
            <w:tcW w:type="dxa" w:w="5102"/>
          </w:tcPr>
          <w:p>
            <w:pPr>
              <w:jc w:val="center"/>
            </w:pPr>
            <w:r/>
            <w:r>
              <w:rPr>
                <w:sz w:val="17"/>
              </w:rPr>
              <w:t>Los campos de fecha se reciben como texto en formato MM/dd/yyyy y se convierten a tipo date; sin esta conversión permanecerían como cadenas y no admitirían operaciones temporales</w:t>
            </w:r>
          </w:p>
        </w:tc>
      </w:tr>
      <w:tr>
        <w:tc>
          <w:tcPr>
            <w:tcW w:type="dxa" w:w="2041"/>
          </w:tcPr>
          <w:p>
            <w:pPr>
              <w:jc w:val="left"/>
            </w:pPr>
            <w:r/>
            <w:r>
              <w:rPr>
                <w:sz w:val="17"/>
              </w:rPr>
              <w:t>Normalización de nombres</w:t>
            </w:r>
          </w:p>
        </w:tc>
        <w:tc>
          <w:tcPr>
            <w:tcW w:type="dxa" w:w="1928"/>
          </w:tcPr>
          <w:p>
            <w:pPr>
              <w:jc w:val="center"/>
            </w:pPr>
            <w:r/>
            <w:r>
              <w:rPr>
                <w:sz w:val="17"/>
              </w:rPr>
              <w:t>Arrestos</w:t>
            </w:r>
          </w:p>
        </w:tc>
        <w:tc>
          <w:tcPr>
            <w:tcW w:type="dxa" w:w="5102"/>
          </w:tcPr>
          <w:p>
            <w:pPr>
              <w:jc w:val="center"/>
            </w:pPr>
            <w:r/>
            <w:r>
              <w:rPr>
                <w:sz w:val="17"/>
              </w:rPr>
              <w:t>El conjunto histórico denomina Lon_Lat al último atributo y el del año en curso lo denomina Location. Se unifican como geo_punto antes de la unión, pues de lo contrario se produciría un desplazamiento silencioso de columnas</w:t>
            </w:r>
          </w:p>
        </w:tc>
      </w:tr>
      <w:tr>
        <w:tc>
          <w:tcPr>
            <w:tcW w:type="dxa" w:w="2041"/>
          </w:tcPr>
          <w:p>
            <w:pPr>
              <w:jc w:val="left"/>
            </w:pPr>
            <w:r/>
            <w:r>
              <w:rPr>
                <w:sz w:val="17"/>
              </w:rPr>
              <w:t>Conversión a snake_case</w:t>
            </w:r>
          </w:p>
        </w:tc>
        <w:tc>
          <w:tcPr>
            <w:tcW w:type="dxa" w:w="1928"/>
          </w:tcPr>
          <w:p>
            <w:pPr>
              <w:jc w:val="center"/>
            </w:pPr>
            <w:r/>
            <w:r>
              <w:rPr>
                <w:sz w:val="17"/>
              </w:rPr>
              <w:t>Crashes, Vehicles, pobreza</w:t>
            </w:r>
          </w:p>
        </w:tc>
        <w:tc>
          <w:tcPr>
            <w:tcW w:type="dxa" w:w="5102"/>
          </w:tcPr>
          <w:p>
            <w:pPr>
              <w:jc w:val="center"/>
            </w:pPr>
            <w:r/>
            <w:r>
              <w:rPr>
                <w:sz w:val="17"/>
              </w:rPr>
              <w:t>Los nombres con espacios y mayúsculas se normalizan para admitir su uso directo en expresiones SQL sin necesidad de entrecomillado</w:t>
            </w:r>
          </w:p>
        </w:tc>
      </w:tr>
      <w:tr>
        <w:tc>
          <w:tcPr>
            <w:tcW w:type="dxa" w:w="2041"/>
          </w:tcPr>
          <w:p>
            <w:pPr>
              <w:jc w:val="left"/>
            </w:pPr>
            <w:r/>
            <w:r>
              <w:rPr>
                <w:sz w:val="17"/>
              </w:rPr>
              <w:t>Unión de series</w:t>
            </w:r>
          </w:p>
        </w:tc>
        <w:tc>
          <w:tcPr>
            <w:tcW w:type="dxa" w:w="1928"/>
          </w:tcPr>
          <w:p>
            <w:pPr>
              <w:jc w:val="center"/>
            </w:pPr>
            <w:r/>
            <w:r>
              <w:rPr>
                <w:sz w:val="17"/>
              </w:rPr>
              <w:t>Arrestos</w:t>
            </w:r>
          </w:p>
        </w:tc>
        <w:tc>
          <w:tcPr>
            <w:tcW w:type="dxa" w:w="5102"/>
          </w:tcPr>
          <w:p>
            <w:pPr>
              <w:jc w:val="center"/>
            </w:pPr>
            <w:r/>
            <w:r>
              <w:rPr>
                <w:sz w:val="17"/>
              </w:rPr>
              <w:t>Unión por nombre de las tablas histórica y del año en curso, generando una serie continua de 6.406.848 registros</w:t>
            </w:r>
          </w:p>
        </w:tc>
      </w:tr>
      <w:tr>
        <w:tc>
          <w:tcPr>
            <w:tcW w:type="dxa" w:w="2041"/>
          </w:tcPr>
          <w:p>
            <w:pPr>
              <w:jc w:val="left"/>
            </w:pPr>
            <w:r/>
            <w:r>
              <w:rPr>
                <w:sz w:val="17"/>
              </w:rPr>
              <w:t>Derivación del distrito desde el PUMA</w:t>
            </w:r>
          </w:p>
        </w:tc>
        <w:tc>
          <w:tcPr>
            <w:tcW w:type="dxa" w:w="1928"/>
          </w:tcPr>
          <w:p>
            <w:pPr>
              <w:jc w:val="center"/>
            </w:pPr>
            <w:r/>
            <w:r>
              <w:rPr>
                <w:sz w:val="17"/>
              </w:rPr>
              <w:t>ACS PUMS 2023</w:t>
            </w:r>
          </w:p>
        </w:tc>
        <w:tc>
          <w:tcPr>
            <w:tcW w:type="dxa" w:w="5102"/>
          </w:tcPr>
          <w:p>
            <w:pPr>
              <w:jc w:val="center"/>
            </w:pPr>
            <w:r/>
            <w:r>
              <w:rPr>
                <w:sz w:val="17"/>
              </w:rPr>
              <w:t>Cruce con el archivo oficial tracto-PUMA del Censo, que aporta el código de condado. Se verificó que cada uno de los 55 PUMAs de la ciudad corresponde a un único distrito</w:t>
            </w:r>
          </w:p>
        </w:tc>
      </w:tr>
      <w:tr>
        <w:tc>
          <w:tcPr>
            <w:tcW w:type="dxa" w:w="2041"/>
          </w:tcPr>
          <w:p>
            <w:pPr>
              <w:jc w:val="left"/>
            </w:pPr>
            <w:r/>
            <w:r>
              <w:rPr>
                <w:sz w:val="17"/>
              </w:rPr>
              <w:t>Estandarización poblacional</w:t>
            </w:r>
          </w:p>
        </w:tc>
        <w:tc>
          <w:tcPr>
            <w:tcW w:type="dxa" w:w="1928"/>
          </w:tcPr>
          <w:p>
            <w:pPr>
              <w:jc w:val="center"/>
            </w:pPr>
            <w:r/>
            <w:r>
              <w:rPr>
                <w:sz w:val="17"/>
              </w:rPr>
              <w:t>Arrestos, Crashes, ACS</w:t>
            </w:r>
          </w:p>
        </w:tc>
        <w:tc>
          <w:tcPr>
            <w:tcW w:type="dxa" w:w="5102"/>
          </w:tcPr>
          <w:p>
            <w:pPr>
              <w:jc w:val="center"/>
            </w:pPr>
            <w:r/>
            <w:r>
              <w:rPr>
                <w:sz w:val="17"/>
              </w:rPr>
              <w:t>Cálculo de indicadores por cada cien mil habitantes empleando como denominador la población estimada con los factores de expansión del mismo año de referencia</w:t>
            </w:r>
          </w:p>
        </w:tc>
      </w:tr>
      <w:tr>
        <w:tc>
          <w:tcPr>
            <w:tcW w:type="dxa" w:w="2041"/>
          </w:tcPr>
          <w:p>
            <w:pPr>
              <w:jc w:val="left"/>
            </w:pPr>
            <w:r/>
            <w:r>
              <w:rPr>
                <w:sz w:val="17"/>
              </w:rPr>
              <w:t>Alineación al año de referencia</w:t>
            </w:r>
          </w:p>
        </w:tc>
        <w:tc>
          <w:tcPr>
            <w:tcW w:type="dxa" w:w="1928"/>
          </w:tcPr>
          <w:p>
            <w:pPr>
              <w:jc w:val="center"/>
            </w:pPr>
            <w:r/>
            <w:r>
              <w:rPr>
                <w:sz w:val="17"/>
              </w:rPr>
              <w:t>Arrestos, Crashes</w:t>
            </w:r>
          </w:p>
        </w:tc>
        <w:tc>
          <w:tcPr>
            <w:tcW w:type="dxa" w:w="5102"/>
          </w:tcPr>
          <w:p>
            <w:pPr>
              <w:jc w:val="center"/>
            </w:pPr>
            <w:r/>
            <w:r>
              <w:rPr>
                <w:sz w:val="17"/>
              </w:rPr>
              <w:t>Filtrado al año 2023 para todo análisis de corte transversal, conservando la serie completa en los análisis de tendencia</w:t>
            </w:r>
          </w:p>
        </w:tc>
      </w:tr>
      <w:tr>
        <w:tc>
          <w:tcPr>
            <w:tcW w:type="dxa" w:w="2041"/>
          </w:tcPr>
          <w:p>
            <w:pPr>
              <w:jc w:val="left"/>
            </w:pPr>
            <w:r/>
            <w:r>
              <w:rPr>
                <w:sz w:val="17"/>
              </w:rPr>
              <w:t>Conversión tolerante de tipos</w:t>
            </w:r>
          </w:p>
        </w:tc>
        <w:tc>
          <w:tcPr>
            <w:tcW w:type="dxa" w:w="1928"/>
          </w:tcPr>
          <w:p>
            <w:pPr>
              <w:jc w:val="center"/>
            </w:pPr>
            <w:r/>
            <w:r>
              <w:rPr>
                <w:sz w:val="17"/>
              </w:rPr>
              <w:t>Regents, graduación</w:t>
            </w:r>
          </w:p>
        </w:tc>
        <w:tc>
          <w:tcPr>
            <w:tcW w:type="dxa" w:w="5102"/>
          </w:tcPr>
          <w:p>
            <w:pPr>
              <w:jc w:val="center"/>
            </w:pPr>
            <w:r/>
            <w:r>
              <w:rPr>
                <w:sz w:val="17"/>
              </w:rPr>
              <w:t>Empleo de try_cast en lugar de cast, dado que la semántica ANSI de Spark 4 interrumpe la ejecución al encontrar el marcador de supresión «s»</w:t>
            </w:r>
          </w:p>
        </w:tc>
      </w:tr>
      <w:tr>
        <w:tc>
          <w:tcPr>
            <w:tcW w:type="dxa" w:w="2041"/>
          </w:tcPr>
          <w:p>
            <w:pPr>
              <w:jc w:val="left"/>
            </w:pPr>
            <w:r/>
            <w:r>
              <w:rPr>
                <w:sz w:val="17"/>
              </w:rPr>
              <w:t>Derivación del distrito desde el DBN</w:t>
            </w:r>
          </w:p>
        </w:tc>
        <w:tc>
          <w:tcPr>
            <w:tcW w:type="dxa" w:w="1928"/>
          </w:tcPr>
          <w:p>
            <w:pPr>
              <w:jc w:val="center"/>
            </w:pPr>
            <w:r/>
            <w:r>
              <w:rPr>
                <w:sz w:val="17"/>
              </w:rPr>
              <w:t>SAT, Regents</w:t>
            </w:r>
          </w:p>
        </w:tc>
        <w:tc>
          <w:tcPr>
            <w:tcW w:type="dxa" w:w="5102"/>
          </w:tcPr>
          <w:p>
            <w:pPr>
              <w:jc w:val="center"/>
            </w:pPr>
            <w:r/>
            <w:r>
              <w:rPr>
                <w:sz w:val="17"/>
              </w:rPr>
              <w:t>Extracción del distrito a partir del tercer carácter del código de institución, lo que habilita el cruce territorial</w:t>
            </w:r>
          </w:p>
        </w:tc>
      </w:tr>
      <w:tr>
        <w:tc>
          <w:tcPr>
            <w:tcW w:type="dxa" w:w="2041"/>
          </w:tcPr>
          <w:p>
            <w:pPr>
              <w:jc w:val="left"/>
            </w:pPr>
            <w:r/>
            <w:r>
              <w:rPr>
                <w:sz w:val="17"/>
              </w:rPr>
              <w:t>Extracción de la hora</w:t>
            </w:r>
          </w:p>
        </w:tc>
        <w:tc>
          <w:tcPr>
            <w:tcW w:type="dxa" w:w="1928"/>
          </w:tcPr>
          <w:p>
            <w:pPr>
              <w:jc w:val="center"/>
            </w:pPr>
            <w:r/>
            <w:r>
              <w:rPr>
                <w:sz w:val="17"/>
              </w:rPr>
              <w:t>Crashes</w:t>
            </w:r>
          </w:p>
        </w:tc>
        <w:tc>
          <w:tcPr>
            <w:tcW w:type="dxa" w:w="5102"/>
          </w:tcPr>
          <w:p>
            <w:pPr>
              <w:jc w:val="center"/>
            </w:pPr>
            <w:r/>
            <w:r>
              <w:rPr>
                <w:sz w:val="17"/>
              </w:rPr>
              <w:t>Obtención de la hora a partir del texto de crash_time para el análisis de franjas</w:t>
            </w:r>
          </w:p>
        </w:tc>
      </w:tr>
    </w:tbl>
    <w:p>
      <w:pPr>
        <w:spacing w:after="0" w:before="0"/>
      </w:pPr>
      <w:r>
        <w:rPr>
          <w:sz w:val="8"/>
        </w:rPr>
      </w:r>
    </w:p>
    <w:p>
      <w:pPr>
        <w:pStyle w:val="Heading2"/>
        <w:keepNext/>
        <w:spacing w:before="240"/>
      </w:pPr>
      <w:r>
        <w:t>7.2 Filtros aplicados</w:t>
      </w:r>
    </w:p>
    <w:p>
      <w:pPr>
        <w:pStyle w:val="ListBullet"/>
        <w:jc w:val="both"/>
      </w:pPr>
      <w:r>
        <w:rPr>
          <w:sz w:val="22"/>
        </w:rPr>
        <w:t>Lectura de Crashes con la opción multiLine activada. El conjunto contiene un registro con un salto de línea embebido en un nombre de vía; sin dicha opción, Spark divide ese registro en dos filas defectuosas y altera el conteo total. La opción se aplica únicamente a este conjunto, ya que impide la división del archivo y reduce el paralelismo disponible.</w:t>
      </w:r>
    </w:p>
    <w:p>
      <w:pPr>
        <w:pStyle w:val="ListBullet"/>
        <w:jc w:val="both"/>
      </w:pPr>
      <w:r>
        <w:rPr>
          <w:sz w:val="22"/>
        </w:rPr>
        <w:t>Restricción del conjunto ACS a los PUMAs de la ciudad, que reduce los 206.408 registros del estado a los 66.390 correspondientes a Nueva York.</w:t>
      </w:r>
    </w:p>
    <w:p>
      <w:pPr>
        <w:pStyle w:val="ListBullet"/>
        <w:jc w:val="both"/>
      </w:pPr>
      <w:r>
        <w:rPr>
          <w:sz w:val="22"/>
        </w:rPr>
        <w:t>Selección de la cohorte 2019 con horizonte de cuatro años y categoría de todos los estudiantes en el conjunto de graduación, que es la combinación correspondiente a la clase de 2023 a nivel de distrito.</w:t>
      </w:r>
    </w:p>
    <w:p>
      <w:pPr>
        <w:pStyle w:val="ListBullet"/>
        <w:jc w:val="both"/>
      </w:pPr>
      <w:r>
        <w:rPr>
          <w:sz w:val="22"/>
        </w:rPr>
        <w:t>Exclusión de registros sin distrito informado en los análisis territoriales de siniestros, con declaración expresa del alcance afectado.</w:t>
      </w:r>
    </w:p>
    <w:p>
      <w:pPr>
        <w:pStyle w:val="ListBullet"/>
        <w:jc w:val="both"/>
      </w:pPr>
      <w:r>
        <w:rPr>
          <w:sz w:val="22"/>
        </w:rPr>
        <w:t>Exclusión del valor «Unspecified» en el análisis de factores contribuyentes, conservándolo no obstante en los conteos generales por tratarse de una respuesta válida del formulario.</w:t>
      </w:r>
    </w:p>
    <w:p>
      <w:pPr>
        <w:pStyle w:val="ListBullet"/>
        <w:jc w:val="both"/>
      </w:pPr>
      <w:r>
        <w:rPr>
          <w:sz w:val="22"/>
        </w:rPr>
        <w:t>Exclusión de las instituciones con puntaje suprimido en el cálculo de promedios educativos, y de aquellas sin estudiantes evaluados en el promedio ponderado de Regents.</w:t>
      </w:r>
    </w:p>
    <w:p>
      <w:pPr>
        <w:pStyle w:val="Heading2"/>
        <w:keepNext/>
        <w:spacing w:before="240"/>
      </w:pPr>
      <w:r>
        <w:t>7.3 Procesos de limpieza previstos</w:t>
      </w:r>
    </w:p>
    <w:p>
      <w:r>
        <w:rPr>
          <w:b w:val="0"/>
          <w:i w:val="0"/>
          <w:sz w:val="22"/>
        </w:rPr>
        <w:t>Las técnicas enunciadas en el apartado 5.4 se implementarán en su totalidad durante la entrega final. Se priorizarán, por su impacto sobre la calidad del diagnóstico:</w:t>
      </w:r>
    </w:p>
    <w:p>
      <w:pPr>
        <w:pStyle w:val="ListNumber"/>
        <w:jc w:val="both"/>
      </w:pPr>
      <w:r>
        <w:rPr>
          <w:sz w:val="22"/>
        </w:rPr>
        <w:t>Imputación geoespacial del distrito para los siniestros que disponen de coordenadas pero carecen de distrito, con evaluación previa de su exactitud sobre los registros que cuentan con ambos datos.</w:t>
      </w:r>
    </w:p>
    <w:p>
      <w:pPr>
        <w:pStyle w:val="ListNumber"/>
        <w:jc w:val="both"/>
      </w:pPr>
      <w:r>
        <w:rPr>
          <w:sz w:val="22"/>
        </w:rPr>
        <w:t>Marcado de la hora 0:00 como desconocida en los siniestros.</w:t>
      </w:r>
    </w:p>
    <w:p>
      <w:pPr>
        <w:pStyle w:val="ListNumber"/>
        <w:jc w:val="both"/>
      </w:pPr>
      <w:r>
        <w:rPr>
          <w:sz w:val="22"/>
        </w:rPr>
        <w:t>Restricción de la ventana temporal a partir de 2016 para todo análisis que emplee atributos del conductor.</w:t>
      </w:r>
    </w:p>
    <w:p>
      <w:pPr>
        <w:pStyle w:val="ListNumber"/>
        <w:jc w:val="both"/>
      </w:pPr>
      <w:r>
        <w:rPr>
          <w:sz w:val="22"/>
        </w:rPr>
        <w:t>Construcción de un indicador educativo a nivel de institución, y no solo de distrito, que permita el cruce con el precinto policial.</w:t>
      </w:r>
    </w:p>
    <w:p>
      <w:pPr>
        <w:pStyle w:val="Heading2"/>
        <w:keepNext/>
        <w:spacing w:before="240"/>
      </w:pPr>
      <w:r>
        <w:t>7.4 Declaración sobre el estado de avance</w:t>
      </w:r>
    </w:p>
    <w:p>
      <w:r>
        <w:rPr>
          <w:b w:val="0"/>
          <w:i w:val="0"/>
          <w:sz w:val="22"/>
        </w:rPr>
        <w:t>De conformidad con lo previsto en el enunciado, el presente apartado recoge el avance alcanzado. La totalidad de las transformaciones relacionadas en 7.1 y de los filtros relacionados en 7.2 se encuentran implementados y ejecutados sobre el clúster; los procesos de limpieza descritos en 7.3 se hallan especificados y serán implementados en la entrega final.</w:t>
      </w:r>
    </w:p>
    <w:p>
      <w:pPr>
        <w:pStyle w:val="Heading1"/>
        <w:keepNext/>
        <w:spacing w:before="360"/>
      </w:pPr>
      <w:r>
        <w:t>Referencias</w:t>
      </w:r>
    </w:p>
    <w:p>
      <w:pPr>
        <w:spacing w:after="100"/>
        <w:ind w:left="567" w:hanging="567"/>
      </w:pPr>
      <w:r>
        <w:rPr>
          <w:sz w:val="19"/>
        </w:rPr>
        <w:t xml:space="preserve">City of New York. NYPD Arrests Data (Historic). NYC Open Data. </w:t>
      </w:r>
      <w:hyperlink r:id="rId15">
        <w:r>
          <w:rPr>
            <w:color w:val="0563C1"/>
            <w:u w:val="single"/>
            <w:sz w:val="17"/>
          </w:rPr>
          <w:t>Disponible en línea</w:t>
        </w:r>
      </w:hyperlink>
    </w:p>
    <w:p>
      <w:pPr>
        <w:spacing w:after="100"/>
        <w:ind w:left="567" w:hanging="567"/>
      </w:pPr>
      <w:r>
        <w:rPr>
          <w:sz w:val="19"/>
        </w:rPr>
        <w:t xml:space="preserve">City of New York. NYPD Arrest Data (Year to Date). NYC Open Data. </w:t>
      </w:r>
      <w:hyperlink r:id="rId9">
        <w:r>
          <w:rPr>
            <w:color w:val="0563C1"/>
            <w:u w:val="single"/>
            <w:sz w:val="17"/>
          </w:rPr>
          <w:t>Disponible en línea</w:t>
        </w:r>
      </w:hyperlink>
    </w:p>
    <w:p>
      <w:pPr>
        <w:spacing w:after="100"/>
        <w:ind w:left="567" w:hanging="567"/>
      </w:pPr>
      <w:r>
        <w:rPr>
          <w:sz w:val="19"/>
        </w:rPr>
        <w:t xml:space="preserve">City of New York. Motor Vehicle Collisions – Crashes. NYC Open Data. </w:t>
      </w:r>
      <w:hyperlink r:id="rId14">
        <w:r>
          <w:rPr>
            <w:color w:val="0563C1"/>
            <w:u w:val="single"/>
            <w:sz w:val="17"/>
          </w:rPr>
          <w:t>Disponible en línea</w:t>
        </w:r>
      </w:hyperlink>
    </w:p>
    <w:p>
      <w:pPr>
        <w:spacing w:after="100"/>
        <w:ind w:left="567" w:hanging="567"/>
      </w:pPr>
      <w:r>
        <w:rPr>
          <w:sz w:val="19"/>
        </w:rPr>
        <w:t xml:space="preserve">City of New York. Motor Vehicle Collisions – Vehicles. NYC Open Data. </w:t>
      </w:r>
      <w:hyperlink r:id="rId11">
        <w:r>
          <w:rPr>
            <w:color w:val="0563C1"/>
            <w:u w:val="single"/>
            <w:sz w:val="17"/>
          </w:rPr>
          <w:t>Disponible en línea</w:t>
        </w:r>
      </w:hyperlink>
    </w:p>
    <w:p>
      <w:pPr>
        <w:spacing w:after="100"/>
        <w:ind w:left="567" w:hanging="567"/>
      </w:pPr>
      <w:r>
        <w:rPr>
          <w:sz w:val="19"/>
        </w:rPr>
        <w:t xml:space="preserve">City of New York. NYCgov Poverty Measure Data (2018). NYC Open Data. </w:t>
      </w:r>
      <w:hyperlink r:id="rId10">
        <w:r>
          <w:rPr>
            <w:color w:val="0563C1"/>
            <w:u w:val="single"/>
            <w:sz w:val="17"/>
          </w:rPr>
          <w:t>Disponible en línea</w:t>
        </w:r>
      </w:hyperlink>
    </w:p>
    <w:p>
      <w:pPr>
        <w:spacing w:after="100"/>
        <w:ind w:left="567" w:hanging="567"/>
      </w:pPr>
      <w:r>
        <w:rPr>
          <w:sz w:val="19"/>
        </w:rPr>
        <w:t xml:space="preserve">New York City Department of Education. 2012 SAT Results. NYC Open Data. </w:t>
      </w:r>
      <w:hyperlink r:id="rId12">
        <w:r>
          <w:rPr>
            <w:color w:val="0563C1"/>
            <w:u w:val="single"/>
            <w:sz w:val="17"/>
          </w:rPr>
          <w:t>Disponible en línea</w:t>
        </w:r>
      </w:hyperlink>
    </w:p>
    <w:p>
      <w:pPr>
        <w:spacing w:after="100"/>
        <w:ind w:left="567" w:hanging="567"/>
      </w:pPr>
      <w:r>
        <w:rPr>
          <w:sz w:val="19"/>
        </w:rPr>
        <w:t xml:space="preserve">New York City Department of Education. Graduation results for Cohorts 2012 to 2019. NYC Open Data. </w:t>
      </w:r>
      <w:hyperlink r:id="rId18">
        <w:r>
          <w:rPr>
            <w:color w:val="0563C1"/>
            <w:u w:val="single"/>
            <w:sz w:val="17"/>
          </w:rPr>
          <w:t>Disponible en línea</w:t>
        </w:r>
      </w:hyperlink>
    </w:p>
    <w:p>
      <w:pPr>
        <w:spacing w:after="100"/>
        <w:ind w:left="567" w:hanging="567"/>
      </w:pPr>
      <w:r>
        <w:rPr>
          <w:sz w:val="19"/>
        </w:rPr>
        <w:t xml:space="preserve">New York City Department of Education. NYC Regents Exam Results 2014-15 a 2018-19. NYC Open Data. </w:t>
      </w:r>
      <w:hyperlink r:id="rId19">
        <w:r>
          <w:rPr>
            <w:color w:val="0563C1"/>
            <w:u w:val="single"/>
            <w:sz w:val="17"/>
          </w:rPr>
          <w:t>Disponible en línea</w:t>
        </w:r>
      </w:hyperlink>
    </w:p>
    <w:p>
      <w:pPr>
        <w:spacing w:after="100"/>
        <w:ind w:left="567" w:hanging="567"/>
      </w:pPr>
      <w:r>
        <w:rPr>
          <w:sz w:val="19"/>
        </w:rPr>
        <w:t xml:space="preserve">U.S. Census Bureau. American Community Survey 2023, Public Use Microdata Sample, New York. </w:t>
      </w:r>
      <w:hyperlink r:id="rId16">
        <w:r>
          <w:rPr>
            <w:color w:val="0563C1"/>
            <w:u w:val="single"/>
            <w:sz w:val="17"/>
          </w:rPr>
          <w:t>Disponible en línea</w:t>
        </w:r>
      </w:hyperlink>
    </w:p>
    <w:p>
      <w:pPr>
        <w:spacing w:after="100"/>
        <w:ind w:left="567" w:hanging="567"/>
      </w:pPr>
      <w:r>
        <w:rPr>
          <w:sz w:val="19"/>
        </w:rPr>
        <w:t xml:space="preserve">U.S. Census Bureau. 2020 Census Tract to 2020 PUMA Relationship File. </w:t>
      </w:r>
      <w:hyperlink r:id="rId17">
        <w:r>
          <w:rPr>
            <w:color w:val="0563C1"/>
            <w:u w:val="single"/>
            <w:sz w:val="17"/>
          </w:rPr>
          <w:t>Disponible en línea</w:t>
        </w:r>
      </w:hyperlink>
    </w:p>
    <w:p>
      <w:pPr>
        <w:spacing w:after="100"/>
        <w:ind w:left="567" w:hanging="567"/>
      </w:pPr>
      <w:r>
        <w:rPr>
          <w:sz w:val="19"/>
        </w:rPr>
        <w:t xml:space="preserve">College Board. New York SAT Suite of Assessments Annual Report 2024. </w:t>
      </w:r>
      <w:hyperlink r:id="rId13">
        <w:r>
          <w:rPr>
            <w:color w:val="0563C1"/>
            <w:u w:val="single"/>
            <w:sz w:val="17"/>
          </w:rPr>
          <w:t>Disponible en línea</w:t>
        </w:r>
      </w:hyperlink>
    </w:p>
    <w:p>
      <w:pPr>
        <w:spacing w:after="100"/>
        <w:ind w:left="567" w:hanging="567"/>
      </w:pPr>
      <w:r>
        <w:rPr>
          <w:sz w:val="19"/>
        </w:rPr>
        <w:t xml:space="preserve">New York City Department of Transportation. Traffic Deaths Reach All-time Low, 2026. </w:t>
      </w:r>
      <w:hyperlink r:id="rId33">
        <w:r>
          <w:rPr>
            <w:color w:val="0563C1"/>
            <w:u w:val="single"/>
            <w:sz w:val="17"/>
          </w:rPr>
          <w:t>Disponible en línea</w:t>
        </w:r>
      </w:hyperlink>
    </w:p>
    <w:p>
      <w:pPr>
        <w:spacing w:after="100"/>
        <w:ind w:left="567" w:hanging="567"/>
      </w:pPr>
      <w:r>
        <w:rPr>
          <w:sz w:val="19"/>
        </w:rPr>
        <w:t xml:space="preserve">New York City Department of Transportation. Vision Zero Reimagined: A New Action Plan for Road Safety, 2026. </w:t>
      </w:r>
      <w:hyperlink r:id="rId34">
        <w:r>
          <w:rPr>
            <w:color w:val="0563C1"/>
            <w:u w:val="single"/>
            <w:sz w:val="17"/>
          </w:rPr>
          <w:t>Disponible en línea</w:t>
        </w:r>
      </w:hyperlink>
    </w:p>
    <w:p>
      <w:pPr>
        <w:spacing w:after="100"/>
        <w:ind w:left="567" w:hanging="567"/>
      </w:pPr>
      <w:r>
        <w:rPr>
          <w:sz w:val="19"/>
        </w:rPr>
        <w:t xml:space="preserve">New York City Department of City Planning. New York City's Population Estimates and Trends, julio de 2026. </w:t>
      </w:r>
      <w:hyperlink r:id="rId35">
        <w:r>
          <w:rPr>
            <w:color w:val="0563C1"/>
            <w:u w:val="single"/>
            <w:sz w:val="17"/>
          </w:rPr>
          <w:t>Disponible en línea</w:t>
        </w:r>
      </w:hyperlink>
    </w:p>
    <w:p>
      <w:pPr>
        <w:spacing w:after="100"/>
        <w:ind w:left="567" w:hanging="567"/>
      </w:pPr>
      <w:r>
        <w:rPr>
          <w:sz w:val="19"/>
        </w:rPr>
        <w:t xml:space="preserve">Office of the New York City Comptroller. Annual State of the City's Economy and Finances 2025. </w:t>
      </w:r>
      <w:hyperlink r:id="rId36">
        <w:r>
          <w:rPr>
            <w:color w:val="0563C1"/>
            <w:u w:val="single"/>
            <w:sz w:val="17"/>
          </w:rPr>
          <w:t>Disponible en línea</w:t>
        </w:r>
      </w:hyperlink>
    </w:p>
    <w:p>
      <w:pPr>
        <w:spacing w:after="100"/>
        <w:ind w:left="567" w:hanging="567"/>
      </w:pPr>
      <w:r>
        <w:rPr>
          <w:sz w:val="19"/>
        </w:rPr>
        <w:t xml:space="preserve">New York City Economic Development Corporation. State of the New York City Economy 2025. </w:t>
      </w:r>
      <w:hyperlink r:id="rId37">
        <w:r>
          <w:rPr>
            <w:color w:val="0563C1"/>
            <w:u w:val="single"/>
            <w:sz w:val="17"/>
          </w:rPr>
          <w:t>Disponible en línea</w:t>
        </w:r>
      </w:hyperlink>
    </w:p>
    <w:p/>
    <w:p>
      <w:r>
        <w:rPr>
          <w:b w:val="0"/>
          <w:i/>
          <w:sz w:val="19"/>
        </w:rPr>
        <w:t>Anexo. El cuaderno de código que sustenta la totalidad de las cifras presentadas se adjunta como entrega1.ipynb, ejecutado sobre el clúster descrito en el apartado 3.1.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ata.cityofnewyork.us/Public-Safety/NYPD-Arrest-Data-Year-to-Date-/uip8-fykc/about_data" TargetMode="External"/><Relationship Id="rId10" Type="http://schemas.openxmlformats.org/officeDocument/2006/relationships/hyperlink" Target="https://data.cityofnewyork.us/City-Government/NYCgov-Poverty-Measure-Data-2018-/cts7-vksw/about_data" TargetMode="External"/><Relationship Id="rId11" Type="http://schemas.openxmlformats.org/officeDocument/2006/relationships/hyperlink" Target="https://data.cityofnewyork.us/Public-Safety/Motor-Vehicle-Collisions-Vehicles/bm4k-52h4/about_data" TargetMode="External"/><Relationship Id="rId12" Type="http://schemas.openxmlformats.org/officeDocument/2006/relationships/hyperlink" Target="https://data.cityofnewyork.us/Education/2012-SAT-Results/f9bf-2cp4/about_data" TargetMode="External"/><Relationship Id="rId13" Type="http://schemas.openxmlformats.org/officeDocument/2006/relationships/hyperlink" Target="https://reports.collegeboard.org/media/pdf/2024-new-york-sat-suite-of-assessments-annual-report-ADA.pdf" TargetMode="External"/><Relationship Id="rId14" Type="http://schemas.openxmlformats.org/officeDocument/2006/relationships/hyperlink" Target="https://data.cityofnewyork.us/Public-Safety/Motor-Vehicle-Collisions-Crashes/h9gi-nx95/about_data" TargetMode="External"/><Relationship Id="rId15" Type="http://schemas.openxmlformats.org/officeDocument/2006/relationships/hyperlink" Target="https://data.cityofnewyork.us/Public-Safety/NYPD-Arrests-Data-Historic-/8h9b-rp9u/about_data" TargetMode="External"/><Relationship Id="rId16" Type="http://schemas.openxmlformats.org/officeDocument/2006/relationships/hyperlink" Target="https://www2.census.gov/programs-surveys/acs/data/pums/2023/1-Year/csv_pny.zip" TargetMode="External"/><Relationship Id="rId17" Type="http://schemas.openxmlformats.org/officeDocument/2006/relationships/hyperlink" Target="https://www2.census.gov/geo/docs/reference/puma2020/2020_Census_Tract_to_2020_PUMA.txt" TargetMode="External"/><Relationship Id="rId18" Type="http://schemas.openxmlformats.org/officeDocument/2006/relationships/hyperlink" Target="https://data.cityofnewyork.us/Education/Graduation-results-for-Cohorts-2012-to-2019-Classes/mjm3-8dw8/about_data" TargetMode="External"/><Relationship Id="rId19" Type="http://schemas.openxmlformats.org/officeDocument/2006/relationships/hyperlink" Target="https://data.cityofnewyork.us/Education/2014-15-2018-19-NYC-Regents-Exam-Public/2h3w-9uj9/about_data"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hyperlink" Target="https://www.nyc.gov/html/dot/html/pr2026/traffic-deaths-reach-all-time-low.shtml" TargetMode="External"/><Relationship Id="rId34" Type="http://schemas.openxmlformats.org/officeDocument/2006/relationships/hyperlink" Target="https://www.nyc.gov/assets/visionzero/downloads/pdf/Vision-Zero-Reimagined-2026.pdf" TargetMode="External"/><Relationship Id="rId35" Type="http://schemas.openxmlformats.org/officeDocument/2006/relationships/hyperlink" Target="https://s-media.nyc.gov/agencies/dcp/assets/files/pdf/data-tools/population/population-estimates/new-york-city-population-estimates-and-trends-july-2026.pdf" TargetMode="External"/><Relationship Id="rId36" Type="http://schemas.openxmlformats.org/officeDocument/2006/relationships/hyperlink" Target="https://comptroller.nyc.gov/reports/annual-state-of-the-citys-economy-and-finances-2025/" TargetMode="External"/><Relationship Id="rId37" Type="http://schemas.openxmlformats.org/officeDocument/2006/relationships/hyperlink" Target="https://edc.nyc/sites/default/files/2025-12/NYCEDC-2025-State-of-NYC-Economy_12-12-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