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31ED" w14:textId="04F79344" w:rsidR="00DC02F1" w:rsidRPr="003B47E3" w:rsidRDefault="000A152F">
      <w:pPr>
        <w:rPr>
          <w:b/>
          <w:bCs/>
        </w:rPr>
      </w:pPr>
      <w:r w:rsidRPr="003B47E3">
        <w:rPr>
          <w:b/>
          <w:bCs/>
        </w:rPr>
        <w:t>INTRODUCCIÓN</w:t>
      </w:r>
    </w:p>
    <w:p w14:paraId="30B071B5" w14:textId="77777777" w:rsidR="000A152F" w:rsidRDefault="000A152F"/>
    <w:p w14:paraId="398E6005" w14:textId="3A20BF00" w:rsidR="00DB36F1" w:rsidRDefault="00DB36F1">
      <w:r>
        <w:t>CO2</w:t>
      </w:r>
    </w:p>
    <w:p w14:paraId="4D0D0E72" w14:textId="6511619C" w:rsidR="00DB36F1" w:rsidRDefault="00DB36F1" w:rsidP="00DB36F1">
      <w:pPr>
        <w:jc w:val="both"/>
      </w:pPr>
      <w:r>
        <w:t>Desde la Revolución Industrial, las concentraciones atmosféricas de dióxido de carbono (CO</w:t>
      </w:r>
      <w:r>
        <w:rPr>
          <w:vertAlign w:val="subscript"/>
        </w:rPr>
        <w:t>2</w:t>
      </w:r>
      <w:r>
        <w:t>) presentan un aumento muy rápido debido a las acciones antropogénicas</w:t>
      </w:r>
      <w:r w:rsidR="003F5F19">
        <w:t xml:space="preserve"> </w:t>
      </w:r>
      <w:r w:rsidR="003F5F19">
        <w:fldChar w:fldCharType="begin"/>
      </w:r>
      <w:r w:rsidR="003F5F19">
        <w:instrText xml:space="preserve"> ADDIN ZOTERO_ITEM CSL_CITATION {"citationID":"8QmQ82f4","properties":{"formattedCitation":"(Falkowski et\\uc0\\u160{}al., 2000)","plainCitation":"(Falkowski et al., 2000)","noteIndex":0},"citationItems":[{"id":158,"uris":["http://zotero.org/users/local/sW19ltt6/items/9FJN2HZN"],"itemData":{"id":158,"type":"article-journal","language":"en","source":"Zotero","title":"The Global Carbon Cycle: A Test of Our Knowledge of Earth as a System","author":[{"family":"Falkowski","given":"P"},{"family":"Scholes","given":"R J"},{"family":"Boyle","given":"E"},{"family":"Canadell","given":"J"},{"family":"Canﬁeld","given":"D"},{"family":"Elser","given":"J"},{"family":"Gruber","given":"N"},{"family":"Hibbard","given":"K"}],"issued":{"date-parts":[["2000"]]}}}],"schema":"https://github.com/citation-style-language/schema/raw/master/csl-citation.json"} </w:instrText>
      </w:r>
      <w:r w:rsidR="003F5F19">
        <w:fldChar w:fldCharType="separate"/>
      </w:r>
      <w:r w:rsidR="003F5F19" w:rsidRPr="003F5F19">
        <w:rPr>
          <w:rFonts w:ascii="Aptos" w:hAnsi="Aptos" w:cs="Times New Roman"/>
          <w:kern w:val="0"/>
        </w:rPr>
        <w:t>(Falkowski et al., 2000)</w:t>
      </w:r>
      <w:r w:rsidR="003F5F19">
        <w:fldChar w:fldCharType="end"/>
      </w:r>
      <w:r w:rsidR="005324EC">
        <w:t>. Actualmente, la concentración de CO</w:t>
      </w:r>
      <w:r w:rsidR="005324EC">
        <w:rPr>
          <w:vertAlign w:val="subscript"/>
        </w:rPr>
        <w:t>2</w:t>
      </w:r>
      <w:r w:rsidR="005324EC">
        <w:t xml:space="preserve"> atmosférica supera los 420 partes por millón (ppm), es decir, aproximadamente un 40% superior a la concentración preindustrial </w:t>
      </w:r>
      <w:r w:rsidR="003F5F19">
        <w:fldChar w:fldCharType="begin"/>
      </w:r>
      <w:r w:rsidR="003F5F19">
        <w:instrText xml:space="preserve"> ADDIN ZOTERO_ITEM CSL_CITATION {"citationID":"agaTnVSR","properties":{"formattedCitation":"(Neuer et\\uc0\\u160{}al., 2014)","plainCitation":"(Neuer et al., 2014)","noteIndex":0},"citationItems":[{"id":162,"uris":["http://zotero.org/users/local/sW19ltt6/items/KM5DJFMR"],"itemData":{"id":162,"type":"article-journal","abstract":"Summary\n            \n              The Biological Carbon Pump includes all those processes in the ocean that cause organic carbon formed photosynthetically by phytoplankton (primary production) in the sunlit surface layer (the euphotic zone) to be removed from contact with the atmosphere. It is a mechanism that sequesters carbon dioxide (CO\n              2\n              ) for weeks to hundreds or even millions of years (geological time</w:instrText>
      </w:r>
      <w:r w:rsidR="003F5F19">
        <w:rPr>
          <w:rFonts w:ascii="Cambria Math" w:hAnsi="Cambria Math" w:cs="Cambria Math"/>
        </w:rPr>
        <w:instrText>‐</w:instrText>
      </w:r>
      <w:r w:rsidR="003F5F19">
        <w:instrText>scales). Together with the physical carbon pump, the biological carbon pump constitutes the ocean's CO\n              2\n              sink, and these two major processes in the global carbon cycle have removed about  2</w:instrText>
      </w:r>
      <w:r w:rsidR="003F5F19">
        <w:rPr>
          <w:rFonts w:ascii="Cambria Math" w:hAnsi="Cambria Math" w:cs="Cambria Math"/>
        </w:rPr>
        <w:instrText>‐</w:instrText>
      </w:r>
      <w:r w:rsidR="003F5F19">
        <w:instrText xml:space="preserve"> 2.5 Pg Carbon per year (last decade average)(I Pg=10\n              15\n              g). Today, about half of the CO\n              2\n              emitted from fossil fuel burning and land use changes remains in the atmosphere, and the other half is captured by land sinks and the ocean.\n            \n            The modern carbon cycle is often completely separated from the short- and long-term carbon cycles of the geological past, and students from biology or biogeochemistry rarely learn about these processes and the respective timescales in a joint lecture. The purpose of this interdisciplinary lecture thus is to cover processes related to the biological carbon pump and how it functions, while paying close attention to the relevant timescales in the global carbon cycle. Note that we focus mainly on the production and sinking of particulates, we do not delve into detailed mechanisms of carbon sequestration due to the removal of dissolved organic matter. Topics will include an introduction to the different carbon pumps (biological, carbonate and physical), followed by a detailed process-oriented introduction to the biological carbon pumps. This will also include the organismal aspects, such as an introduction to phytoplankton, primary production, distribution of primary producers in the global ocean, and the role of zooplankton in the biological carbon pump. More mechanistic aspects follow, such as the concepts of new and export production, the flux attenuation and the role of mineral ballasting. We cover specific aspects of the lecture as modules (Excursions) that give the reader/lecturer the chance to explore some topics in greater detail. These \"Excursions\" are entitled \"Instrumentation: Quantifying Particle Flux\", \"Particle Sinking and Degradation\" and \"The Biological Carbon Pump on Geological Timescales\".\n            The lecture is intended for senior undergraduates/graduates students and can be used in courses such as Oceanography, Biogeochemistry, Geology, and Environmental Life Sciences.","container-title":"Limnology and Oceanography e-Lectures","DOI":"10.4319/lol.2014.sneuer.miversen.gfischer.9","ISSN":"2164-0254, 2164-0254","issue":"4","journalAbbreviation":"Limnol &amp;amp; Oceanogr eLectures","language":"en","license":"http://onlinelibrary.wiley.com/termsAndConditions#vor","page":"1-51","source":"DOI.org (Crossref)","title":"The Ocean's Biological Carbon pump as part of the global Carbon Cycle","volume":"4","author":[{"family":"Neuer","given":"Susanne"},{"family":"Iversen","given":"Morten"},{"family":"Fischer","given":"Gerhard"}],"issued":{"date-parts":[["2014",1]]}}}],"schema":"https://github.com/citation-style-language/schema/raw/master/csl-citation.json"} </w:instrText>
      </w:r>
      <w:r w:rsidR="003F5F19">
        <w:fldChar w:fldCharType="separate"/>
      </w:r>
      <w:r w:rsidR="003F5F19" w:rsidRPr="003F5F19">
        <w:rPr>
          <w:rFonts w:ascii="Aptos" w:hAnsi="Aptos" w:cs="Times New Roman"/>
          <w:kern w:val="0"/>
        </w:rPr>
        <w:t>(Neuer et al., 2014)</w:t>
      </w:r>
      <w:r w:rsidR="003F5F19">
        <w:fldChar w:fldCharType="end"/>
      </w:r>
      <w:r w:rsidR="005324EC">
        <w:t xml:space="preserve">. Este aumento de la concentración de dióxido de carbono en la atmósfera es un tema fundamental en el </w:t>
      </w:r>
      <w:r w:rsidR="003F5F19">
        <w:t>campo del</w:t>
      </w:r>
      <w:r w:rsidR="005324EC">
        <w:t xml:space="preserve"> océano,</w:t>
      </w:r>
      <w:r w:rsidR="003F5F19">
        <w:t xml:space="preserve"> ya que interfiere en la química del carbono del medio marino causando la llamada acidificación oceánica </w:t>
      </w:r>
      <w:r w:rsidR="003F5F19">
        <w:fldChar w:fldCharType="begin"/>
      </w:r>
      <w:r w:rsidR="003F5F19">
        <w:instrText xml:space="preserve"> ADDIN ZOTERO_ITEM CSL_CITATION {"citationID":"W0nwYbWP","properties":{"formattedCitation":"(Curbelo-Hern\\uc0\\u225{}ndez et\\uc0\\u160{}al., 2024)","plainCitation":"(Curbelo-Hernández et al., 2024)","noteIndex":0},"citationItems":[{"id":163,"uris":["http://zotero.org/users/local/sW19ltt6/items/NXTQCG6S"],"itemData":{"id":163,"type":"article-journal","abstract":"Abstract. The CO2–carbonate system dynamics in the North Atlantic subpolar gyre (NASPG) were evaluated between 2009 and 2019. Data were collected aboard eight summer cruises through the Climate and Ocean: Variability, Predictability and Change (CLIVAR) 59.5°</w:instrText>
      </w:r>
      <w:r w:rsidR="003F5F19">
        <w:rPr>
          <w:rFonts w:ascii="Arial" w:hAnsi="Arial" w:cs="Arial"/>
        </w:rPr>
        <w:instrText> </w:instrText>
      </w:r>
      <w:r w:rsidR="003F5F19">
        <w:instrText>N section. The ocean acidification (OA) patterns and the reduction in the saturation state of calcite (</w:instrText>
      </w:r>
      <w:r w:rsidR="003F5F19">
        <w:rPr>
          <w:rFonts w:ascii="Aptos" w:hAnsi="Aptos" w:cs="Aptos"/>
        </w:rPr>
        <w:instrText>Ω</w:instrText>
      </w:r>
      <w:r w:rsidR="003F5F19">
        <w:instrText>Ca) and aragonite (</w:instrText>
      </w:r>
      <w:r w:rsidR="003F5F19">
        <w:rPr>
          <w:rFonts w:ascii="Aptos" w:hAnsi="Aptos" w:cs="Aptos"/>
        </w:rPr>
        <w:instrText>Ω</w:instrText>
      </w:r>
      <w:r w:rsidR="003F5F19">
        <w:instrText>Arag) in response to the increasing anthropogenic CO2 (Cant) were assessed within the Irminger, Iceland, and Rockall basins during a poorly assessed decade in which the physical patterns reversed in comparison with previous well-known periods. The observed cooling, freshening, and enhanced ventilation increased the interannual rate of accumulation of Cant in the interior ocean by 50</w:instrText>
      </w:r>
      <w:r w:rsidR="003F5F19">
        <w:rPr>
          <w:rFonts w:ascii="Arial" w:hAnsi="Arial" w:cs="Arial"/>
        </w:rPr>
        <w:instrText> </w:instrText>
      </w:r>
      <w:r w:rsidR="003F5F19">
        <w:instrText>%</w:instrText>
      </w:r>
      <w:r w:rsidR="003F5F19">
        <w:rPr>
          <w:rFonts w:ascii="Aptos" w:hAnsi="Aptos" w:cs="Aptos"/>
        </w:rPr>
        <w:instrText>–</w:instrText>
      </w:r>
      <w:r w:rsidR="003F5F19">
        <w:instrText>86</w:instrText>
      </w:r>
      <w:r w:rsidR="003F5F19">
        <w:rPr>
          <w:rFonts w:ascii="Arial" w:hAnsi="Arial" w:cs="Arial"/>
        </w:rPr>
        <w:instrText> </w:instrText>
      </w:r>
      <w:r w:rsidR="003F5F19">
        <w:instrText>% and the OA rates by close to 10</w:instrText>
      </w:r>
      <w:r w:rsidR="003F5F19">
        <w:rPr>
          <w:rFonts w:ascii="Arial" w:hAnsi="Arial" w:cs="Arial"/>
        </w:rPr>
        <w:instrText> </w:instrText>
      </w:r>
      <w:r w:rsidR="003F5F19">
        <w:instrText>%. The OA trends were 0.0013</w:instrText>
      </w:r>
      <w:r w:rsidR="003F5F19">
        <w:rPr>
          <w:rFonts w:ascii="Aptos" w:hAnsi="Aptos" w:cs="Aptos"/>
        </w:rPr>
        <w:instrText>–</w:instrText>
      </w:r>
      <w:r w:rsidR="003F5F19">
        <w:instrText>0.0032 units</w:instrText>
      </w:r>
      <w:r w:rsidR="003F5F19">
        <w:rPr>
          <w:rFonts w:ascii="Arial" w:hAnsi="Arial" w:cs="Arial"/>
        </w:rPr>
        <w:instrText> </w:instrText>
      </w:r>
      <w:r w:rsidR="003F5F19">
        <w:instrText>yr</w:instrText>
      </w:r>
      <w:r w:rsidR="003F5F19">
        <w:rPr>
          <w:rFonts w:ascii="Aptos" w:hAnsi="Aptos" w:cs="Aptos"/>
        </w:rPr>
        <w:instrText>−</w:instrText>
      </w:r>
      <w:r w:rsidR="003F5F19">
        <w:instrText>1 in the Irminger and Iceland basins and 0.0006</w:instrText>
      </w:r>
      <w:r w:rsidR="003F5F19">
        <w:rPr>
          <w:rFonts w:ascii="Aptos" w:hAnsi="Aptos" w:cs="Aptos"/>
        </w:rPr>
        <w:instrText>–</w:instrText>
      </w:r>
      <w:r w:rsidR="003F5F19">
        <w:instrText>0.0024 units</w:instrText>
      </w:r>
      <w:r w:rsidR="003F5F19">
        <w:rPr>
          <w:rFonts w:ascii="Arial" w:hAnsi="Arial" w:cs="Arial"/>
        </w:rPr>
        <w:instrText> </w:instrText>
      </w:r>
      <w:r w:rsidR="003F5F19">
        <w:instrText>yr</w:instrText>
      </w:r>
      <w:r w:rsidR="003F5F19">
        <w:rPr>
          <w:rFonts w:ascii="Aptos" w:hAnsi="Aptos" w:cs="Aptos"/>
        </w:rPr>
        <w:instrText>−</w:instrText>
      </w:r>
      <w:r w:rsidR="003F5F19">
        <w:instrText xml:space="preserve">1 in the Rockall Trough, causing a decline in </w:instrText>
      </w:r>
      <w:r w:rsidR="003F5F19">
        <w:rPr>
          <w:rFonts w:ascii="Aptos" w:hAnsi="Aptos" w:cs="Aptos"/>
        </w:rPr>
        <w:instrText>Ω</w:instrText>
      </w:r>
      <w:r w:rsidR="003F5F19">
        <w:instrText xml:space="preserve">Ca and </w:instrText>
      </w:r>
      <w:r w:rsidR="003F5F19">
        <w:rPr>
          <w:rFonts w:ascii="Aptos" w:hAnsi="Aptos" w:cs="Aptos"/>
        </w:rPr>
        <w:instrText>Ω</w:instrText>
      </w:r>
      <w:r w:rsidR="003F5F19">
        <w:instrText>Arag of 0.004</w:instrText>
      </w:r>
      <w:r w:rsidR="003F5F19">
        <w:rPr>
          <w:rFonts w:ascii="Aptos" w:hAnsi="Aptos" w:cs="Aptos"/>
        </w:rPr>
        <w:instrText>–</w:instrText>
      </w:r>
      <w:r w:rsidR="003F5F19">
        <w:instrText>0.021 and 0.003</w:instrText>
      </w:r>
      <w:r w:rsidR="003F5F19">
        <w:rPr>
          <w:rFonts w:ascii="Aptos" w:hAnsi="Aptos" w:cs="Aptos"/>
        </w:rPr>
        <w:instrText>–</w:instrText>
      </w:r>
      <w:r w:rsidR="003F5F19">
        <w:instrText>0.0013 units</w:instrText>
      </w:r>
      <w:r w:rsidR="003F5F19">
        <w:rPr>
          <w:rFonts w:ascii="Arial" w:hAnsi="Arial" w:cs="Arial"/>
        </w:rPr>
        <w:instrText> </w:instrText>
      </w:r>
      <w:r w:rsidR="003F5F19">
        <w:instrText>yr</w:instrText>
      </w:r>
      <w:r w:rsidR="003F5F19">
        <w:rPr>
          <w:rFonts w:ascii="Aptos" w:hAnsi="Aptos" w:cs="Aptos"/>
        </w:rPr>
        <w:instrText>−</w:instrText>
      </w:r>
      <w:r w:rsidR="003F5F19">
        <w:instrText>1, respectively. The Cant-driven rise in total inorganic carbon (CT) was the main driver of the OA (contributed by 53</w:instrText>
      </w:r>
      <w:r w:rsidR="003F5F19">
        <w:rPr>
          <w:rFonts w:ascii="Arial" w:hAnsi="Arial" w:cs="Arial"/>
        </w:rPr>
        <w:instrText> </w:instrText>
      </w:r>
      <w:r w:rsidR="003F5F19">
        <w:instrText>%</w:instrText>
      </w:r>
      <w:r w:rsidR="003F5F19">
        <w:rPr>
          <w:rFonts w:ascii="Aptos" w:hAnsi="Aptos" w:cs="Aptos"/>
        </w:rPr>
        <w:instrText>–</w:instrText>
      </w:r>
      <w:r w:rsidR="003F5F19">
        <w:instrText>68</w:instrText>
      </w:r>
      <w:r w:rsidR="003F5F19">
        <w:rPr>
          <w:rFonts w:ascii="Arial" w:hAnsi="Arial" w:cs="Arial"/>
        </w:rPr>
        <w:instrText> </w:instrText>
      </w:r>
      <w:r w:rsidR="003F5F19">
        <w:instrText>% in upper layers and &gt;</w:instrText>
      </w:r>
      <w:r w:rsidR="003F5F19">
        <w:rPr>
          <w:rFonts w:ascii="Arial" w:hAnsi="Arial" w:cs="Arial"/>
        </w:rPr>
        <w:instrText> </w:instrText>
      </w:r>
      <w:r w:rsidR="003F5F19">
        <w:instrText>82</w:instrText>
      </w:r>
      <w:r w:rsidR="003F5F19">
        <w:rPr>
          <w:rFonts w:ascii="Arial" w:hAnsi="Arial" w:cs="Arial"/>
        </w:rPr>
        <w:instrText> </w:instrText>
      </w:r>
      <w:r w:rsidR="003F5F19">
        <w:instrText>% toward the interior ocean) and the reduction in ΩCa and ΩArag (&gt;</w:instrText>
      </w:r>
      <w:r w:rsidR="003F5F19">
        <w:rPr>
          <w:rFonts w:ascii="Arial" w:hAnsi="Arial" w:cs="Arial"/>
        </w:rPr>
        <w:instrText> </w:instrText>
      </w:r>
      <w:r w:rsidR="003F5F19">
        <w:instrText>64</w:instrText>
      </w:r>
      <w:r w:rsidR="003F5F19">
        <w:rPr>
          <w:rFonts w:ascii="Arial" w:hAnsi="Arial" w:cs="Arial"/>
        </w:rPr>
        <w:instrText> </w:instrText>
      </w:r>
      <w:r w:rsidR="003F5F19">
        <w:instrText>%). The transient decrease in temperature, salinity, and AT collectively counteracts the CT-driven acidification by 45</w:instrText>
      </w:r>
      <w:r w:rsidR="003F5F19">
        <w:rPr>
          <w:rFonts w:ascii="Arial" w:hAnsi="Arial" w:cs="Arial"/>
        </w:rPr>
        <w:instrText> </w:instrText>
      </w:r>
      <w:r w:rsidR="003F5F19">
        <w:instrText>%</w:instrText>
      </w:r>
      <w:r w:rsidR="003F5F19">
        <w:rPr>
          <w:rFonts w:ascii="Aptos" w:hAnsi="Aptos" w:cs="Aptos"/>
        </w:rPr>
        <w:instrText>–</w:instrText>
      </w:r>
      <w:r w:rsidR="003F5F19">
        <w:instrText>85</w:instrText>
      </w:r>
      <w:r w:rsidR="003F5F19">
        <w:rPr>
          <w:rFonts w:ascii="Arial" w:hAnsi="Arial" w:cs="Arial"/>
        </w:rPr>
        <w:instrText> </w:instrText>
      </w:r>
      <w:r w:rsidR="003F5F19">
        <w:instrText>% in the upper layers and in the shallow Rockall Trough and by &lt;</w:instrText>
      </w:r>
      <w:r w:rsidR="003F5F19">
        <w:rPr>
          <w:rFonts w:ascii="Arial" w:hAnsi="Arial" w:cs="Arial"/>
        </w:rPr>
        <w:instrText> </w:instrText>
      </w:r>
      <w:r w:rsidR="003F5F19">
        <w:instrText>10</w:instrText>
      </w:r>
      <w:r w:rsidR="003F5F19">
        <w:rPr>
          <w:rFonts w:ascii="Arial" w:hAnsi="Arial" w:cs="Arial"/>
        </w:rPr>
        <w:instrText> </w:instrText>
      </w:r>
      <w:r w:rsidR="003F5F19">
        <w:instrText xml:space="preserve">% in the interior ocean. The present investigation reports the acceleration of the OA within the NASPG and expands knowledge about the future state of the ocean.","container-title":"Biogeosciences","DOI":"10.5194/bg-21-5561-2024","ISSN":"1726-4189","issue":"23","journalAbbreviation":"Biogeosciences","language":"en","license":"https://creativecommons.org/licenses/by/4.0/","page":"5561-5589","source":"DOI.org (Crossref)","title":"Ocean acidification trends and carbonate system dynamics across the North Atlantic subpolar gyre water masses during 2009–2019","volume":"21","author":[{"family":"Curbelo-Hernández","given":"David"},{"family":"Pérez","given":"Fiz F."},{"family":"González-Dávila","given":"Melchor"},{"family":"Gladyshev","given":"Sergey V."},{"family":"González","given":"Aridane G."},{"family":"González-Santana","given":"David"},{"family":"Velo","given":"Antón"},{"family":"Sokov","given":"Alexey"},{"family":"Santana-Casiano","given":"J. Magdalena"}],"issued":{"date-parts":[["2024",12,13]]}}}],"schema":"https://github.com/citation-style-language/schema/raw/master/csl-citation.json"} </w:instrText>
      </w:r>
      <w:r w:rsidR="003F5F19">
        <w:fldChar w:fldCharType="separate"/>
      </w:r>
      <w:r w:rsidR="003F5F19" w:rsidRPr="003F5F19">
        <w:rPr>
          <w:rFonts w:ascii="Aptos" w:hAnsi="Aptos" w:cs="Times New Roman"/>
          <w:kern w:val="0"/>
        </w:rPr>
        <w:t>(Curbelo-Hernández et al., 2024)</w:t>
      </w:r>
      <w:r w:rsidR="003F5F19">
        <w:fldChar w:fldCharType="end"/>
      </w:r>
      <w:r w:rsidR="003F5F19">
        <w:t>.</w:t>
      </w:r>
      <w:r w:rsidR="00DF25C2">
        <w:t xml:space="preserve"> El CO</w:t>
      </w:r>
      <w:r w:rsidR="00DF25C2">
        <w:rPr>
          <w:vertAlign w:val="subscript"/>
        </w:rPr>
        <w:t>2</w:t>
      </w:r>
      <w:r w:rsidR="00DF25C2">
        <w:t>, al reaccionar con el agua, forma el ácido carbónico (H</w:t>
      </w:r>
      <w:r w:rsidR="00DF25C2">
        <w:rPr>
          <w:vertAlign w:val="subscript"/>
        </w:rPr>
        <w:t>2</w:t>
      </w:r>
      <w:r w:rsidR="00DF25C2">
        <w:t>CO</w:t>
      </w:r>
      <w:r w:rsidR="00DF25C2">
        <w:rPr>
          <w:vertAlign w:val="subscript"/>
        </w:rPr>
        <w:t>3</w:t>
      </w:r>
      <w:r w:rsidR="00DF25C2">
        <w:t>), que a su vez se disocia en protones (H</w:t>
      </w:r>
      <w:r w:rsidR="00DF25C2">
        <w:rPr>
          <w:vertAlign w:val="superscript"/>
        </w:rPr>
        <w:t>+</w:t>
      </w:r>
      <w:r w:rsidR="00DF25C2">
        <w:t>) y bicarbonatos (HCO</w:t>
      </w:r>
      <w:r w:rsidR="00DF25C2">
        <w:rPr>
          <w:vertAlign w:val="subscript"/>
        </w:rPr>
        <w:t>3</w:t>
      </w:r>
      <w:r w:rsidR="00DF25C2">
        <w:rPr>
          <w:vertAlign w:val="superscript"/>
        </w:rPr>
        <w:t>-</w:t>
      </w:r>
      <w:r w:rsidR="00DF25C2">
        <w:t>)</w:t>
      </w:r>
      <w:r w:rsidR="000F1834">
        <w:fldChar w:fldCharType="begin"/>
      </w:r>
      <w:r w:rsidR="000F1834">
        <w:instrText xml:space="preserve"> ADDIN ZOTERO_ITEM CSL_CITATION {"citationID":"yxyxjoX7","properties":{"formattedCitation":"(Millero, 1996)","plainCitation":"(Millero, 1996)","noteIndex":0},"citationItems":[{"id":177,"uris":["http://zotero.org/users/local/sW19ltt6/items/U2QNJQLV"],"itemData":{"id":177,"type":"book","collection-title":"Marine science series","edition":"2. ed","event-place":"Boca Raton","ISBN":"978-0-8493-8423-3","language":"eng","number-of-pages":"469","publisher":"CRC Press","publisher-place":"Boca Raton","source":"K10plus ISBN","title":"Chemical oceanography","author":[{"family":"Millero","given":"Frank J."}],"issued":{"date-parts":[["1996"]]}}}],"schema":"https://github.com/citation-style-language/schema/raw/master/csl-citation.json"} </w:instrText>
      </w:r>
      <w:r w:rsidR="000F1834">
        <w:fldChar w:fldCharType="separate"/>
      </w:r>
      <w:r w:rsidR="000F1834" w:rsidRPr="000F1834">
        <w:rPr>
          <w:rFonts w:ascii="Aptos" w:hAnsi="Aptos"/>
        </w:rPr>
        <w:t>(Millero, 1996)</w:t>
      </w:r>
      <w:r w:rsidR="000F1834">
        <w:fldChar w:fldCharType="end"/>
      </w:r>
      <w:r w:rsidR="000F1834">
        <w:t>.</w:t>
      </w:r>
      <w:r w:rsidR="00B57AF8">
        <w:t xml:space="preserve"> Además, el bicarbonato se puede disociar en otro protón y en carbonato (CO</w:t>
      </w:r>
      <w:r w:rsidR="00B57AF8">
        <w:rPr>
          <w:vertAlign w:val="subscript"/>
        </w:rPr>
        <w:t>3</w:t>
      </w:r>
      <w:r w:rsidR="00B57AF8">
        <w:rPr>
          <w:vertAlign w:val="superscript"/>
        </w:rPr>
        <w:t>2-</w:t>
      </w:r>
      <w:r w:rsidR="00B57AF8">
        <w:t>). La concentración de estas fracciones de carbono inorgánico es modulada por el pH del medio (</w:t>
      </w:r>
      <w:r w:rsidR="00B57AF8">
        <w:rPr>
          <w:b/>
          <w:bCs/>
        </w:rPr>
        <w:t xml:space="preserve">Figura </w:t>
      </w:r>
      <w:r w:rsidR="002F2A86">
        <w:rPr>
          <w:b/>
          <w:bCs/>
        </w:rPr>
        <w:t>1</w:t>
      </w:r>
      <w:r w:rsidR="00B57AF8">
        <w:t>).</w:t>
      </w:r>
      <w:r w:rsidR="000F1834">
        <w:t xml:space="preserve"> Esta liberación de protones es la que produce una disminución del pH del agua, siendo un factor de riesgo para aquellos organismos que sean calcificantes </w:t>
      </w:r>
      <w:r w:rsidR="000F1834">
        <w:fldChar w:fldCharType="begin"/>
      </w:r>
      <w:r w:rsidR="000F1834">
        <w:instrText xml:space="preserve"> ADDIN ZOTERO_ITEM CSL_CITATION {"citationID":"qk358LPm","properties":{"formattedCitation":"(Kawahata et\\uc0\\u160{}al., 2019)","plainCitation":"(Kawahata et al., 2019)","noteIndex":0},"citationItems":[{"id":180,"uris":["http://zotero.org/users/local/sW19ltt6/items/DZW3MV8U"],"itemData":{"id":180,"type":"article-journal","container-title":"Progress in Earth and Planetary Science","DOI":"10.1186/s40645-018-0239-9","ISSN":"2197-4284","issue":"1","journalAbbreviation":"Prog Earth Planet Sci","language":"en","page":"5","source":"DOI.org (Crossref)","title":"Perspective on the response of marine calcifiers to global warming and ocean acidification—Behavior of corals and foraminifera in a high CO2 world “hot house”","volume":"6","author":[{"family":"Kawahata","given":"Hodaka"},{"family":"Fujita","given":"Kazuhiko"},{"family":"Iguchi","given":"Akira"},{"family":"Inoue","given":"Mayuri"},{"family":"Iwasaki","given":"Shinya"},{"family":"Kuroyanagi","given":"Azumi"},{"family":"Maeda","given":"Ayumi"},{"family":"Manaka","given":"Takuya"},{"family":"Moriya","given":"Kazuyoshi"},{"family":"Takagi","given":"Haruka"},{"family":"Toyofuku","given":"Takashi"},{"family":"Yoshimura","given":"Toshihiro"},{"family":"Suzuki","given":"Atsushi"}],"issued":{"date-parts":[["2019",12]]}}}],"schema":"https://github.com/citation-style-language/schema/raw/master/csl-citation.json"} </w:instrText>
      </w:r>
      <w:r w:rsidR="000F1834">
        <w:fldChar w:fldCharType="separate"/>
      </w:r>
      <w:r w:rsidR="000F1834" w:rsidRPr="000F1834">
        <w:rPr>
          <w:rFonts w:ascii="Aptos" w:hAnsi="Aptos" w:cs="Times New Roman"/>
          <w:kern w:val="0"/>
        </w:rPr>
        <w:t>(Kawahata et al., 2019)</w:t>
      </w:r>
      <w:r w:rsidR="000F1834">
        <w:fldChar w:fldCharType="end"/>
      </w:r>
      <w:r w:rsidR="000F1834">
        <w:t>.</w:t>
      </w:r>
      <w:r w:rsidR="00B57AF8">
        <w:t xml:space="preserve"> </w:t>
      </w:r>
    </w:p>
    <w:p w14:paraId="0E58C07A" w14:textId="77777777" w:rsidR="002F2A86" w:rsidRDefault="002F2A86" w:rsidP="00DB36F1">
      <w:pPr>
        <w:jc w:val="both"/>
      </w:pPr>
    </w:p>
    <w:p w14:paraId="39B02AC7" w14:textId="77777777" w:rsidR="00B57AF8" w:rsidRDefault="00B57AF8" w:rsidP="00B57AF8">
      <w:pPr>
        <w:keepNext/>
        <w:jc w:val="center"/>
      </w:pPr>
      <w:r w:rsidRPr="00B57AF8">
        <w:rPr>
          <w:noProof/>
        </w:rPr>
        <w:drawing>
          <wp:inline distT="0" distB="0" distL="0" distR="0" wp14:anchorId="7238135A" wp14:editId="22E83887">
            <wp:extent cx="4518660" cy="2506980"/>
            <wp:effectExtent l="0" t="0" r="0" b="7620"/>
            <wp:docPr id="964018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8890" r="7431" b="3707"/>
                    <a:stretch>
                      <a:fillRect/>
                    </a:stretch>
                  </pic:blipFill>
                  <pic:spPr bwMode="auto">
                    <a:xfrm>
                      <a:off x="0" y="0"/>
                      <a:ext cx="4518660"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6C4B4939" w14:textId="19DDD179" w:rsidR="00B57AF8" w:rsidRDefault="00B57AF8" w:rsidP="00B57AF8">
      <w:pPr>
        <w:pStyle w:val="Descripcin"/>
        <w:jc w:val="center"/>
      </w:pPr>
      <w:r>
        <w:t xml:space="preserve">Figura </w:t>
      </w:r>
      <w:fldSimple w:instr=" SEQ Figura \* ARABIC ">
        <w:r>
          <w:rPr>
            <w:noProof/>
          </w:rPr>
          <w:t>1</w:t>
        </w:r>
      </w:fldSimple>
      <w:r>
        <w:t>: Sistema de catos. Según el pH del agua, las fracciones de CO</w:t>
      </w:r>
      <w:r>
        <w:rPr>
          <w:vertAlign w:val="subscript"/>
        </w:rPr>
        <w:t>2</w:t>
      </w:r>
      <w:r>
        <w:t>, HCO</w:t>
      </w:r>
      <w:r>
        <w:rPr>
          <w:vertAlign w:val="subscript"/>
        </w:rPr>
        <w:t>3</w:t>
      </w:r>
      <w:r>
        <w:rPr>
          <w:vertAlign w:val="superscript"/>
        </w:rPr>
        <w:t>-</w:t>
      </w:r>
      <w:r>
        <w:t xml:space="preserve"> y CO</w:t>
      </w:r>
      <w:r>
        <w:rPr>
          <w:vertAlign w:val="subscript"/>
        </w:rPr>
        <w:t>3</w:t>
      </w:r>
      <w:r>
        <w:rPr>
          <w:vertAlign w:val="superscript"/>
        </w:rPr>
        <w:t>2-</w:t>
      </w:r>
      <w:r>
        <w:t xml:space="preserve"> varían. A pH de agua de mar (aproximadamente 8.3), los bicarbonatos son la especie mayoritaria de carbono inorgánico disuelto.</w:t>
      </w:r>
      <w:r w:rsidR="002F2A86">
        <w:t xml:space="preserve"> Autor: Elaboración propia.</w:t>
      </w:r>
    </w:p>
    <w:p w14:paraId="175CBD7F" w14:textId="77777777" w:rsidR="00B57AF8" w:rsidRPr="00B57AF8" w:rsidRDefault="00B57AF8" w:rsidP="00B57AF8">
      <w:pPr>
        <w:jc w:val="both"/>
      </w:pPr>
    </w:p>
    <w:p w14:paraId="4666D362" w14:textId="77777777" w:rsidR="00B57AF8" w:rsidRPr="00DF25C2" w:rsidRDefault="00B57AF8" w:rsidP="00DB36F1">
      <w:pPr>
        <w:jc w:val="both"/>
      </w:pPr>
    </w:p>
    <w:p w14:paraId="42E0DA57" w14:textId="7100866A" w:rsidR="00672EA5" w:rsidRDefault="00672EA5" w:rsidP="00DB36F1">
      <w:pPr>
        <w:jc w:val="both"/>
      </w:pPr>
      <w:r>
        <w:t xml:space="preserve">El océano </w:t>
      </w:r>
      <w:r w:rsidR="008F055C">
        <w:t xml:space="preserve">es un sumidero del </w:t>
      </w:r>
      <w:commentRangeStart w:id="0"/>
      <w:r w:rsidR="008F055C">
        <w:t xml:space="preserve">25% </w:t>
      </w:r>
      <w:commentRangeEnd w:id="0"/>
      <w:r w:rsidR="00C03A7D">
        <w:rPr>
          <w:rStyle w:val="Refdecomentario"/>
          <w:sz w:val="24"/>
          <w:szCs w:val="24"/>
        </w:rPr>
        <w:commentReference w:id="0"/>
      </w:r>
      <w:r w:rsidR="008F055C">
        <w:t>del CO</w:t>
      </w:r>
      <w:r w:rsidR="008F055C">
        <w:rPr>
          <w:vertAlign w:val="subscript"/>
        </w:rPr>
        <w:t>2</w:t>
      </w:r>
      <w:r w:rsidR="008F055C">
        <w:t xml:space="preserve"> antropogénico </w:t>
      </w:r>
      <w:r w:rsidR="008F055C">
        <w:fldChar w:fldCharType="begin"/>
      </w:r>
      <w:r w:rsidR="008F055C">
        <w:instrText xml:space="preserve"> ADDIN ZOTERO_ITEM CSL_CITATION {"citationID":"cAp3nnrw","properties":{"formattedCitation":"(Watson et\\uc0\\u160{}al., 2020)","plainCitation":"(Watson et al., 2020)","noteIndex":0},"citationItems":[{"id":166,"uris":["http://zotero.org/users/local/sW19ltt6/items/9NDJPVCL"],"itemData":{"id":166,"type":"article-journal","abstract":"Abstract\n            \n              The ocean is a sink for ~25% of the atmospheric CO\n              2\n              emitted by human activities, an amount in excess of 2 petagrams of carbon per year (PgC</w:instrText>
      </w:r>
      <w:r w:rsidR="008F055C">
        <w:rPr>
          <w:rFonts w:ascii="Arial" w:hAnsi="Arial" w:cs="Arial"/>
        </w:rPr>
        <w:instrText> </w:instrText>
      </w:r>
      <w:r w:rsidR="008F055C">
        <w:instrText xml:space="preserve">yr\n              </w:instrText>
      </w:r>
      <w:r w:rsidR="008F055C">
        <w:rPr>
          <w:rFonts w:ascii="Aptos" w:hAnsi="Aptos" w:cs="Aptos"/>
        </w:rPr>
        <w:instrText>−</w:instrText>
      </w:r>
      <w:r w:rsidR="008F055C">
        <w:instrText xml:space="preserve">1\n              ). Time-resolved estimates of global ocean-atmosphere CO\n              2\n              flux provide an important constraint on the global carbon budget. However, previous estimates of this flux, derived from surface ocean CO\n              2\n              concentrations, have not corrected the data for temperature gradients between the surface and sampling at a few meters depth, or for the effect of the cool ocean surface skin. Here we calculate a time history of ocean-atmosphere CO\n              2\n              fluxes from 1992 to 2018, corrected for these effects. These increase the calculated net flux into the oceans by 0.8–0.9 </w:instrText>
      </w:r>
      <w:r w:rsidR="008F055C">
        <w:rPr>
          <w:rFonts w:ascii="Arial" w:hAnsi="Arial" w:cs="Arial"/>
        </w:rPr>
        <w:instrText> </w:instrText>
      </w:r>
      <w:r w:rsidR="008F055C">
        <w:instrText>PgC</w:instrText>
      </w:r>
      <w:r w:rsidR="008F055C">
        <w:rPr>
          <w:rFonts w:ascii="Aptos" w:hAnsi="Aptos" w:cs="Aptos"/>
        </w:rPr>
        <w:instrText> </w:instrText>
      </w:r>
      <w:r w:rsidR="008F055C">
        <w:instrText xml:space="preserve">yr\n              </w:instrText>
      </w:r>
      <w:r w:rsidR="008F055C">
        <w:rPr>
          <w:rFonts w:ascii="Aptos" w:hAnsi="Aptos" w:cs="Aptos"/>
        </w:rPr>
        <w:instrText>−</w:instrText>
      </w:r>
      <w:r w:rsidR="008F055C">
        <w:instrText xml:space="preserve">1\n              , at times doubling uncorrected values. We estimate uncertainties using multiple interpolation methods, finding convergent results for fluxes globally after 2000, or over the Northern Hemisphere throughout the period. Our corrections reconcile surface uptake with independent estimates of the increase in ocean CO\n              2\n              inventory, and suggest most ocean models underestimate uptake.","container-title":"Nature Communications","DOI":"10.1038/s41467-020-18203-3","ISSN":"2041-1723","issue":"1","journalAbbreviation":"Nat Commun","language":"en","page":"4422","source":"DOI.org (Crossref)","title":"Revised estimates of ocean-atmosphere CO2 flux are consistent with ocean carbon inventory","volume":"11","author":[{"family":"Watson","given":"Andrew J."},{"family":"Schuster","given":"Ute"},{"family":"Shutler","given":"Jamie D."},{"family":"Holding","given":"Thomas"},{"family":"Ashton","given":"Ian G. C."},{"family":"Landschützer","given":"Peter"},{"family":"Woolf","given":"David K."},{"family":"Goddijn-Murphy","given":"Lonneke"}],"issued":{"date-parts":[["2020",9,4]]}}}],"schema":"https://github.com/citation-style-language/schema/raw/master/csl-citation.json"} </w:instrText>
      </w:r>
      <w:r w:rsidR="008F055C">
        <w:fldChar w:fldCharType="separate"/>
      </w:r>
      <w:r w:rsidR="008F055C" w:rsidRPr="008F055C">
        <w:rPr>
          <w:rFonts w:ascii="Aptos" w:hAnsi="Aptos" w:cs="Times New Roman"/>
          <w:kern w:val="0"/>
        </w:rPr>
        <w:t>(Watson et al., 2020)</w:t>
      </w:r>
      <w:r w:rsidR="008F055C">
        <w:fldChar w:fldCharType="end"/>
      </w:r>
      <w:r w:rsidR="008F055C">
        <w:t xml:space="preserve">, almacenando una cantidad de carbono que supera los 2 petagramos de carbono </w:t>
      </w:r>
      <w:r w:rsidR="008F055C">
        <w:lastRenderedPageBreak/>
        <w:t>por año (PgCyr</w:t>
      </w:r>
      <w:r w:rsidR="008F055C">
        <w:rPr>
          <w:vertAlign w:val="superscript"/>
        </w:rPr>
        <w:t>-1</w:t>
      </w:r>
      <w:r w:rsidR="008F055C">
        <w:t>). E</w:t>
      </w:r>
      <w:r w:rsidR="004A60B1">
        <w:t xml:space="preserve">studiar los flujos de carbono entre la atmósfera y el océano es muy importante para poder entender mejor el funcionamiento del clima terrestre </w:t>
      </w:r>
      <w:r w:rsidR="00841A0B">
        <w:fldChar w:fldCharType="begin"/>
      </w:r>
      <w:r w:rsidR="00841A0B">
        <w:instrText xml:space="preserve"> ADDIN ZOTERO_ITEM CSL_CITATION {"citationID":"8joSg80i","properties":{"formattedCitation":"(Heinze, 2014)","plainCitation":"(Heinze, 2014)","noteIndex":0},"citationItems":[{"id":168,"uris":["http://zotero.org/users/local/sW19ltt6/items/M8PSJL6W"],"itemData":{"id":168,"type":"article-journal","abstract":"The ocean carbon cycle plays a twofold role in the context of climate change: (1) through carbon dioxide gas exchange with the atmosphere and carbon cycle climate feedbacks, the ocean regulates the carbon dioxide concentration in the atmosphere and hence has a strong influence on the heat budget of the Earth; (2) the paleo-climatic marine sediment core record is largely based on biogenic matter fluxes from the ocean surface to the sea floor, which are part of the marine carbon cycle. The ocean is important for global carbon cycling, primarily due to three factors: (1) the ocean is a huge carbon reservoir with a relatively short turnover time; (2) carbon dioxide in sea water is effectively dissociated inorganically into other substances; (3) marine plankton is keeping the surface ocean carbon dioxide concentration at a lower level than would a lifeless ocean. On intermediate to long time scales, the ocean provides the most important sink for anthropogenic carbon dioxide. The marine uptake kinetics for carbon dioxide work on a longer time scale than current and projected emissions by humans.","container-title":"European Review","DOI":"10.1017/S1062798713000665","ISSN":"1062-7987, 1474-0575","issue":"1","journalAbbreviation":"European Review","language":"en","license":"https://www.cambridge.org/core/terms","page":"97-105","source":"DOI.org (Crossref)","title":"The Role of the Ocean Carbon Cycle in Climate Change","volume":"22","author":[{"family":"Heinze","given":"Christoph"}],"issued":{"date-parts":[["2014",2]]}}}],"schema":"https://github.com/citation-style-language/schema/raw/master/csl-citation.json"} </w:instrText>
      </w:r>
      <w:r w:rsidR="00841A0B">
        <w:fldChar w:fldCharType="separate"/>
      </w:r>
      <w:r w:rsidR="00841A0B" w:rsidRPr="00841A0B">
        <w:rPr>
          <w:rFonts w:ascii="Aptos" w:hAnsi="Aptos"/>
        </w:rPr>
        <w:t>(Heinze, 2014)</w:t>
      </w:r>
      <w:r w:rsidR="00841A0B">
        <w:fldChar w:fldCharType="end"/>
      </w:r>
      <w:r w:rsidR="00841A0B">
        <w:t>.</w:t>
      </w:r>
      <w:r w:rsidR="00BB4940">
        <w:t xml:space="preserve"> </w:t>
      </w:r>
      <w:commentRangeStart w:id="1"/>
      <w:r w:rsidR="00BB4940">
        <w:t>Los flujos de CO</w:t>
      </w:r>
      <w:r w:rsidR="00BB4940">
        <w:rPr>
          <w:vertAlign w:val="subscript"/>
        </w:rPr>
        <w:t>2</w:t>
      </w:r>
      <w:r w:rsidR="00BB4940">
        <w:t xml:space="preserve"> </w:t>
      </w:r>
      <w:commentRangeEnd w:id="1"/>
      <w:r w:rsidR="00400AD4">
        <w:rPr>
          <w:rStyle w:val="Refdecomentario"/>
          <w:sz w:val="24"/>
          <w:szCs w:val="24"/>
        </w:rPr>
        <w:commentReference w:id="1"/>
      </w:r>
      <w:r w:rsidR="00BB4940">
        <w:t xml:space="preserve">entre la atmósfera y el océano tienen una variación espacial y temporal muy grande, por lo que su estudio tiene un gran interés científico </w:t>
      </w:r>
      <w:r w:rsidR="00BB4940">
        <w:fldChar w:fldCharType="begin"/>
      </w:r>
      <w:r w:rsidR="00BB4940">
        <w:instrText xml:space="preserve"> ADDIN ZOTERO_ITEM CSL_CITATION {"citationID":"saxDA4jK","properties":{"formattedCitation":"(Feely et\\uc0\\u160{}al., 2001)","plainCitation":"(Feely et al., 2001)","noteIndex":0},"citationItems":[{"id":172,"uris":["http://zotero.org/users/local/sW19ltt6/items/KIDPRK22"],"itemData":{"id":172,"type":"article-journal","container-title":"Oceanography","DOI":"10.5670/oceanog.2001.03","ISSN":"10428275","issue":"4","journalAbbreviation":"oceanog","page":"18-32","source":"DOI.org (Crossref)","title":"Uptake and Storage of Carbon Dioxide in the Ocean: The Global CO2 Survey","title-short":"Uptake and Storage of Carbon Dioxide in the Ocean","volume":"14","author":[{"family":"Feely","given":"Richard"},{"family":"Sabine","given":"Christopher"},{"family":"Takahashi","given":"Taro"},{"family":"Wanninkhof","given":"Rik"}],"issued":{"date-parts":[["2001"]]}}}],"schema":"https://github.com/citation-style-language/schema/raw/master/csl-citation.json"} </w:instrText>
      </w:r>
      <w:r w:rsidR="00BB4940">
        <w:fldChar w:fldCharType="separate"/>
      </w:r>
      <w:r w:rsidR="00BB4940" w:rsidRPr="00BB4940">
        <w:rPr>
          <w:rFonts w:ascii="Aptos" w:hAnsi="Aptos" w:cs="Times New Roman"/>
          <w:kern w:val="0"/>
        </w:rPr>
        <w:t>(Feely et al., 2001)</w:t>
      </w:r>
      <w:r w:rsidR="00BB4940">
        <w:fldChar w:fldCharType="end"/>
      </w:r>
      <w:r w:rsidR="002E3517">
        <w:t>, siendo</w:t>
      </w:r>
      <w:r w:rsidR="002E3517" w:rsidRPr="002E3517">
        <w:t xml:space="preserve"> </w:t>
      </w:r>
      <w:r w:rsidR="002E3517">
        <w:t>la presión parcial de CO</w:t>
      </w:r>
      <w:r w:rsidR="002E3517">
        <w:rPr>
          <w:vertAlign w:val="subscript"/>
        </w:rPr>
        <w:t>2</w:t>
      </w:r>
      <w:r w:rsidR="002E3517">
        <w:t xml:space="preserve"> (pCO</w:t>
      </w:r>
      <w:r w:rsidR="002E3517">
        <w:rPr>
          <w:vertAlign w:val="subscript"/>
        </w:rPr>
        <w:t>2</w:t>
      </w:r>
      <w:r w:rsidR="002E3517">
        <w:t>) es una componente indispensable para calcular los flujos de CO</w:t>
      </w:r>
      <w:r w:rsidR="002E3517">
        <w:rPr>
          <w:vertAlign w:val="subscript"/>
        </w:rPr>
        <w:t>2</w:t>
      </w:r>
      <w:r w:rsidR="002E3517">
        <w:t xml:space="preserve"> entre la atmósfera y el océano </w:t>
      </w:r>
      <w:r w:rsidR="002E3517">
        <w:fldChar w:fldCharType="begin"/>
      </w:r>
      <w:r w:rsidR="002E3517">
        <w:instrText xml:space="preserve"> ADDIN ZOTERO_ITEM CSL_CITATION {"citationID":"0kATvUxw","properties":{"formattedCitation":"(Wu et\\uc0\\u160{}al., 2025)","plainCitation":"(Wu et al., 2025)","noteIndex":0},"citationItems":[{"id":183,"uris":["http://zotero.org/users/local/sW19ltt6/items/7AI26TSM"],"itemData":{"id":183,"type":"article-journal","abstract":"Abstract. Insufficient spatiotemporal coverage of observations of the surface partial pressure of CO2 (pCO2) has hindered precise carbon cycle studies in coastal oceans and justifies the development of spatially and temporally continuous pCO2 data products. Earlier pCO2 products have difficulties in capturing the heterogeneity of regional variations and decadal trends of pCO2 in the North American Atlantic Coastal Ocean Margin (NAACOM). This study developed a regional reconstructed pCO2 product for the NAACOM (Reconstructed Coastal Acidification Database-pCO2, or ReCAD-NAACOM-pCO2) using a two-step approach combining random forest regression and linear regression. The product provides monthly pCO2 data at 0.25° spatial resolution from 1993 to 2021, enabling investigation of regional spatial differences, seasonal cycles, and decadal changes in pCO2. The observation-based reconstruction was trained using Surface Ocean CO2 Atlas (SOCAT) observations as observational values, with various satellite-derived and reanalysis environmental variables known to control sea surface pCO2 as model inputs. The product shows high accuracy during the model training, validation, and independent test phases, demonstrating robustness and a capability to accurately reconstruct pCO2 in regions or periods lacking direct observational data. Compared with all the observation samples from SOCAT, the pCO2 product yields a determination coefficient of 0.92, a root-mean-square error of 12.70</w:instrText>
      </w:r>
      <w:r w:rsidR="002E3517">
        <w:rPr>
          <w:rFonts w:ascii="Arial" w:hAnsi="Arial" w:cs="Arial"/>
        </w:rPr>
        <w:instrText> </w:instrText>
      </w:r>
      <w:r w:rsidR="002E3517">
        <w:rPr>
          <w:rFonts w:ascii="Aptos" w:hAnsi="Aptos" w:cs="Aptos"/>
        </w:rPr>
        <w:instrText>µ</w:instrText>
      </w:r>
      <w:r w:rsidR="002E3517">
        <w:instrText>atm, and an accumulative uncertainty of 23.25</w:instrText>
      </w:r>
      <w:r w:rsidR="002E3517">
        <w:rPr>
          <w:rFonts w:ascii="Arial" w:hAnsi="Arial" w:cs="Arial"/>
        </w:rPr>
        <w:instrText> </w:instrText>
      </w:r>
      <w:r w:rsidR="002E3517">
        <w:rPr>
          <w:rFonts w:ascii="Aptos" w:hAnsi="Aptos" w:cs="Aptos"/>
        </w:rPr>
        <w:instrText>µ</w:instrText>
      </w:r>
      <w:r w:rsidR="002E3517">
        <w:instrText xml:space="preserve">atm. The ReCAD-NAACOM-pCO2 product demonstrates its capability to resolve seasonal cycles, regional-scale variations, and decadal trends of pCO2 along the NAACOM. This new product provides reliable pCO2 data for more precise studies of coastal carbon dynamics in the NAACOM region. The dataset is publicly accessible at https://doi.org/10.5281/zenodo.14038561 (Wu et al., 2024a) and will be updated regularly.","container-title":"Earth System Science Data","DOI":"10.5194/essd-17-43-2025","ISSN":"1866-3516","issue":"1","journalAbbreviation":"Earth Syst. Sci. Data","language":"en","license":"https://creativecommons.org/licenses/by/4.0/","page":"43-63","source":"DOI.org (Crossref)","title":"A machine-learning reconstruction of sea surface &lt;i&gt;p&lt;/i&gt; CO&lt;sub&gt;2&lt;/sub&gt; in the North American Atlantic Coastal Ocean Margin from 1993 to 2021","volume":"17","author":[{"family":"Wu","given":"Zelun"},{"family":"Lu","given":"Wenfang"},{"family":"Roobaert","given":"Alizée"},{"family":"Song","given":"Luping"},{"family":"Yan","given":"Xiao-Hai"},{"family":"Cai","given":"Wei-Jun"}],"issued":{"date-parts":[["2025",1,8]]}}}],"schema":"https://github.com/citation-style-language/schema/raw/master/csl-citation.json"} </w:instrText>
      </w:r>
      <w:r w:rsidR="002E3517">
        <w:fldChar w:fldCharType="separate"/>
      </w:r>
      <w:r w:rsidR="002E3517" w:rsidRPr="002E3517">
        <w:rPr>
          <w:rFonts w:ascii="Aptos" w:hAnsi="Aptos" w:cs="Times New Roman"/>
          <w:kern w:val="0"/>
        </w:rPr>
        <w:t>(Wu et al., 2025)</w:t>
      </w:r>
      <w:r w:rsidR="002E3517">
        <w:fldChar w:fldCharType="end"/>
      </w:r>
      <w:r w:rsidR="002E3517">
        <w:t>.</w:t>
      </w:r>
      <w:r w:rsidR="00BB4940">
        <w:t xml:space="preserve"> </w:t>
      </w:r>
      <w:r w:rsidR="002E3517">
        <w:t>La reconstrucción del presente mediante datos observacionales sirve</w:t>
      </w:r>
      <w:r w:rsidR="00BB4940">
        <w:t xml:space="preserve"> para una mayor comprensión del sistema Tierra y para una predicción más realista a través de los modelos. </w:t>
      </w:r>
    </w:p>
    <w:p w14:paraId="717FA021" w14:textId="10514C5F" w:rsidR="00C03A7D" w:rsidRPr="003B47E3" w:rsidRDefault="00C03A7D" w:rsidP="00DB36F1">
      <w:pPr>
        <w:jc w:val="both"/>
        <w:rPr>
          <w:b/>
          <w:bCs/>
        </w:rPr>
      </w:pPr>
      <w:r w:rsidRPr="003B47E3">
        <w:rPr>
          <w:b/>
          <w:bCs/>
        </w:rPr>
        <w:t>Balances carbono</w:t>
      </w:r>
    </w:p>
    <w:p w14:paraId="7F93B5FB" w14:textId="2BDCD1A0" w:rsidR="00C03A7D" w:rsidRPr="003B47E3" w:rsidRDefault="00C03A7D" w:rsidP="00DB36F1">
      <w:pPr>
        <w:jc w:val="both"/>
        <w:rPr>
          <w:b/>
          <w:bCs/>
        </w:rPr>
      </w:pPr>
      <w:r w:rsidRPr="003B47E3">
        <w:rPr>
          <w:b/>
          <w:bCs/>
        </w:rPr>
        <w:t>Ipcc</w:t>
      </w:r>
    </w:p>
    <w:p w14:paraId="2849E566" w14:textId="0F78E860" w:rsidR="00C03A7D" w:rsidRPr="003B47E3" w:rsidRDefault="00C03A7D" w:rsidP="00DB36F1">
      <w:pPr>
        <w:jc w:val="both"/>
        <w:rPr>
          <w:b/>
          <w:bCs/>
        </w:rPr>
      </w:pPr>
      <w:r w:rsidRPr="003B47E3">
        <w:rPr>
          <w:b/>
          <w:bCs/>
        </w:rPr>
        <w:t xml:space="preserve">Marine cdr </w:t>
      </w:r>
    </w:p>
    <w:p w14:paraId="06537770" w14:textId="67ADDFD7" w:rsidR="00446E32" w:rsidRDefault="00842996" w:rsidP="0000086E">
      <w:pPr>
        <w:jc w:val="both"/>
      </w:pPr>
      <w:r>
        <w:t>Entre todos los sistemas del planeta, es el océano el que tiene el mayor</w:t>
      </w:r>
      <w:r w:rsidR="00287A5D">
        <w:t xml:space="preserve"> reservorio de carbono del planeta </w:t>
      </w:r>
      <w:r w:rsidR="00287A5D">
        <w:fldChar w:fldCharType="begin"/>
      </w:r>
      <w:r w:rsidR="00287A5D">
        <w:instrText xml:space="preserve"> ADDIN ZOTERO_ITEM CSL_CITATION {"citationID":"n8v8ton2","properties":{"formattedCitation":"(Friedlingstein et\\uc0\\u160{}al., 2022)","plainCitation":"(Friedlingstein et al., 2022)","noteIndex":0},"citationItems":[{"id":190,"uris":["http://zotero.org/users/local/sW19ltt6/items/5KY3WTIZ"],"itemData":{"id":190,"type":"article-journal","abstract":"Abstract. Accurate assessment of anthropogenic carbon dioxide (CO2) emissions and\ntheir redistribution among the atmosphere, ocean, and terrestrial biosphere\nin a changing climate is critical to better understand the global carbon\ncycle, support the development of climate policies, and project future\nclimate change. Here we describe and synthesize data sets and methodologies to\nquantify the five major components of the global carbon budget and their\nuncertainties. Fossil CO2 emissions (EFOS) are based on energy\nstatistics and cement production data, while emissions from land-use change\n(ELUC), mainly deforestation, are based on land use and land-use change\ndata and bookkeeping models. Atmospheric CO2 concentration is measured\ndirectly, and its growth rate (GATM) is computed from the annual\nchanges in concentration. The ocean CO2 sink (SOCEAN) is estimated\nwith global ocean biogeochemistry models and observation-based\ndata products. The terrestrial CO2 sink (SLAND) is estimated with\ndynamic global vegetation models. The resulting carbon budget imbalance\n(BIM), the difference between the estimated total emissions and the\nestimated changes in the atmosphere, ocean, and terrestrial biosphere, is a\nmeasure of imperfect data and understanding of the contemporary carbon\ncycle. All uncertainties are reported as ±1σ. For the year 2021, EFOS increased by 5.1</w:instrText>
      </w:r>
      <w:r w:rsidR="00287A5D">
        <w:rPr>
          <w:rFonts w:ascii="Arial" w:hAnsi="Arial" w:cs="Arial"/>
        </w:rPr>
        <w:instrText> </w:instrText>
      </w:r>
      <w:r w:rsidR="00287A5D">
        <w:instrText>% relative to 2020, with\nfossil emissions at 10.1</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0.5</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 (9.9</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0.5</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 when the cement carbonation sink is included), and ELUC was 1.1</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0.7</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 for a total anthropogenic CO2 emission\n(including the cement carbonation sink) of 10.9</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0.8</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1\n(40.0</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2.9</w:instrText>
      </w:r>
      <w:r w:rsidR="00287A5D">
        <w:rPr>
          <w:rFonts w:ascii="Arial" w:hAnsi="Arial" w:cs="Arial"/>
        </w:rPr>
        <w:instrText> </w:instrText>
      </w:r>
      <w:r w:rsidR="00287A5D">
        <w:instrText>GtCO2). Also, for 2021, GATM was 5.2</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0.2</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 (2.5</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0.1</w:instrText>
      </w:r>
      <w:r w:rsidR="00287A5D">
        <w:rPr>
          <w:rFonts w:ascii="Arial" w:hAnsi="Arial" w:cs="Arial"/>
        </w:rPr>
        <w:instrText> </w:instrText>
      </w:r>
      <w:r w:rsidR="00287A5D">
        <w:instrText>ppm</w:instrText>
      </w:r>
      <w:r w:rsidR="00287A5D">
        <w:rPr>
          <w:rFonts w:ascii="Arial" w:hAnsi="Arial" w:cs="Arial"/>
        </w:rPr>
        <w:instrText> </w:instrText>
      </w:r>
      <w:r w:rsidR="00287A5D">
        <w:instrText>yr</w:instrText>
      </w:r>
      <w:r w:rsidR="00287A5D">
        <w:rPr>
          <w:rFonts w:ascii="Aptos" w:hAnsi="Aptos" w:cs="Aptos"/>
        </w:rPr>
        <w:instrText>−</w:instrText>
      </w:r>
      <w:r w:rsidR="00287A5D">
        <w:instrText xml:space="preserve">1), SOCEAN was 2.9 </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0.4</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 and SLAND was 3.5</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0.9</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 xml:space="preserve">1, with a\nBIM of </w:instrText>
      </w:r>
      <w:r w:rsidR="00287A5D">
        <w:rPr>
          <w:rFonts w:ascii="Aptos" w:hAnsi="Aptos" w:cs="Aptos"/>
        </w:rPr>
        <w:instrText>−</w:instrText>
      </w:r>
      <w:r w:rsidR="00287A5D">
        <w:instrText>0.6</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1 (i.e. the total estimated sources were too low or\nsinks were too high). The global atmospheric CO2 concentration averaged over\n2021 reached 414.71</w:instrText>
      </w:r>
      <w:r w:rsidR="00287A5D">
        <w:rPr>
          <w:rFonts w:ascii="Arial" w:hAnsi="Arial" w:cs="Arial"/>
        </w:rPr>
        <w:instrText> </w:instrText>
      </w:r>
      <w:r w:rsidR="00287A5D">
        <w:rPr>
          <w:rFonts w:ascii="Aptos" w:hAnsi="Aptos" w:cs="Aptos"/>
        </w:rPr>
        <w:instrText>±</w:instrText>
      </w:r>
      <w:r w:rsidR="00287A5D">
        <w:rPr>
          <w:rFonts w:ascii="Arial" w:hAnsi="Arial" w:cs="Arial"/>
        </w:rPr>
        <w:instrText> </w:instrText>
      </w:r>
      <w:r w:rsidR="00287A5D">
        <w:instrText>0.1</w:instrText>
      </w:r>
      <w:r w:rsidR="00287A5D">
        <w:rPr>
          <w:rFonts w:ascii="Arial" w:hAnsi="Arial" w:cs="Arial"/>
        </w:rPr>
        <w:instrText> </w:instrText>
      </w:r>
      <w:r w:rsidR="00287A5D">
        <w:instrText>ppm. Preliminary data for 2022 suggest an\nincrease in EFOS relative to 2021 of +1.0</w:instrText>
      </w:r>
      <w:r w:rsidR="00287A5D">
        <w:rPr>
          <w:rFonts w:ascii="Arial" w:hAnsi="Arial" w:cs="Arial"/>
        </w:rPr>
        <w:instrText> </w:instrText>
      </w:r>
      <w:r w:rsidR="00287A5D">
        <w:instrText>% (0.1</w:instrText>
      </w:r>
      <w:r w:rsidR="00287A5D">
        <w:rPr>
          <w:rFonts w:ascii="Arial" w:hAnsi="Arial" w:cs="Arial"/>
        </w:rPr>
        <w:instrText> </w:instrText>
      </w:r>
      <w:r w:rsidR="00287A5D">
        <w:instrText>% to 1.9</w:instrText>
      </w:r>
      <w:r w:rsidR="00287A5D">
        <w:rPr>
          <w:rFonts w:ascii="Arial" w:hAnsi="Arial" w:cs="Arial"/>
        </w:rPr>
        <w:instrText> </w:instrText>
      </w:r>
      <w:r w:rsidR="00287A5D">
        <w:instrText>%)\nglobally and atmospheric CO2 concentration reaching 417.2</w:instrText>
      </w:r>
      <w:r w:rsidR="00287A5D">
        <w:rPr>
          <w:rFonts w:ascii="Arial" w:hAnsi="Arial" w:cs="Arial"/>
        </w:rPr>
        <w:instrText> </w:instrText>
      </w:r>
      <w:r w:rsidR="00287A5D">
        <w:instrText>ppm, more\nthan 50</w:instrText>
      </w:r>
      <w:r w:rsidR="00287A5D">
        <w:rPr>
          <w:rFonts w:ascii="Arial" w:hAnsi="Arial" w:cs="Arial"/>
        </w:rPr>
        <w:instrText> </w:instrText>
      </w:r>
      <w:r w:rsidR="00287A5D">
        <w:instrText>% above pre-industrial levels (around 278</w:instrText>
      </w:r>
      <w:r w:rsidR="00287A5D">
        <w:rPr>
          <w:rFonts w:ascii="Arial" w:hAnsi="Arial" w:cs="Arial"/>
        </w:rPr>
        <w:instrText> </w:instrText>
      </w:r>
      <w:r w:rsidR="00287A5D">
        <w:instrText>ppm). Overall, the mean\nand trend in the components of the global carbon budget are consistently\nestimated over the period 1959</w:instrText>
      </w:r>
      <w:r w:rsidR="00287A5D">
        <w:rPr>
          <w:rFonts w:ascii="Aptos" w:hAnsi="Aptos" w:cs="Aptos"/>
        </w:rPr>
        <w:instrText>–</w:instrText>
      </w:r>
      <w:r w:rsidR="00287A5D">
        <w:instrText>2021, but discrepancies of up to 1</w:instrText>
      </w:r>
      <w:r w:rsidR="00287A5D">
        <w:rPr>
          <w:rFonts w:ascii="Arial" w:hAnsi="Arial" w:cs="Arial"/>
        </w:rPr>
        <w:instrText> </w:instrText>
      </w:r>
      <w:r w:rsidR="00287A5D">
        <w:instrText>GtC</w:instrText>
      </w:r>
      <w:r w:rsidR="00287A5D">
        <w:rPr>
          <w:rFonts w:ascii="Arial" w:hAnsi="Arial" w:cs="Arial"/>
        </w:rPr>
        <w:instrText> </w:instrText>
      </w:r>
      <w:r w:rsidR="00287A5D">
        <w:instrText>yr</w:instrText>
      </w:r>
      <w:r w:rsidR="00287A5D">
        <w:rPr>
          <w:rFonts w:ascii="Aptos" w:hAnsi="Aptos" w:cs="Aptos"/>
        </w:rPr>
        <w:instrText>−</w:instrText>
      </w:r>
      <w:r w:rsidR="00287A5D">
        <w:instrText xml:space="preserve">1 persist for the representation of annual to semi-decadal\nvariability in CO2 fluxes. Comparison of estimates from multiple\napproaches and observations shows (1) a persistent large uncertainty in the\nestimate of land-use change emissions, (2) a low agreement between the\ndifferent methods on the magnitude of the land CO2 flux in the northern\nextratropics, and (3) a discrepancy between the different methods on the\nstrength of the ocean sink over the last decade. This living data update\ndocuments changes in the methods and data sets used in this new global\ncarbon budget and the progress in understanding of the global carbon cycle\ncompared with previous publications of this data set. The data presented in\nthis work are available at https://doi.org/10.18160/GCP-2022 (Friedlingstein et al., 2022b).","container-title":"Earth System Science Data","DOI":"10.5194/essd-14-4811-2022","ISSN":"1866-3516","issue":"11","journalAbbreviation":"Earth Syst. Sci. Data","language":"en","license":"https://creativecommons.org/licenses/by/4.0/","page":"4811-4900","source":"DOI.org (Crossref)","title":"Global Carbon Budget 2022","volume":"14","author":[{"family":"Friedlingstein","given":"Pierre"},{"family":"O'Sullivan","given":"Michael"},{"family":"Jones","given":"Matthew W."},{"family":"Andrew","given":"Robbie M."},{"family":"Gregor","given":"Luke"},{"family":"Hauck","given":"Judith"},{"family":"Le Quéré","given":"Corinne"},{"family":"Luijkx","given":"Ingrid T."},{"family":"Olsen","given":"Are"},{"family":"Peters","given":"Glen P."},{"family":"Peters","given":"Wouter"},{"family":"Pongratz","given":"Julia"},{"family":"Schwingshackl","given":"Clemens"},{"family":"Sitch","given":"Stephen"},{"family":"Canadell","given":"Josep G."},{"family":"Ciais","given":"Philippe"},{"family":"Jackson","given":"Robert B."},{"family":"Alin","given":"Simone R."},{"family":"Alkama","given":"Ramdane"},{"family":"Arneth","given":"Almut"},{"family":"Arora","given":"Vivek K."},{"family":"Bates","given":"Nicholas R."},{"family":"Becker","given":"Meike"},{"family":"Bellouin","given":"Nicolas"},{"family":"Bittig","given":"Henry C."},{"family":"Bopp","given":"Laurent"},{"family":"Chevallier","given":"Frédéric"},{"family":"Chini","given":"Louise P."},{"family":"Cronin","given":"Margot"},{"family":"Evans","given":"Wiley"},{"family":"Falk","given":"Stefanie"},{"family":"Feely","given":"Richard A."},{"family":"Gasser","given":"Thomas"},{"family":"Gehlen","given":"Marion"},{"family":"Gkritzalis","given":"Thanos"},{"family":"Gloege","given":"Lucas"},{"family":"Grassi","given":"Giacomo"},{"family":"Gruber","given":"Nicolas"},{"family":"Gürses","given":"Özgür"},{"family":"Harris","given":"Ian"},{"family":"Hefner","given":"Matthew"},{"family":"Houghton","given":"Richard A."},{"family":"Hurtt","given":"George C."},{"family":"Iida","given":"Yosuke"},{"family":"Ilyina","given":"Tatiana"},{"family":"Jain","given":"Atul K."},{"family":"Jersild","given":"Annika"},{"family":"Kadono","given":"Koji"},{"family":"Kato","given":"Etsushi"},{"family":"Kennedy","given":"Daniel"},{"family":"Klein Goldewijk","given":"Kees"},{"family":"Knauer","given":"Jürgen"},{"family":"Korsbakken","given":"Jan Ivar"},{"family":"Landschützer","given":"Peter"},{"family":"Lefèvre","given":"Nathalie"},{"family":"Lindsay","given":"Keith"},{"family":"Liu","given":"Junjie"},{"family":"Liu","given":"Zhu"},{"family":"Marland","given":"Gregg"},{"family":"Mayot","given":"Nicolas"},{"family":"McGrath","given":"Matthew J."},{"family":"Metzl","given":"Nicolas"},{"family":"Monacci","given":"Natalie M."},{"family":"Munro","given":"David R."},{"family":"Nakaoka","given":"Shin-Ichiro"},{"family":"Niwa","given":"Yosuke"},{"family":"O'Brien","given":"Kevin"},{"family":"Ono","given":"Tsuneo"},{"family":"Palmer","given":"Paul I."},{"family":"Pan","given":"Naiqing"},{"family":"Pierrot","given":"Denis"},{"family":"Pocock","given":"Katie"},{"family":"Poulter","given":"Benjamin"},{"family":"Resplandy","given":"Laure"},{"family":"Robertson","given":"Eddy"},{"family":"Rödenbeck","given":"Christian"},{"family":"Rodriguez","given":"Carmen"},{"family":"Rosan","given":"Thais M."},{"family":"Schwinger","given":"Jörg"},{"family":"Séférian","given":"Roland"},{"family":"Shutler","given":"Jamie D."},{"family":"Skjelvan","given":"Ingunn"},{"family":"Steinhoff","given":"Tobias"},{"family":"Sun","given":"Qing"},{"family":"Sutton","given":"Adrienne J."},{"family":"Sweeney","given":"Colm"},{"family":"Takao","given":"Shintaro"},{"family":"Tanhua","given":"Toste"},{"family":"Tans","given":"Pieter P."},{"family":"Tian","given":"Xiangjun"},{"family":"Tian","given":"Hanqin"},{"family":"Tilbrook","given":"Bronte"},{"family":"Tsujino","given":"Hiroyuki"},{"family":"Tubiello","given":"Francesco"},{"family":"Van Der Werf","given":"Guido R."},{"family":"Walker","given":"Anthony P."},{"family":"Wanninkhof","given":"Rik"},{"family":"Whitehead","given":"Chris"},{"family":"Willstrand Wranne","given":"Anna"},{"family":"Wright","given":"Rebecca"},{"family":"Yuan","given":"Wenping"},{"family":"Yue","given":"Chao"},{"family":"Yue","given":"Xu"},{"family":"Zaehle","given":"Sönke"},{"family":"Zeng","given":"Jiye"},{"family":"Zheng","given":"Bo"}],"issued":{"date-parts":[["2022",11,11]]}}}],"schema":"https://github.com/citation-style-language/schema/raw/master/csl-citation.json"} </w:instrText>
      </w:r>
      <w:r w:rsidR="00287A5D">
        <w:fldChar w:fldCharType="separate"/>
      </w:r>
      <w:r w:rsidR="00287A5D" w:rsidRPr="00287A5D">
        <w:rPr>
          <w:rFonts w:ascii="Aptos" w:hAnsi="Aptos" w:cs="Times New Roman"/>
          <w:kern w:val="0"/>
        </w:rPr>
        <w:t>(Friedlingstein et al., 2022)</w:t>
      </w:r>
      <w:r w:rsidR="00287A5D">
        <w:fldChar w:fldCharType="end"/>
      </w:r>
      <w:r w:rsidR="00287A5D">
        <w:t xml:space="preserve">. </w:t>
      </w:r>
      <w:r w:rsidR="00A65D13">
        <w:t xml:space="preserve">Las zonas costeras son las más eficientes a la hora de </w:t>
      </w:r>
      <w:r w:rsidR="00674424">
        <w:t>exportar</w:t>
      </w:r>
      <w:r w:rsidR="00A65D13">
        <w:t xml:space="preserve"> carbono</w:t>
      </w:r>
      <w:r w:rsidR="00674424">
        <w:t xml:space="preserve">. El 90% de la exportación de carbono ocurre en las zonas de los márgenes continentales </w:t>
      </w:r>
      <w:r w:rsidR="00674424">
        <w:fldChar w:fldCharType="begin"/>
      </w:r>
      <w:r w:rsidR="00674424">
        <w:instrText xml:space="preserve"> ADDIN ZOTERO_ITEM CSL_CITATION {"citationID":"DSSDLigU","properties":{"formattedCitation":"(Sarmiento &amp; Gruber, 2006)","plainCitation":"(Sarmiento &amp; Gruber, 2006)","noteIndex":0},"citationItems":[{"id":189,"uris":["http://zotero.org/users/local/sW19ltt6/items/6A3YKAJR"],"itemData":{"id":189,"type":"book","call-number":"551.460 151","event-place":"Princeton","ISBN":"978-0-691-01707-5","language":"en","publisher":"Princeton university press","publisher-place":"Princeton","source":"BnF ISBN","title":"Ocean biogeochemical dynamics","author":[{"family":"Sarmiento","given":"Jorge Louis"},{"family":"Gruber","given":"Nicolas"}],"issued":{"date-parts":[["2006"]]}}}],"schema":"https://github.com/citation-style-language/schema/raw/master/csl-citation.json"} </w:instrText>
      </w:r>
      <w:r w:rsidR="00674424">
        <w:fldChar w:fldCharType="separate"/>
      </w:r>
      <w:r w:rsidR="00674424" w:rsidRPr="00674424">
        <w:rPr>
          <w:rFonts w:ascii="Aptos" w:hAnsi="Aptos"/>
        </w:rPr>
        <w:t>(Sarmiento &amp; Gruber, 2006)</w:t>
      </w:r>
      <w:r w:rsidR="00674424">
        <w:fldChar w:fldCharType="end"/>
      </w:r>
      <w:r w:rsidR="00674424">
        <w:t xml:space="preserve">. </w:t>
      </w:r>
      <w:r w:rsidR="00A65D13">
        <w:t xml:space="preserve">Concretamente, aquellas </w:t>
      </w:r>
      <w:r w:rsidR="00A65D13" w:rsidRPr="00400AD4">
        <w:rPr>
          <w:i/>
          <w:iCs/>
        </w:rPr>
        <w:t>zonas</w:t>
      </w:r>
      <w:r w:rsidR="00A65D13">
        <w:t xml:space="preserve"> costeras vegetadas son una de las más eficientes del mundo. </w:t>
      </w:r>
      <w:r w:rsidR="0000086E">
        <w:t xml:space="preserve">El Blue </w:t>
      </w:r>
      <w:commentRangeStart w:id="2"/>
      <w:r w:rsidR="0000086E">
        <w:t>Carbon</w:t>
      </w:r>
      <w:commentRangeEnd w:id="2"/>
      <w:r w:rsidR="00400AD4">
        <w:rPr>
          <w:rStyle w:val="Refdecomentario"/>
          <w:sz w:val="24"/>
          <w:szCs w:val="24"/>
        </w:rPr>
        <w:commentReference w:id="2"/>
      </w:r>
      <w:r w:rsidR="0000086E">
        <w:t xml:space="preserve"> se refiere al carbono</w:t>
      </w:r>
      <w:r w:rsidR="00C03A7D">
        <w:t xml:space="preserve"> orgánico</w:t>
      </w:r>
      <w:r w:rsidR="0000086E">
        <w:t xml:space="preserve"> secuestrado en ecosistemas costeros con vegetación, como los manglares, las marismas y praderas marinas </w:t>
      </w:r>
      <w:r w:rsidR="0000086E">
        <w:fldChar w:fldCharType="begin"/>
      </w:r>
      <w:r w:rsidR="0000086E">
        <w:instrText xml:space="preserve"> ADDIN ZOTERO_ITEM CSL_CITATION {"citationID":"74gDMaFr","properties":{"formattedCitation":"(Mcleod et\\uc0\\u160{}al., 2011)","plainCitation":"(Mcleod et al., 2011)","noteIndex":0},"citationItems":[{"id":185,"uris":["http://zotero.org/users/local/sW19ltt6/items/AKIN2N7K"],"itemData":{"id":185,"type":"article-journal","abstract":"Recent research has highlighted the valuable role that coastal and marine ecosystems play in sequestering carbon dioxide (CO\n              2\n              ). The carbon (C) sequestered in vegetated coastal ecosystems, specifically mangrove forests, seagrass beds, and salt marshes, has been termed “blue carbon”. Although their global area is one to two orders of magnitude smaller than that of terrestrial forests, the contribution of vegetated coastal habitats per unit area to long</w:instrText>
      </w:r>
      <w:r w:rsidR="0000086E">
        <w:rPr>
          <w:rFonts w:ascii="Cambria Math" w:hAnsi="Cambria Math" w:cs="Cambria Math"/>
        </w:rPr>
        <w:instrText>‐</w:instrText>
      </w:r>
      <w:r w:rsidR="0000086E">
        <w:instrText xml:space="preserve">term C sequestration is much greater, in part because of their efficiency in trapping suspended matter and associated organic C during tidal inundation. Despite the value of mangrove forests, seagrass beds, and salt marshes in sequestering C, and the other goods and services they provide, these systems are being lost at critical rates and action is urgently needed to prevent further degradation and loss. Recognition of the C sequestration value of vegetated coastal ecosystems provides a strong argument for their protection and restoration; however, it is necessary to improve scientific understanding of the underlying mechanisms that control C sequestration in these ecosystems. Here, we identify key areas of uncertainty and specific actions needed to address them.","container-title":"Frontiers in Ecology and the Environment","DOI":"10.1890/110004","ISSN":"1540-9295, 1540-9309","issue":"10","journalAbbreviation":"Frontiers in Ecol &amp; Environ","language":"en","license":"http://onlinelibrary.wiley.com/termsAndConditions#vor","page":"552-560","source":"DOI.org (Crossref)","title":"A blueprint for blue carbon: toward an improved understanding of the role of vegetated coastal habitats in sequestering CO&lt;sub&gt;2&lt;/sub&gt;","title-short":"A blueprint for blue carbon","volume":"9","author":[{"family":"Mcleod","given":"Elizabeth"},{"family":"Chmura","given":"Gail L"},{"family":"Bouillon","given":"Steven"},{"family":"Salm","given":"Rodney"},{"family":"Björk","given":"Mats"},{"family":"Duarte","given":"Carlos M"},{"family":"Lovelock","given":"Catherine E"},{"family":"Schlesinger","given":"William H"},{"family":"Silliman","given":"Brian R"}],"issued":{"date-parts":[["2011",12]]}}}],"schema":"https://github.com/citation-style-language/schema/raw/master/csl-citation.json"} </w:instrText>
      </w:r>
      <w:r w:rsidR="0000086E">
        <w:fldChar w:fldCharType="separate"/>
      </w:r>
      <w:r w:rsidR="0000086E" w:rsidRPr="0000086E">
        <w:rPr>
          <w:rFonts w:ascii="Aptos" w:hAnsi="Aptos" w:cs="Times New Roman"/>
          <w:kern w:val="0"/>
        </w:rPr>
        <w:t>(Mcleod et al., 2011)</w:t>
      </w:r>
      <w:r w:rsidR="0000086E">
        <w:fldChar w:fldCharType="end"/>
      </w:r>
      <w:r w:rsidR="0000086E">
        <w:t>.</w:t>
      </w:r>
    </w:p>
    <w:p w14:paraId="0593B9FD" w14:textId="2132B588" w:rsidR="00FD1D02" w:rsidRDefault="00FD1D02" w:rsidP="00FD1D02">
      <w:pPr>
        <w:jc w:val="both"/>
      </w:pPr>
      <w:r>
        <w:t xml:space="preserve">En este contexto, la </w:t>
      </w:r>
      <w:r w:rsidR="00737638">
        <w:t xml:space="preserve">zona de afloramiento del Noroeste de la Península Ibérica es </w:t>
      </w:r>
      <w:r w:rsidR="008F71C1">
        <w:t xml:space="preserve">una zona de afloramiento con una gran importancia económica </w:t>
      </w:r>
      <w:r w:rsidR="008F71C1">
        <w:fldChar w:fldCharType="begin"/>
      </w:r>
      <w:r w:rsidR="008F71C1">
        <w:instrText xml:space="preserve"> ADDIN ZOTERO_ITEM CSL_CITATION {"citationID":"lmzPbLBX","properties":{"formattedCitation":"(Picado et\\uc0\\u160{}al., 2023)","plainCitation":"(Picado et al., 2023)","noteIndex":0},"citationItems":[{"id":195,"uris":["http://zotero.org/users/local/sW19ltt6/items/JB5AYGRV"],"itemData":{"id":195,"type":"article-journal","container-title":"Science of The Total Environment","DOI":"10.1016/j.scitotenv.2023.162416","ISSN":"00489697","journalAbbreviation":"Science of The Total Environment","language":"en","page":"162416","source":"DOI.org (Crossref)","title":"Modelling coastal upwelling off NW Iberian Peninsula: New insights on the fate of phytoplankton blooms","title-short":"Modelling coastal upwelling off NW Iberian Peninsula","volume":"874","author":[{"family":"Picado","given":"Ana"},{"family":"Vaz","given":"Nuno"},{"family":"Alvarez","given":"Ines"},{"family":"Dias","given":"João M."}],"issued":{"date-parts":[["2023",5]]}}}],"schema":"https://github.com/citation-style-language/schema/raw/master/csl-citation.json"} </w:instrText>
      </w:r>
      <w:r w:rsidR="008F71C1">
        <w:fldChar w:fldCharType="separate"/>
      </w:r>
      <w:r w:rsidR="008F71C1" w:rsidRPr="008F71C1">
        <w:rPr>
          <w:rFonts w:ascii="Aptos" w:hAnsi="Aptos" w:cs="Times New Roman"/>
          <w:kern w:val="0"/>
        </w:rPr>
        <w:t>(Picado et al., 2023)</w:t>
      </w:r>
      <w:r w:rsidR="008F71C1">
        <w:fldChar w:fldCharType="end"/>
      </w:r>
      <w:r w:rsidR="008F71C1">
        <w:t>. En el interior de la Ría de Vigo se encuentra la ensenada de San Simón, un</w:t>
      </w:r>
      <w:r w:rsidR="00F41083">
        <w:t xml:space="preserve"> ecosistema Blue Carbon con una presencia importante de pradera marina </w:t>
      </w:r>
      <w:r w:rsidR="00F41083">
        <w:fldChar w:fldCharType="begin"/>
      </w:r>
      <w:r w:rsidR="00F41083">
        <w:instrText xml:space="preserve"> ADDIN ZOTERO_ITEM CSL_CITATION {"citationID":"CZMhGrJY","properties":{"formattedCitation":"(Cacabelos et\\uc0\\u160{}al., 2008)","plainCitation":"(Cacabelos et al., 2008)","noteIndex":0},"citationItems":[{"id":192,"uris":["http://zotero.org/users/local/sW19ltt6/items/C5HL38PK"],"itemData":{"id":192,"type":"article-journal","abstract":"Macrobenthic polychaete distributions were studied along the soft-bottoms of the Ensenada de San Simón (Galicia, NW Spain). Results suggest that the distribution and abundance of polychaetes in the inlet were highly dependent on depth, sediment characteristics (grain size, organic matter and calcium carbonate content) and bottom water temperature. In the inner area of the inlet, intertidal bottoms colonised by the seagrasses Zostera marina and Z. noltii were dominated by spionids and capitellids, and showed low species number and diversity. Shallow muddy bottoms of central areas were mostly dominated by ampharetids, terebellids and cirratullids. These families along with paraonids, maldanids and syllids were the most abundant families in the deeper subtidal muddy bottoms at the mouth of the inlet. These sediments also showed the highest number of species, diversity and density of individuals.","container-title":"Scientia Marina","DOI":"10.3989/scimar.2008.72n4655","ISSN":"1886-8134, 0214-8358","issue":"4","journalAbbreviation":"Sci. mar.","license":"https://creativecommons.org/licenses/by/4.0","page":"655-667","source":"DOI.org (Crossref)","title":"Distribution of Polychaeta in soft-bottoms of a Galician Ria (NW Spain)","volume":"72","author":[{"family":"Cacabelos","given":"Eva"},{"family":"Moreira","given":"Juan"},{"family":"Troncoso","given":"Jesús S."}],"issued":{"date-parts":[["2008",12,30]]}}}],"schema":"https://github.com/citation-style-language/schema/raw/master/csl-citation.json"} </w:instrText>
      </w:r>
      <w:r w:rsidR="00F41083">
        <w:fldChar w:fldCharType="separate"/>
      </w:r>
      <w:r w:rsidR="00F41083" w:rsidRPr="00F41083">
        <w:rPr>
          <w:rFonts w:ascii="Aptos" w:hAnsi="Aptos" w:cs="Times New Roman"/>
          <w:kern w:val="0"/>
        </w:rPr>
        <w:t>(Cacabelos et al., 2008)</w:t>
      </w:r>
      <w:r w:rsidR="00F41083">
        <w:fldChar w:fldCharType="end"/>
      </w:r>
      <w:r w:rsidR="00F41083">
        <w:t xml:space="preserve">. </w:t>
      </w:r>
    </w:p>
    <w:p w14:paraId="54649023" w14:textId="77DBFFE6" w:rsidR="001C700B" w:rsidRDefault="00F41083" w:rsidP="00DB36F1">
      <w:pPr>
        <w:jc w:val="both"/>
      </w:pPr>
      <w:r>
        <w:t xml:space="preserve">La ensenada se </w:t>
      </w:r>
      <w:r w:rsidR="00266FBC">
        <w:t xml:space="preserve">trata de una zona </w:t>
      </w:r>
      <w:r w:rsidR="00400AD4">
        <w:t>muy somera (</w:t>
      </w:r>
      <w:commentRangeStart w:id="3"/>
      <w:r w:rsidR="00400AD4">
        <w:rPr>
          <w:b/>
          <w:bCs/>
        </w:rPr>
        <w:t>Figura x</w:t>
      </w:r>
      <w:commentRangeEnd w:id="3"/>
      <w:r w:rsidR="00400AD4">
        <w:rPr>
          <w:rStyle w:val="Refdecomentario"/>
          <w:sz w:val="24"/>
          <w:szCs w:val="24"/>
        </w:rPr>
        <w:commentReference w:id="3"/>
      </w:r>
      <w:r w:rsidR="00400AD4">
        <w:t xml:space="preserve">) </w:t>
      </w:r>
      <w:r w:rsidR="00266FBC" w:rsidRPr="00400AD4">
        <w:t>con</w:t>
      </w:r>
      <w:r w:rsidR="00266FBC">
        <w:t xml:space="preserve"> </w:t>
      </w:r>
      <w:r w:rsidR="00973CDF">
        <w:t xml:space="preserve">una gran influencia de aportes de origen continental, mayoritariamente aporte </w:t>
      </w:r>
      <w:r w:rsidR="00266FBC">
        <w:t>fluvial</w:t>
      </w:r>
      <w:r w:rsidR="00973CDF">
        <w:t xml:space="preserve">. Este aporte es </w:t>
      </w:r>
      <w:r w:rsidR="001C700B">
        <w:t>mediad</w:t>
      </w:r>
      <w:r w:rsidR="00973CDF">
        <w:t>o</w:t>
      </w:r>
      <w:r w:rsidR="001C700B">
        <w:t xml:space="preserve"> en gran medida por el Río Oitavén y, sobre todo, el Río Verdugo, teniendo este último</w:t>
      </w:r>
      <w:r w:rsidR="00355C34">
        <w:t xml:space="preserve"> un aporte de agua dulce a la ensenada con un caudal medio de 6.7 m</w:t>
      </w:r>
      <w:r w:rsidR="00355C34">
        <w:rPr>
          <w:vertAlign w:val="superscript"/>
        </w:rPr>
        <w:t>3</w:t>
      </w:r>
      <w:r w:rsidR="00355C34">
        <w:t>/s</w:t>
      </w:r>
      <w:r w:rsidR="00851E75">
        <w:t xml:space="preserve"> (Centro de Estudios Hidrográficos CEDEX)</w:t>
      </w:r>
      <w:r w:rsidR="00355C34">
        <w:t xml:space="preserve">. </w:t>
      </w:r>
      <w:r w:rsidR="008946DE">
        <w:t xml:space="preserve">De esta forma, la ensenada presenta una marcada estacionalidad en su salinidad debido a la intensidad de los aportes continentales </w:t>
      </w:r>
      <w:r w:rsidR="00674424">
        <w:fldChar w:fldCharType="begin"/>
      </w:r>
      <w:r w:rsidR="00674424">
        <w:instrText xml:space="preserve"> ADDIN ZOTERO_ITEM CSL_CITATION {"citationID":"tNhM6TF8","properties":{"formattedCitation":"(Padin et\\uc0\\u160{}al., 2020)","plainCitation":"(Padin et al., 2020)","noteIndex":0},"citationItems":[{"id":154,"uris":["http://zotero.org/users/local/sW19ltt6/items/AIM2E4VY"],"itemData":{"id":154,"type":"article-journal","abstract":"A data product of 17 653 discrete samples from 3343 oceanographic stations combining measurements of pH, alkalinity and other biogeochemical parameters off the northwestern Iberian Peninsula from June 1976 to September 2018 is presented in this study. The oceanography cruises funded by 24 projects were primarily carried out in the Ría de Vigo coastal inlet but also in an area ranging from the Bay of Biscay to the Portuguese coast. The robust seasonal cycles and long-term trends were only calculated along a longitudinal section, gathering data from the coastal and oceanic zone of the Iberian upwelling system. The pH in the surface waters of these separated regions, which were highly variable due to intense photosynthesis and the remineralization of organic matter, showed an interannual acidiﬁcation ranging from −0.0012 to −0.0039 yr−1 that grew towards the coastline. This result is obtained despite the buffering capacity increasing in the coastal waters further inland as shown by the increase in alkalinity by 1.1±0.7 and 2.6±1.0 µmol kg−1 yr−1 in the inner and outer Ría de Vigo respectively, driven by interannual changes in the surface salinity of 0.0193±0.0056 and 0.0426±0.016 psu yr−1 respectively. The loss of the vertical salinity gradient in the long-term trend in the inner ria was consistent with other signiﬁcant biogeochemical changes such as a lower oxygen concentration and fertilization of the surface waters. These ﬁndings seem to be related to a growing footprint of sediment remineralization of organic matter in the surface layer of a more homogeneous water column.","container-title":"Earth System Science Data","DOI":"10.5194/essd-12-2647-2020","ISSN":"1866-3516","issue":"4","journalAbbreviation":"Earth Syst. Sci. Data","language":"en","license":"https://creativecommons.org/licenses/by/4.0/","page":"2647-2663","source":"DOI.org (Crossref)","title":"ARIOS: a database for ocean acidification assessment in the Iberian upwelling system (1976–2018)","title-short":"ARIOS","volume":"12","author":[{"family":"Padin","given":"Xosé Antonio"},{"family":"Velo","given":"Antón"},{"family":"Pérez","given":"Fiz F."}],"issued":{"date-parts":[["2020",11,4]]}}}],"schema":"https://github.com/citation-style-language/schema/raw/master/csl-citation.json"} </w:instrText>
      </w:r>
      <w:r w:rsidR="00674424">
        <w:fldChar w:fldCharType="separate"/>
      </w:r>
      <w:r w:rsidR="00674424" w:rsidRPr="00674424">
        <w:rPr>
          <w:rFonts w:ascii="Aptos" w:hAnsi="Aptos" w:cs="Times New Roman"/>
          <w:kern w:val="0"/>
        </w:rPr>
        <w:t>(Padin et al., 2020)</w:t>
      </w:r>
      <w:r w:rsidR="00674424">
        <w:fldChar w:fldCharType="end"/>
      </w:r>
      <w:r w:rsidR="008946DE">
        <w:t>.</w:t>
      </w:r>
      <w:r w:rsidR="00973CDF">
        <w:t xml:space="preserve"> Esta estacionalidad afecta tanto a la hidrodinámica de la propia Ría de Vigo como a la química de la ensenada.</w:t>
      </w:r>
    </w:p>
    <w:p w14:paraId="3F13E6BF" w14:textId="22C74864" w:rsidR="00400AD4" w:rsidRPr="00400AD4" w:rsidRDefault="00400AD4" w:rsidP="00400AD4">
      <w:pPr>
        <w:jc w:val="center"/>
      </w:pPr>
      <w:r w:rsidRPr="00400AD4">
        <w:rPr>
          <w:noProof/>
        </w:rPr>
        <w:lastRenderedPageBreak/>
        <w:drawing>
          <wp:inline distT="0" distB="0" distL="0" distR="0" wp14:anchorId="412838B2" wp14:editId="6DD7225D">
            <wp:extent cx="4038600" cy="2514600"/>
            <wp:effectExtent l="19050" t="19050" r="19050" b="19050"/>
            <wp:docPr id="14749435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050" r="6161" b="3415"/>
                    <a:stretch>
                      <a:fillRect/>
                    </a:stretch>
                  </pic:blipFill>
                  <pic:spPr bwMode="auto">
                    <a:xfrm>
                      <a:off x="0" y="0"/>
                      <a:ext cx="4038600" cy="25146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276E24E" w14:textId="77777777" w:rsidR="00400AD4" w:rsidRDefault="00400AD4" w:rsidP="00DB36F1">
      <w:pPr>
        <w:jc w:val="both"/>
      </w:pPr>
    </w:p>
    <w:p w14:paraId="31C90718" w14:textId="66ECAFBB" w:rsidR="000A152F" w:rsidRDefault="00355C34" w:rsidP="00DB36F1">
      <w:pPr>
        <w:jc w:val="both"/>
      </w:pPr>
      <w:r>
        <w:t xml:space="preserve">La ensenada cuenta con </w:t>
      </w:r>
      <w:r w:rsidR="00A9638A">
        <w:t xml:space="preserve">una profundidad máxima de </w:t>
      </w:r>
      <w:r w:rsidR="00A9638A" w:rsidRPr="00A9638A">
        <w:t>-28.</w:t>
      </w:r>
      <w:r w:rsidR="00851E75">
        <w:t>8</w:t>
      </w:r>
      <w:r w:rsidR="00A9638A">
        <w:t xml:space="preserve"> metros </w:t>
      </w:r>
      <w:r w:rsidR="004106CE">
        <w:t xml:space="preserve">en el estrecho de Rande </w:t>
      </w:r>
      <w:r w:rsidR="00A9638A">
        <w:t>(INTECMAR)</w:t>
      </w:r>
      <w:r w:rsidR="00851E75">
        <w:t xml:space="preserve"> con marea alta</w:t>
      </w:r>
      <w:r>
        <w:t xml:space="preserve"> y con una profundidad media de unos -4 metros, lo que la convierte en una zona con mucha influencia del fondo sobre la superficie.</w:t>
      </w:r>
      <w:r w:rsidR="004106CE">
        <w:t xml:space="preserve"> </w:t>
      </w:r>
    </w:p>
    <w:p w14:paraId="6B3D6035" w14:textId="7CA49312" w:rsidR="005D1F61" w:rsidRDefault="005D1F61" w:rsidP="00DB36F1">
      <w:pPr>
        <w:jc w:val="both"/>
      </w:pPr>
      <w:r>
        <w:t xml:space="preserve">Se trata de una zona muy vulnerable al proceso de acidificación, ya que es la zona de la Ría de Vigo con una tasa de disminución de pH más alta </w:t>
      </w:r>
      <w:r w:rsidR="00674424">
        <w:fldChar w:fldCharType="begin"/>
      </w:r>
      <w:r w:rsidR="00674424">
        <w:instrText xml:space="preserve"> ADDIN ZOTERO_ITEM CSL_CITATION {"citationID":"llT5nTJk","properties":{"formattedCitation":"(Cameselle et\\uc0\\u160{}al., 2024)","plainCitation":"(Cameselle et al., 2024)","noteIndex":0},"citationItems":[{"id":156,"uris":["http://zotero.org/users/local/sW19ltt6/items/C9ERELTH"],"itemData":{"id":156,"type":"article-journal","abstract":"Abstract\n            \n              The present study focuses on the Ría de Vigo (NW Spain), a coastal embayment influenced by the Canary Current Upwelling System, which is among the world’s significant Eastern Boundary Upwelling Ecosystems. The research assesses historical changes in the marine carbonate system by generating 25-year weekly time series at six stations . Assessing ocean acidification in the region is complex due to diverse factors influencing coastal carbon dynamics, making predictions more challenging. To capture the specific dynamics in Ría de Vigo, ensembles of Neural Networks were applied. These networks were trained with a data set obtained in several oceanographic cruises, in order to retrieve pH, hydrogen ion concentration and alkalinity, achieving a root mean square error of 0.0272 pH units, 0.588 nmol\n              \n                \n                  $$\\hbox {kg}^{-1}$$\n                  \n                    \n                      kg\n                      \n                        -\n                        1\n                      \n                    \n                  \n                \n              \n              , and 10.6\n              \n                \n                  $$\\upmu$$\n                  \n                    μ\n                  \n                \n              \n              mol\n              \n                \n                  $$\\hbox {kg}^{-1}$$\n                  \n                    \n                      kg\n                      \n                        -\n                        1\n                      \n                    \n                  \n                \n              \n              , respectively. Subsequently, time series of the selected variables were generated, applying data of predictors measured at the aforementioned stations . An increase in normalized alkalinity was observed for all stations, except in the surface layer at the innermost location. A decrease in pH and an increase in hydrogen ion concentration were observed for all points, with trends that exceed reported rates of ocean acidification in the open ocean.","container-title":"Scientific Reports","DOI":"10.1038/s41598-024-68694-z","ISSN":"2045-2322","issue":"1","journalAbbreviation":"Sci Rep","language":"en","page":"17929","source":"DOI.org (Crossref)","title":"Long-term trends of pH, alkalinity, and hydrogen ion concentration in an upwelling-dominated coastal ecosystem: Ría de Vigo, NW Spain","title-short":"Long-term trends of pH, alkalinity, and hydrogen ion concentration in an upwelling-dominated coastal ecosystem","volume":"14","author":[{"family":"Cameselle","given":"Sara"},{"family":"Velo","given":"Antón"},{"family":"Doval","given":"María Dolores"},{"family":"Broullón","given":"Daniel"},{"family":"Pérez","given":"Fiz F."}],"issued":{"date-parts":[["2024",8,2]]}}}],"schema":"https://github.com/citation-style-language/schema/raw/master/csl-citation.json"} </w:instrText>
      </w:r>
      <w:r w:rsidR="00674424">
        <w:fldChar w:fldCharType="separate"/>
      </w:r>
      <w:r w:rsidR="00674424" w:rsidRPr="00674424">
        <w:rPr>
          <w:rFonts w:ascii="Aptos" w:hAnsi="Aptos" w:cs="Times New Roman"/>
          <w:kern w:val="0"/>
        </w:rPr>
        <w:t>(Cameselle et al., 2024)</w:t>
      </w:r>
      <w:r w:rsidR="00674424">
        <w:fldChar w:fldCharType="end"/>
      </w:r>
      <w:r w:rsidR="00205B30">
        <w:t>, sobre todo en las épocas de mayor entrada de agua fluvial (mayor precipitación).</w:t>
      </w:r>
      <w:r w:rsidR="00FD7F3D">
        <w:t xml:space="preserve"> Además, la alcalinidad presenta una tendencia negativa, lo que sugiere una menor amortiguación a los cambios de pH en la ensenada.</w:t>
      </w:r>
      <w:r w:rsidR="00851E75">
        <w:t xml:space="preserve"> </w:t>
      </w:r>
    </w:p>
    <w:p w14:paraId="2C58B44D" w14:textId="77777777" w:rsidR="001D67C9" w:rsidRDefault="001D67C9"/>
    <w:p w14:paraId="2B9FCA36" w14:textId="77777777" w:rsidR="002A24FF" w:rsidRPr="003B47E3" w:rsidRDefault="002A24FF" w:rsidP="002A24FF">
      <w:pPr>
        <w:jc w:val="both"/>
        <w:rPr>
          <w:b/>
          <w:bCs/>
        </w:rPr>
      </w:pPr>
      <w:r w:rsidRPr="003B47E3">
        <w:rPr>
          <w:b/>
          <w:bCs/>
        </w:rPr>
        <w:t>MATERIAL Y MÉTODOS</w:t>
      </w:r>
    </w:p>
    <w:p w14:paraId="2C1D37CF" w14:textId="77777777" w:rsidR="002A24FF" w:rsidRPr="003B47E3" w:rsidRDefault="002A24FF" w:rsidP="002A24FF">
      <w:pPr>
        <w:jc w:val="both"/>
        <w:rPr>
          <w:b/>
          <w:bCs/>
        </w:rPr>
      </w:pPr>
      <w:r w:rsidRPr="003B47E3">
        <w:rPr>
          <w:b/>
          <w:bCs/>
        </w:rPr>
        <w:t>Adquisición de datos</w:t>
      </w:r>
    </w:p>
    <w:p w14:paraId="2062AA11" w14:textId="77777777" w:rsidR="002A24FF" w:rsidRDefault="002A24FF" w:rsidP="002A24FF">
      <w:pPr>
        <w:jc w:val="both"/>
      </w:pPr>
      <w:r>
        <w:t xml:space="preserve">Las salidas a la ensenada de San Simón se realizaron a bordo del </w:t>
      </w:r>
      <w:r w:rsidRPr="00445A3B">
        <w:rPr>
          <w:i/>
          <w:iCs/>
        </w:rPr>
        <w:t>Kraken</w:t>
      </w:r>
      <w:r>
        <w:t xml:space="preserve"> (FIGURA). El equipo utilizado a bordo se componía de 3 equipos principales: una bomba de succión (FIGURA), cuyo papel era bombear agua de la superficie del agua al resto de equipos. La bomba estaba protegida con una estructura de PVC y cuenta con una serie de plomos para reducir su flotabilidad y, de esta forma, asegurarse de que la bomba estaba completamente en la capa más superficial del agua. Por otra parte, se utilizó una estructura móvil con distintos sensores bioogeoquímicos: temperatura, salinidad, pH, oxígeno y clorofila (FIGURA), con una antena que mide constantemente las coordenadas de la posición del barco. Por último, se empleó un equipo que mide la presión parcial de CO</w:t>
      </w:r>
      <w:r>
        <w:rPr>
          <w:vertAlign w:val="subscript"/>
        </w:rPr>
        <w:t>2</w:t>
      </w:r>
      <w:r>
        <w:t xml:space="preserve"> del agua (FIGURA). Para calibrar el equipo, al comienzo de las salidas se dejaba funcionar con agua durante un minuto, de forma que el sensor era estable.</w:t>
      </w:r>
    </w:p>
    <w:p w14:paraId="04231510" w14:textId="77777777" w:rsidR="002A24FF" w:rsidRDefault="002A24FF" w:rsidP="002A24FF">
      <w:pPr>
        <w:jc w:val="both"/>
      </w:pPr>
      <w:r>
        <w:lastRenderedPageBreak/>
        <w:t>Por otra parte, se realizaron distintas estaciones de tal forma que se pudieron muestrear distintas variables biogeoquímicas: oxígeno, alcalinidad, pH, clorofila y salinidad, en ese orden. Posteriormente, se almacenaban y se medían entre ese mismo día y el día siguiente en el laboratorio. Mediante los valores obtenidos de alcalinidad y los valores obtenidos de pH, gracias al programa CO2SYS se pudo obtener el resto de las variables del sistema de carbonatos, incluida la pCO</w:t>
      </w:r>
      <w:r>
        <w:rPr>
          <w:vertAlign w:val="subscript"/>
        </w:rPr>
        <w:t>2</w:t>
      </w:r>
      <w:r>
        <w:t>. De esta forma, se puede establecer una relación entre los datos de los sensores y los valores obtenidos en el laboratorio y obtener los valores corregidos en todos los puntos.</w:t>
      </w:r>
    </w:p>
    <w:p w14:paraId="38BB467E" w14:textId="77777777" w:rsidR="003B47E3" w:rsidRPr="003B47E3" w:rsidRDefault="003B47E3" w:rsidP="003B47E3">
      <w:pPr>
        <w:jc w:val="both"/>
        <w:rPr>
          <w:b/>
          <w:bCs/>
        </w:rPr>
      </w:pPr>
      <w:r w:rsidRPr="003B47E3">
        <w:rPr>
          <w:b/>
          <w:bCs/>
        </w:rPr>
        <w:t>Fuentes de datos externas</w:t>
      </w:r>
    </w:p>
    <w:p w14:paraId="727CCC6C" w14:textId="32000AE6" w:rsidR="003B47E3" w:rsidRPr="003B47E3" w:rsidRDefault="003B47E3" w:rsidP="002A24FF">
      <w:pPr>
        <w:jc w:val="both"/>
        <w:rPr>
          <w:b/>
          <w:bCs/>
        </w:rPr>
      </w:pPr>
      <w:r w:rsidRPr="003B47E3">
        <w:rPr>
          <w:b/>
          <w:bCs/>
        </w:rPr>
        <w:t>Cálculos: pCO2SYS</w:t>
      </w:r>
    </w:p>
    <w:p w14:paraId="50EBB3D8" w14:textId="6F462EC2" w:rsidR="002A24FF" w:rsidRDefault="002A24FF" w:rsidP="002A24FF">
      <w:pPr>
        <w:jc w:val="both"/>
      </w:pPr>
      <w:r>
        <w:t>Una vez obtenidos los resultados, se empieza el procesado de éstos. Lo primero que se hace es un filtrado rápido, se eliminan todos los valores desde antes del arranque del barco y los del final, de forma que solo se tienen los datos desde el inicio al final del trayecto realizado en la ensenada. Además, al haberse realizado las paradas, se eliminaron los valores mientras el barco estuvo parado, de forma aleatoria se eliminaron todos los valores excepto uno en cada parada, para poder tener un valor representativo con el cual se compara con las medidas discretas. Al tener valores cada 5 segundos, se realiza una media móvil cada minuto. Posteriormente, se realiza una regresión lineal entre todos los valores representativos de las paradas y los valores obtenidos en el laboratorio, realizando un ajuste lineal a los valores de los sensores y obteniendo unos valores nuevos corregidos. Por último, se obtuvieron vientos de 3 formas distintas: modelo local (meteogalicia), modelo regional (copernicus) y datos observados (meteogalicia). Mediante la ecuación:</w:t>
      </w:r>
    </w:p>
    <w:p w14:paraId="7D5F45AC" w14:textId="77777777" w:rsidR="002A24FF" w:rsidRDefault="002A24FF" w:rsidP="002A24FF">
      <w:pPr>
        <w:jc w:val="both"/>
      </w:pPr>
    </w:p>
    <w:p w14:paraId="4B00E061" w14:textId="77777777" w:rsidR="002A24FF" w:rsidRDefault="002A24FF" w:rsidP="002A24FF">
      <w:pPr>
        <w:jc w:val="both"/>
        <w:rPr>
          <w:vertAlign w:val="subscript"/>
        </w:rPr>
      </w:pPr>
      <w:r>
        <w:t>FCO</w:t>
      </w:r>
      <w:r>
        <w:rPr>
          <w:vertAlign w:val="subscript"/>
        </w:rPr>
        <w:t>2</w:t>
      </w:r>
      <w:r>
        <w:t xml:space="preserve"> = kw  · SCO</w:t>
      </w:r>
      <w:r>
        <w:rPr>
          <w:vertAlign w:val="subscript"/>
        </w:rPr>
        <w:t>2</w:t>
      </w:r>
      <w:r>
        <w:t xml:space="preserve">  · ΔfCO</w:t>
      </w:r>
      <w:r>
        <w:rPr>
          <w:vertAlign w:val="subscript"/>
        </w:rPr>
        <w:t xml:space="preserve">2    </w:t>
      </w:r>
    </w:p>
    <w:p w14:paraId="7BACBDAE" w14:textId="77777777" w:rsidR="002A24FF" w:rsidRDefault="002A24FF" w:rsidP="002A24FF">
      <w:pPr>
        <w:jc w:val="both"/>
        <w:rPr>
          <w:rFonts w:eastAsiaTheme="minorEastAsia"/>
        </w:rPr>
      </w:pPr>
      <w:r>
        <w:t>donde kw es la velocidad de transferencia de CO</w:t>
      </w:r>
      <w:r>
        <w:rPr>
          <w:vertAlign w:val="subscript"/>
        </w:rPr>
        <w:t>2</w:t>
      </w:r>
      <w:r>
        <w:t>, SCO</w:t>
      </w:r>
      <w:r>
        <w:rPr>
          <w:vertAlign w:val="subscript"/>
        </w:rPr>
        <w:t>2</w:t>
      </w:r>
      <w:r>
        <w:t xml:space="preserve"> es la solubilidad del gas y ΔfCO</w:t>
      </w:r>
      <w:r>
        <w:rPr>
          <w:vertAlign w:val="subscript"/>
        </w:rPr>
        <w:t>2</w:t>
      </w:r>
      <w:r>
        <w:t xml:space="preserve"> es la diferencia entre la fugacidad del CO</w:t>
      </w:r>
      <w:r>
        <w:rPr>
          <w:vertAlign w:val="subscript"/>
        </w:rPr>
        <w:t>2</w:t>
      </w:r>
      <w:r>
        <w:t xml:space="preserve"> del mar y la de la atmósfera(se asume pCO</w:t>
      </w:r>
      <w:r>
        <w:rPr>
          <w:vertAlign w:val="subscript"/>
        </w:rPr>
        <w:t>2</w:t>
      </w:r>
      <w:r>
        <w:t xml:space="preserve"> = fCO</w:t>
      </w:r>
      <w:r>
        <w:rPr>
          <w:vertAlign w:val="subscript"/>
        </w:rPr>
        <w:t>2</w:t>
      </w:r>
      <w:r>
        <w:t xml:space="preserve">), </w:t>
      </w:r>
      <w:r>
        <w:rPr>
          <w:rFonts w:eastAsiaTheme="minorEastAsia"/>
        </w:rPr>
        <w:t>se obtienen los flujos correspondientes a cada viento en cada medida realizada.  La variable kw depende del viento y de la temperatura potencial del agua, mientras que la SCO</w:t>
      </w:r>
      <w:r>
        <w:rPr>
          <w:rFonts w:eastAsiaTheme="minorEastAsia"/>
          <w:vertAlign w:val="subscript"/>
        </w:rPr>
        <w:t>2</w:t>
      </w:r>
      <w:r>
        <w:rPr>
          <w:rFonts w:eastAsiaTheme="minorEastAsia"/>
        </w:rPr>
        <w:t xml:space="preserve"> depende de la temperatura y de la salinidad. Por otra parte, la fCO</w:t>
      </w:r>
      <w:r>
        <w:rPr>
          <w:rFonts w:eastAsiaTheme="minorEastAsia"/>
          <w:vertAlign w:val="subscript"/>
        </w:rPr>
        <w:t>2</w:t>
      </w:r>
      <w:r>
        <w:rPr>
          <w:rFonts w:eastAsiaTheme="minorEastAsia"/>
        </w:rPr>
        <w:t xml:space="preserve"> de la atmósfera se obtuvo (ICOS). </w:t>
      </w:r>
    </w:p>
    <w:p w14:paraId="2CF5B140" w14:textId="77777777" w:rsidR="002A24FF" w:rsidRPr="004861EF" w:rsidRDefault="002A24FF" w:rsidP="002A24FF">
      <w:pPr>
        <w:jc w:val="both"/>
      </w:pPr>
      <w:r>
        <w:rPr>
          <w:rFonts w:eastAsiaTheme="minorEastAsia"/>
        </w:rPr>
        <w:t xml:space="preserve">A mayores, a través de INTECMAR (citar), se estableció la batimetría de la ensenada (FIGURA). Todos los cálculos y figuras se realizaron mediante Python (versión 3.13, lanzada desde el programa Spyder, versión 6) y mediante MATLAB (versión R2023b). </w:t>
      </w:r>
    </w:p>
    <w:p w14:paraId="10085B35" w14:textId="77777777" w:rsidR="002A24FF" w:rsidRDefault="002A24FF"/>
    <w:p w14:paraId="4E156BF9" w14:textId="6440648D" w:rsidR="007B035B" w:rsidRPr="003B47E3" w:rsidRDefault="00D4079F">
      <w:pPr>
        <w:rPr>
          <w:b/>
          <w:bCs/>
        </w:rPr>
      </w:pPr>
      <w:r w:rsidRPr="003B47E3">
        <w:rPr>
          <w:b/>
          <w:bCs/>
        </w:rPr>
        <w:lastRenderedPageBreak/>
        <w:t>RESULTADOS</w:t>
      </w:r>
    </w:p>
    <w:p w14:paraId="484B3E2E" w14:textId="6EE21F4A" w:rsidR="00BD5977" w:rsidRDefault="00BD5977" w:rsidP="00BD5977"/>
    <w:p w14:paraId="63756C26" w14:textId="400A98B7" w:rsidR="007B035B" w:rsidRDefault="007B035B" w:rsidP="00BD5977">
      <w:r w:rsidRPr="007B035B">
        <w:rPr>
          <w:noProof/>
        </w:rPr>
        <w:drawing>
          <wp:anchor distT="0" distB="0" distL="114300" distR="114300" simplePos="0" relativeHeight="251658240" behindDoc="0" locked="0" layoutInCell="1" allowOverlap="1" wp14:anchorId="4D1455B3" wp14:editId="71917B2B">
            <wp:simplePos x="0" y="0"/>
            <wp:positionH relativeFrom="page">
              <wp:align>center</wp:align>
            </wp:positionH>
            <wp:positionV relativeFrom="paragraph">
              <wp:posOffset>-173</wp:posOffset>
            </wp:positionV>
            <wp:extent cx="6970744" cy="3781829"/>
            <wp:effectExtent l="0" t="0" r="1905" b="9525"/>
            <wp:wrapSquare wrapText="bothSides"/>
            <wp:docPr id="9854410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70744" cy="37818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848A6" w14:textId="79C5E2E2" w:rsidR="007B035B" w:rsidRDefault="007B035B" w:rsidP="00BD5977"/>
    <w:p w14:paraId="6FDA7839" w14:textId="4E0184B5" w:rsidR="00BD5977" w:rsidRPr="002A7DF2" w:rsidRDefault="00BD5977" w:rsidP="00A16B1B">
      <w:pPr>
        <w:jc w:val="both"/>
      </w:pPr>
      <w:r>
        <w:t xml:space="preserve">La </w:t>
      </w:r>
      <w:r>
        <w:rPr>
          <w:b/>
          <w:bCs/>
        </w:rPr>
        <w:t>Figura X</w:t>
      </w:r>
      <w:r>
        <w:t xml:space="preserve"> </w:t>
      </w:r>
      <w:r w:rsidR="00A16B1B">
        <w:t>representa</w:t>
      </w:r>
      <w:r>
        <w:t>, por una parte,</w:t>
      </w:r>
      <w:r w:rsidR="00A16B1B">
        <w:t xml:space="preserve"> un transecto de 5 variables medidas el día 6 de abril de 2026: Temperatura del agua superficial, salinidad del agua superficial, oxígeno del agua superficial, presión parcial de CO</w:t>
      </w:r>
      <w:r w:rsidR="00A16B1B">
        <w:rPr>
          <w:vertAlign w:val="subscript"/>
        </w:rPr>
        <w:t>2</w:t>
      </w:r>
      <w:r w:rsidR="00A16B1B">
        <w:t xml:space="preserve"> del agua superficial y, con líneas discontinuas, la fugacidad de CO</w:t>
      </w:r>
      <w:r w:rsidR="00A16B1B">
        <w:rPr>
          <w:vertAlign w:val="subscript"/>
        </w:rPr>
        <w:t>2</w:t>
      </w:r>
      <w:r w:rsidR="00A16B1B">
        <w:t xml:space="preserve"> atmosférica de ese día.</w:t>
      </w:r>
      <w:r w:rsidR="00875D8C">
        <w:t xml:space="preserve"> Con círculos de borde negro y sin relleno, se representan las medidas discretas de pCO</w:t>
      </w:r>
      <w:r w:rsidR="00875D8C">
        <w:rPr>
          <w:vertAlign w:val="subscript"/>
        </w:rPr>
        <w:t xml:space="preserve">2 </w:t>
      </w:r>
      <w:r w:rsidR="00875D8C">
        <w:t>obtenidas con CO2SYS.</w:t>
      </w:r>
      <w:r w:rsidR="002A7DF2">
        <w:t xml:space="preserve"> Por otra parte, se muestra la variación espacial de las distintas variables en los 4 mapas en la parte inferior (la fugacidad de CO</w:t>
      </w:r>
      <w:r w:rsidR="002A7DF2">
        <w:rPr>
          <w:vertAlign w:val="subscript"/>
        </w:rPr>
        <w:t>2</w:t>
      </w:r>
      <w:r w:rsidR="002A7DF2">
        <w:t xml:space="preserve"> atmosférica se considera constante en toda la zona). Los valores mínimos de temperatura (color azul oscuro) rondan los 15ºC y alcanza máximos cercanos a los 17.5ºC (colores amarillos). En cuanto a la salinidad, los máximos se aproximan a las 35 unidades (color amarillo), teniendo un valor mínimo de 27 en una zona próxima a la boca de la ensenada (color azul). La concentración de oxígeno en la ensenada durante ese día presenta cierta heterogeneidad, con un rango de concentraciones entre los 310 mg/L (en colores rosas)</w:t>
      </w:r>
      <w:r w:rsidR="00220883">
        <w:t xml:space="preserve"> y con mínimos por debajo de los 250 mg/L, representados con color celeste. Por último, el pCO</w:t>
      </w:r>
      <w:r w:rsidR="00220883" w:rsidRPr="00220883">
        <w:rPr>
          <w:vertAlign w:val="subscript"/>
        </w:rPr>
        <w:t>2</w:t>
      </w:r>
      <w:r w:rsidR="00220883">
        <w:t xml:space="preserve"> tiene un rango de valores de entre cerca de los 600 µatm (color amarillo) cerca de la boca de Rande, a valores mínimos de aproximadamente 300 µatm (colores azules). Se detecta un patrón similar entre las </w:t>
      </w:r>
      <w:r w:rsidR="00220883">
        <w:lastRenderedPageBreak/>
        <w:t>concentraciones de pCO</w:t>
      </w:r>
      <w:r w:rsidR="00220883" w:rsidRPr="00220883">
        <w:rPr>
          <w:vertAlign w:val="subscript"/>
        </w:rPr>
        <w:t>2</w:t>
      </w:r>
      <w:r w:rsidR="00220883">
        <w:t xml:space="preserve"> y de salinidad: el mínimo de salinidad coincide con el máximo de presión parcial de CO</w:t>
      </w:r>
      <w:r w:rsidR="00220883">
        <w:rPr>
          <w:vertAlign w:val="subscript"/>
        </w:rPr>
        <w:t>2</w:t>
      </w:r>
      <w:r w:rsidR="00220883">
        <w:t>.</w:t>
      </w:r>
      <w:r w:rsidR="002A7DF2">
        <w:t xml:space="preserve"> </w:t>
      </w:r>
      <w:r w:rsidR="00312AFA">
        <w:t>Los valores de pCO</w:t>
      </w:r>
      <w:r w:rsidR="00312AFA">
        <w:rPr>
          <w:vertAlign w:val="subscript"/>
        </w:rPr>
        <w:t>2</w:t>
      </w:r>
      <w:r w:rsidR="00312AFA">
        <w:t xml:space="preserve"> del agua superficial de la ensenada son inferiores a los valores atmosféricos (438.22 µatm)</w:t>
      </w:r>
      <w:commentRangeStart w:id="4"/>
      <w:r w:rsidR="00312AFA">
        <w:t>(</w:t>
      </w:r>
      <w:r w:rsidR="00312AFA">
        <w:rPr>
          <w:b/>
          <w:bCs/>
        </w:rPr>
        <w:t>Figura X a)</w:t>
      </w:r>
      <w:commentRangeEnd w:id="4"/>
      <w:r w:rsidR="00312AFA">
        <w:rPr>
          <w:rStyle w:val="Refdecomentario"/>
          <w:sz w:val="24"/>
          <w:szCs w:val="24"/>
        </w:rPr>
        <w:commentReference w:id="4"/>
      </w:r>
      <w:r w:rsidR="00312AFA">
        <w:t>, por lo que, potencialmente, la ensenada se puede comportar como sumidero de carbono.</w:t>
      </w:r>
    </w:p>
    <w:p w14:paraId="0A07C9D2" w14:textId="72B16088" w:rsidR="00D4079F" w:rsidRDefault="00D4079F"/>
    <w:p w14:paraId="38F395C4" w14:textId="073DDE30" w:rsidR="00B666CA" w:rsidRPr="00B666CA" w:rsidRDefault="00B666CA" w:rsidP="00B666CA">
      <w:r w:rsidRPr="00B666CA">
        <w:rPr>
          <w:noProof/>
        </w:rPr>
        <w:drawing>
          <wp:anchor distT="0" distB="0" distL="114300" distR="114300" simplePos="0" relativeHeight="251659264" behindDoc="0" locked="0" layoutInCell="1" allowOverlap="1" wp14:anchorId="68204492" wp14:editId="05AA4A52">
            <wp:simplePos x="0" y="0"/>
            <wp:positionH relativeFrom="page">
              <wp:align>center</wp:align>
            </wp:positionH>
            <wp:positionV relativeFrom="paragraph">
              <wp:posOffset>58</wp:posOffset>
            </wp:positionV>
            <wp:extent cx="6919595" cy="3754120"/>
            <wp:effectExtent l="0" t="0" r="0" b="1905"/>
            <wp:wrapSquare wrapText="bothSides"/>
            <wp:docPr id="138898343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19595" cy="3754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4082CD" w14:textId="3C9F6A94" w:rsidR="00B666CA" w:rsidRDefault="00B666CA" w:rsidP="00312AFA">
      <w:pPr>
        <w:jc w:val="both"/>
      </w:pPr>
      <w:r>
        <w:t xml:space="preserve">La </w:t>
      </w:r>
      <w:r>
        <w:rPr>
          <w:b/>
          <w:bCs/>
        </w:rPr>
        <w:t>Figura X</w:t>
      </w:r>
      <w:r>
        <w:t xml:space="preserve"> representa las mismas variables y la misma colorimetría, tanto en el transecto como en los mapas, pero con las medidas correspondientes al día 23 de abril de 2026. Los valores mínimos de temperatura durante el día 23 de abril rondaron los 16.4</w:t>
      </w:r>
      <w:r w:rsidR="00312AFA">
        <w:t>ºC,</w:t>
      </w:r>
      <w:r>
        <w:t xml:space="preserve"> con máximos cercanos a los 17.8ºC. En cuanto a la salinidad, los máximos se aproximan a las 34.5 unidades</w:t>
      </w:r>
      <w:r w:rsidR="00312AFA">
        <w:t>.</w:t>
      </w:r>
      <w:r>
        <w:t xml:space="preserve"> </w:t>
      </w:r>
      <w:r w:rsidR="00312AFA">
        <w:t>Los</w:t>
      </w:r>
      <w:r>
        <w:t xml:space="preserve"> mínimos</w:t>
      </w:r>
      <w:r w:rsidR="00312AFA">
        <w:t xml:space="preserve"> se aproximan a valores cercanos</w:t>
      </w:r>
      <w:r>
        <w:t xml:space="preserve"> </w:t>
      </w:r>
      <w:r w:rsidR="00312AFA">
        <w:t>a</w:t>
      </w:r>
      <w:r>
        <w:t xml:space="preserve"> 31 cerca de la desembocadura del río de Redondela. Además, la zona del Noroeste, cerca de la desembocadura del río Verdugo, también presenta valores bajos de salinidad. Aún así, se observa que el mínimo de salinidad con respecto al anterior día medido es mayor. Por otra parte, la concentración de oxígeno en la ensenada muestra un claro gradiente positivo desde el interior de la ensenada hacia el estrecho de Rande, con valores entre 250 mg/L y 320 mg/L. Por último, el pCO</w:t>
      </w:r>
      <w:r w:rsidRPr="00220883">
        <w:rPr>
          <w:vertAlign w:val="subscript"/>
        </w:rPr>
        <w:t>2</w:t>
      </w:r>
      <w:r>
        <w:t>, al contrario que el oxígeno, presenta un gradiente negativo hacia el estrecho de Rande, lo que deja intuir que el interior de la ensenada de San Simón es más propensa a liberar CO</w:t>
      </w:r>
      <w:r>
        <w:rPr>
          <w:vertAlign w:val="subscript"/>
        </w:rPr>
        <w:t>2</w:t>
      </w:r>
      <w:r>
        <w:t xml:space="preserve"> a la atmósfera, mientras que la zona menos interna tiene mayor capacidad de comportarse como un sumidero de CO</w:t>
      </w:r>
      <w:r>
        <w:rPr>
          <w:vertAlign w:val="subscript"/>
        </w:rPr>
        <w:t>2</w:t>
      </w:r>
      <w:r>
        <w:t xml:space="preserve">. En </w:t>
      </w:r>
      <w:r w:rsidR="00312AFA">
        <w:t xml:space="preserve">este caso, al igual </w:t>
      </w:r>
      <w:r w:rsidR="00312AFA">
        <w:lastRenderedPageBreak/>
        <w:t>que en la anterior salida, los</w:t>
      </w:r>
      <w:r>
        <w:t xml:space="preserve"> valores de pCO</w:t>
      </w:r>
      <w:r>
        <w:rPr>
          <w:vertAlign w:val="subscript"/>
        </w:rPr>
        <w:t>2</w:t>
      </w:r>
      <w:r>
        <w:t xml:space="preserve"> del agua superficial (entre 320 y 450 µatm) de la ensenada son inferiores a los valores atmosféricos (</w:t>
      </w:r>
      <w:r w:rsidR="00312AFA">
        <w:t>436.71 µatm)</w:t>
      </w:r>
      <w:r>
        <w:t>(</w:t>
      </w:r>
      <w:r>
        <w:rPr>
          <w:b/>
          <w:bCs/>
        </w:rPr>
        <w:t>Figura X a</w:t>
      </w:r>
      <w:r w:rsidR="006404B7">
        <w:t>)</w:t>
      </w:r>
      <w:r>
        <w:t>, por lo que, potencialmente, la ensenada se puede comportar como sumidero de carbono.</w:t>
      </w:r>
    </w:p>
    <w:p w14:paraId="76AC446D" w14:textId="7ED99292" w:rsidR="00B666CA" w:rsidRPr="00B666CA" w:rsidRDefault="00B666CA" w:rsidP="00B666CA">
      <w:r w:rsidRPr="00B666CA">
        <w:rPr>
          <w:noProof/>
        </w:rPr>
        <w:drawing>
          <wp:anchor distT="0" distB="0" distL="114300" distR="114300" simplePos="0" relativeHeight="251660288" behindDoc="0" locked="0" layoutInCell="1" allowOverlap="1" wp14:anchorId="4F39C7A1" wp14:editId="2BD0D5E4">
            <wp:simplePos x="0" y="0"/>
            <wp:positionH relativeFrom="page">
              <wp:align>center</wp:align>
            </wp:positionH>
            <wp:positionV relativeFrom="paragraph">
              <wp:posOffset>347</wp:posOffset>
            </wp:positionV>
            <wp:extent cx="6972935" cy="3783330"/>
            <wp:effectExtent l="0" t="0" r="0" b="7620"/>
            <wp:wrapSquare wrapText="bothSides"/>
            <wp:docPr id="16516662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72935" cy="378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D4A648" w14:textId="36761885" w:rsidR="00B666CA" w:rsidRDefault="00312AFA" w:rsidP="00312AFA">
      <w:pPr>
        <w:jc w:val="both"/>
      </w:pPr>
      <w:r>
        <w:t xml:space="preserve">La </w:t>
      </w:r>
      <w:r>
        <w:rPr>
          <w:b/>
          <w:bCs/>
        </w:rPr>
        <w:t>Figura X</w:t>
      </w:r>
      <w:r>
        <w:t xml:space="preserve"> representa lo mismo que las anteriores dos figuras durante el día 12 de mayo de 2026. En este caso la temperatura se encuentra en un rango cercano de entre 16.8 y 17.5ºC. La salinidad presenta máximos de 32.5 y mínimas de 28 (muy cerca de la desembocadura del río Verdugo). El oxígeno </w:t>
      </w:r>
      <w:r w:rsidR="006404B7">
        <w:t>medido tiene un rango más estrecho de concentraciones</w:t>
      </w:r>
      <w:r>
        <w:t xml:space="preserve"> que en las anteriores salidas</w:t>
      </w:r>
      <w:r w:rsidR="006404B7">
        <w:t>. Los valores más bajos,</w:t>
      </w:r>
      <w:r>
        <w:t xml:space="preserve"> sobre todo cerca de la desembocadura</w:t>
      </w:r>
      <w:r w:rsidR="006404B7">
        <w:t xml:space="preserve"> del río Verdugo, son valores por debajo de los 245 mg/L. Sus máximos, más bajos que en las otras salidas, no llegan a los 300 mg/L. Por último, el pCO</w:t>
      </w:r>
      <w:r w:rsidR="006404B7">
        <w:rPr>
          <w:vertAlign w:val="subscript"/>
        </w:rPr>
        <w:t xml:space="preserve">2 </w:t>
      </w:r>
      <w:r w:rsidR="006404B7">
        <w:t>también presenta valores bajos (entre 280 y 380 µatm). Durante este día, al igual que en el anterior, presenta máximos de pCO</w:t>
      </w:r>
      <w:r w:rsidR="006404B7">
        <w:rPr>
          <w:vertAlign w:val="subscript"/>
        </w:rPr>
        <w:t xml:space="preserve">2 </w:t>
      </w:r>
      <w:r w:rsidR="006404B7">
        <w:t>en la zona más interna, pero aún así menores a la fCO</w:t>
      </w:r>
      <w:r w:rsidR="006404B7">
        <w:rPr>
          <w:vertAlign w:val="subscript"/>
        </w:rPr>
        <w:t xml:space="preserve">2 </w:t>
      </w:r>
      <w:r w:rsidR="006404B7">
        <w:t>atmosférica (433.29 µatm)(</w:t>
      </w:r>
      <w:r w:rsidR="006404B7">
        <w:rPr>
          <w:b/>
          <w:bCs/>
        </w:rPr>
        <w:t>Figura X a</w:t>
      </w:r>
      <w:r w:rsidR="006404B7">
        <w:t>). De nuevo, se puede afirmar durante este día que la ensenada tiene una potencial capacidad de funcionar como un sumidero de CO</w:t>
      </w:r>
      <w:r w:rsidR="006404B7">
        <w:rPr>
          <w:vertAlign w:val="subscript"/>
        </w:rPr>
        <w:t>2</w:t>
      </w:r>
      <w:r w:rsidR="006404B7">
        <w:t>, sobre todo en la zona media y externa.</w:t>
      </w:r>
    </w:p>
    <w:p w14:paraId="1D48670B" w14:textId="77777777" w:rsidR="00EA3A3F" w:rsidRDefault="00EA3A3F" w:rsidP="00312AFA">
      <w:pPr>
        <w:jc w:val="both"/>
      </w:pPr>
    </w:p>
    <w:p w14:paraId="5F09DE1D" w14:textId="77777777" w:rsidR="00EA3A3F" w:rsidRDefault="00EA3A3F" w:rsidP="00312AFA">
      <w:pPr>
        <w:jc w:val="both"/>
      </w:pPr>
    </w:p>
    <w:p w14:paraId="0A570AED" w14:textId="77777777" w:rsidR="00EA3A3F" w:rsidRDefault="00EA3A3F" w:rsidP="00312AFA">
      <w:pPr>
        <w:jc w:val="both"/>
      </w:pPr>
    </w:p>
    <w:p w14:paraId="54B8B9A1" w14:textId="77777777" w:rsidR="00EA3A3F" w:rsidRDefault="00EA3A3F" w:rsidP="00312AFA">
      <w:pPr>
        <w:jc w:val="both"/>
      </w:pPr>
    </w:p>
    <w:p w14:paraId="31820B73" w14:textId="6590BD93" w:rsidR="00EA3A3F" w:rsidRPr="00EA3A3F" w:rsidRDefault="00EA3A3F" w:rsidP="00EA3A3F">
      <w:pPr>
        <w:jc w:val="center"/>
      </w:pPr>
      <w:r w:rsidRPr="00EA3A3F">
        <w:rPr>
          <w:noProof/>
        </w:rPr>
        <w:drawing>
          <wp:inline distT="0" distB="0" distL="0" distR="0" wp14:anchorId="35344684" wp14:editId="7C056FE3">
            <wp:extent cx="3700800" cy="4900600"/>
            <wp:effectExtent l="0" t="0" r="0" b="0"/>
            <wp:docPr id="9494561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0800" cy="4900600"/>
                    </a:xfrm>
                    <a:prstGeom prst="rect">
                      <a:avLst/>
                    </a:prstGeom>
                    <a:noFill/>
                    <a:ln>
                      <a:noFill/>
                    </a:ln>
                  </pic:spPr>
                </pic:pic>
              </a:graphicData>
            </a:graphic>
          </wp:inline>
        </w:drawing>
      </w:r>
    </w:p>
    <w:p w14:paraId="619E770C" w14:textId="77777777" w:rsidR="00EA3A3F" w:rsidRPr="006404B7" w:rsidRDefault="00EA3A3F" w:rsidP="00312AFA">
      <w:pPr>
        <w:jc w:val="both"/>
      </w:pPr>
    </w:p>
    <w:p w14:paraId="1140C31B" w14:textId="09529971" w:rsidR="00BD5977" w:rsidRDefault="00EA3A3F" w:rsidP="00EA3A3F">
      <w:pPr>
        <w:jc w:val="both"/>
      </w:pPr>
      <w:r>
        <w:t xml:space="preserve">En la </w:t>
      </w:r>
      <w:r>
        <w:rPr>
          <w:b/>
          <w:bCs/>
        </w:rPr>
        <w:t>Figura X</w:t>
      </w:r>
      <w:r>
        <w:t xml:space="preserve"> se representa dos variables (viento y flujos de CO</w:t>
      </w:r>
      <w:r>
        <w:rPr>
          <w:vertAlign w:val="subscript"/>
        </w:rPr>
        <w:t>2</w:t>
      </w:r>
      <w:r>
        <w:t>) correspondientes al día 6 de abril. En la columna de la izquierda se visualizan los vientos correspondientes al modelo de Meteogalicia, al modelo de Copernicus y a los vientos observados en la estación meteorológica ‘O Viso’. En la columna de la derecha, los flujos de FCO</w:t>
      </w:r>
      <w:r>
        <w:rPr>
          <w:vertAlign w:val="subscript"/>
        </w:rPr>
        <w:t>2</w:t>
      </w:r>
      <w:r>
        <w:t xml:space="preserve"> correspondientes a cada viento. En los mapas correspondientes a los vientos, el verde implica una velocidad de viento mayor y el color azul una velocidad de viento más pequeña. Los valores máximos alcanzan cerca de los 3 m/s mientras que los mínimos son valores cercanos a 1 m/s.  En cuanto al flujo de CO</w:t>
      </w:r>
      <w:r>
        <w:rPr>
          <w:vertAlign w:val="subscript"/>
        </w:rPr>
        <w:t>2</w:t>
      </w:r>
      <w:r>
        <w:t>, los colores amarillos y verdes indican flujos positivos, es decir, liberación neta de CO</w:t>
      </w:r>
      <w:r>
        <w:rPr>
          <w:vertAlign w:val="subscript"/>
        </w:rPr>
        <w:t>2</w:t>
      </w:r>
      <w:r>
        <w:t xml:space="preserve"> a la atmósfera mientras que todos aquellos flujos de color azul oscuro son flujos negativos. En otras palabras, la mayoría de la ensenada se comporta como un sumidero de CO</w:t>
      </w:r>
      <w:r>
        <w:rPr>
          <w:vertAlign w:val="subscript"/>
        </w:rPr>
        <w:t>2</w:t>
      </w:r>
      <w:r>
        <w:t xml:space="preserve"> durante ese día. Las diferencias entre los flujos a distintos vientos obtenidos son mínimas. Los 3 mapas  muestran un máximo cerca del estrecho de Rande con un flujo de liberación de 0.4 mol C m</w:t>
      </w:r>
      <w:r>
        <w:rPr>
          <w:vertAlign w:val="superscript"/>
        </w:rPr>
        <w:t>-2</w:t>
      </w:r>
      <w:r>
        <w:t>yr</w:t>
      </w:r>
      <w:r>
        <w:rPr>
          <w:vertAlign w:val="superscript"/>
        </w:rPr>
        <w:t>-1</w:t>
      </w:r>
      <w:r>
        <w:t xml:space="preserve"> hacia la atmósfera.</w:t>
      </w:r>
    </w:p>
    <w:p w14:paraId="512FCBA6" w14:textId="77777777" w:rsidR="00EA3A3F" w:rsidRDefault="00EA3A3F" w:rsidP="00EA3A3F">
      <w:pPr>
        <w:jc w:val="both"/>
      </w:pPr>
    </w:p>
    <w:p w14:paraId="11ADC53E" w14:textId="451B12BE" w:rsidR="00EA3A3F" w:rsidRDefault="00EA3A3F" w:rsidP="00EA3A3F">
      <w:pPr>
        <w:jc w:val="center"/>
      </w:pPr>
      <w:r w:rsidRPr="00EA3A3F">
        <w:rPr>
          <w:noProof/>
        </w:rPr>
        <w:drawing>
          <wp:inline distT="0" distB="0" distL="0" distR="0" wp14:anchorId="3AAAD8F8" wp14:editId="0304E604">
            <wp:extent cx="3700800" cy="4849700"/>
            <wp:effectExtent l="0" t="0" r="0" b="8255"/>
            <wp:docPr id="7207961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0800" cy="4849700"/>
                    </a:xfrm>
                    <a:prstGeom prst="rect">
                      <a:avLst/>
                    </a:prstGeom>
                    <a:noFill/>
                    <a:ln>
                      <a:noFill/>
                    </a:ln>
                  </pic:spPr>
                </pic:pic>
              </a:graphicData>
            </a:graphic>
          </wp:inline>
        </w:drawing>
      </w:r>
    </w:p>
    <w:p w14:paraId="08991148" w14:textId="1BA7F4C6" w:rsidR="00EA3A3F" w:rsidRPr="00EA3A3F" w:rsidRDefault="00EA3A3F" w:rsidP="00EA3A3F">
      <w:pPr>
        <w:jc w:val="both"/>
      </w:pPr>
    </w:p>
    <w:p w14:paraId="306339E0" w14:textId="5D58E1E0" w:rsidR="00EA3A3F" w:rsidRDefault="00EA3A3F" w:rsidP="00EA3A3F">
      <w:pPr>
        <w:jc w:val="both"/>
      </w:pPr>
      <w:r>
        <w:t xml:space="preserve">En la </w:t>
      </w:r>
      <w:r>
        <w:rPr>
          <w:b/>
          <w:bCs/>
        </w:rPr>
        <w:t>Figura X</w:t>
      </w:r>
      <w:r>
        <w:t xml:space="preserve"> se representa lo mismo que en la </w:t>
      </w:r>
      <w:r>
        <w:rPr>
          <w:b/>
          <w:bCs/>
        </w:rPr>
        <w:t>Figura X</w:t>
      </w:r>
      <w:r>
        <w:t>, pero referente al día 23 de abril. Los valores de viento máximos alcanzan cerca de los 2 m/s mientras que velocidades mínimas de viento eran poco mayores a los 0.2 m/s.  En cuanto al flujo de CO</w:t>
      </w:r>
      <w:r>
        <w:rPr>
          <w:vertAlign w:val="subscript"/>
        </w:rPr>
        <w:t>2</w:t>
      </w:r>
      <w:r>
        <w:t>, en este caso, la escala es un poco diferente. Los flujos positivos, reflejados con colores verdes y amarillos, son flujos muy pequeños, sin llegar a los 0.05 mol C m</w:t>
      </w:r>
      <w:r>
        <w:rPr>
          <w:vertAlign w:val="superscript"/>
        </w:rPr>
        <w:t>-2</w:t>
      </w:r>
      <w:r>
        <w:t>yr</w:t>
      </w:r>
      <w:r>
        <w:rPr>
          <w:vertAlign w:val="superscript"/>
        </w:rPr>
        <w:t>-1</w:t>
      </w:r>
      <w:r>
        <w:t>. Por otra parte, los flujos negativos sí que alcanzan valores más altos, de hasta -0.2 mol C m</w:t>
      </w:r>
      <w:r>
        <w:rPr>
          <w:vertAlign w:val="superscript"/>
        </w:rPr>
        <w:t>-2</w:t>
      </w:r>
      <w:r>
        <w:t>yr</w:t>
      </w:r>
      <w:r>
        <w:rPr>
          <w:vertAlign w:val="superscript"/>
        </w:rPr>
        <w:t>-1</w:t>
      </w:r>
      <w:r>
        <w:t>. En este día, aunque de forma menos intensa, la ensenada tuvo un comportamiento general de sumidero de carbono. Los vientos registrados son menos intensos que los del día anterior, por lo que también se espera (y se comprueba) que los flujos son más débiles. Por último, hay una diferencia notable entre los vientos modelados y los vientos observados, siendo estos últimos unos vientos todavía más débiles (y, por ello, menor flujo de CO</w:t>
      </w:r>
      <w:r>
        <w:rPr>
          <w:vertAlign w:val="subscript"/>
        </w:rPr>
        <w:t>2</w:t>
      </w:r>
      <w:r>
        <w:t>).</w:t>
      </w:r>
    </w:p>
    <w:p w14:paraId="4C4B2A72" w14:textId="77777777" w:rsidR="00EA3A3F" w:rsidRDefault="00EA3A3F" w:rsidP="00EA3A3F">
      <w:pPr>
        <w:jc w:val="both"/>
      </w:pPr>
    </w:p>
    <w:p w14:paraId="23B2628D" w14:textId="77777777" w:rsidR="00EA3A3F" w:rsidRDefault="00EA3A3F" w:rsidP="00EA3A3F">
      <w:pPr>
        <w:jc w:val="both"/>
      </w:pPr>
    </w:p>
    <w:p w14:paraId="56D93217" w14:textId="77777777" w:rsidR="00EA3A3F" w:rsidRPr="00EA3A3F" w:rsidRDefault="00EA3A3F" w:rsidP="00EA3A3F">
      <w:pPr>
        <w:jc w:val="both"/>
      </w:pPr>
    </w:p>
    <w:p w14:paraId="2AAB5F15" w14:textId="46466746" w:rsidR="0078462F" w:rsidRPr="0078462F" w:rsidRDefault="0078462F" w:rsidP="0078462F">
      <w:pPr>
        <w:jc w:val="center"/>
      </w:pPr>
      <w:r w:rsidRPr="0078462F">
        <w:rPr>
          <w:noProof/>
        </w:rPr>
        <w:drawing>
          <wp:inline distT="0" distB="0" distL="0" distR="0" wp14:anchorId="36BDCE98" wp14:editId="7126174D">
            <wp:extent cx="3766679" cy="4849200"/>
            <wp:effectExtent l="0" t="0" r="5715" b="8890"/>
            <wp:docPr id="123864562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6679" cy="4849200"/>
                    </a:xfrm>
                    <a:prstGeom prst="rect">
                      <a:avLst/>
                    </a:prstGeom>
                    <a:noFill/>
                    <a:ln>
                      <a:noFill/>
                    </a:ln>
                  </pic:spPr>
                </pic:pic>
              </a:graphicData>
            </a:graphic>
          </wp:inline>
        </w:drawing>
      </w:r>
    </w:p>
    <w:p w14:paraId="5AF837AE" w14:textId="11414861" w:rsidR="00EA3A3F" w:rsidRPr="00221672" w:rsidRDefault="0078462F" w:rsidP="00EA3A3F">
      <w:pPr>
        <w:jc w:val="both"/>
      </w:pPr>
      <w:r>
        <w:t>En cambio, el día 12 de mayo, a pesar de tener una velocidad de viento similar a la anterior (máximos de 2 m/s y mínimos muy bajos), el flujo de CO</w:t>
      </w:r>
      <w:r>
        <w:rPr>
          <w:vertAlign w:val="subscript"/>
        </w:rPr>
        <w:t>2</w:t>
      </w:r>
      <w:r>
        <w:t xml:space="preserve"> fue más intenso (en cuanto al flujo </w:t>
      </w:r>
      <w:r w:rsidR="00221672">
        <w:t>negativo) (</w:t>
      </w:r>
      <w:r>
        <w:rPr>
          <w:b/>
          <w:bCs/>
        </w:rPr>
        <w:t>Figura X</w:t>
      </w:r>
      <w:r>
        <w:t xml:space="preserve">). En este caso, los valores obtenidos mediante el modelo de Copernicus dista mucho de las velocidades de vientos ofrecidas por el modelo de Meteogalicia y de los vientos observados en la estación meteorológica de O Viso. </w:t>
      </w:r>
      <w:r w:rsidR="00221672">
        <w:t>Las velocidades de viento tan bajas (muy cercanas a 0 m/s) imposibilitan los flujos de CO</w:t>
      </w:r>
      <w:r w:rsidR="00221672">
        <w:rPr>
          <w:vertAlign w:val="subscript"/>
        </w:rPr>
        <w:t>2</w:t>
      </w:r>
      <w:r w:rsidR="00221672">
        <w:t>, por ello se observan flujos muy cercanos a 0 mol C m</w:t>
      </w:r>
      <w:r w:rsidR="00221672">
        <w:rPr>
          <w:vertAlign w:val="superscript"/>
        </w:rPr>
        <w:t>-2</w:t>
      </w:r>
      <w:r w:rsidR="00221672">
        <w:t>yr</w:t>
      </w:r>
      <w:r w:rsidR="00221672">
        <w:rPr>
          <w:vertAlign w:val="superscript"/>
        </w:rPr>
        <w:t>-1</w:t>
      </w:r>
      <w:r w:rsidR="00221672">
        <w:t>. No obstante, tanto las velocidades de vientos observadas en la estación como las velocidades obtenidas mediante el modelo local tienen una mayor similitud, apuntando ambas a unos flujos de hasta -0.3 mol C m</w:t>
      </w:r>
      <w:r w:rsidR="00221672">
        <w:rPr>
          <w:vertAlign w:val="superscript"/>
        </w:rPr>
        <w:t>-2</w:t>
      </w:r>
      <w:r w:rsidR="00221672">
        <w:t>yr</w:t>
      </w:r>
      <w:r w:rsidR="00221672">
        <w:rPr>
          <w:vertAlign w:val="superscript"/>
        </w:rPr>
        <w:t>-1</w:t>
      </w:r>
      <w:r w:rsidR="00221672">
        <w:t>, indicando que la parte interna de la ensenada se comporta como un sumidero de carbono durante ese día.</w:t>
      </w:r>
    </w:p>
    <w:sectPr w:rsidR="00EA3A3F" w:rsidRPr="0022167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 lopez fernandez" w:date="2026-06-02T11:45:00Z" w:initials="jl">
    <w:p w14:paraId="7B835C4B" w14:textId="77777777" w:rsidR="00C03A7D" w:rsidRDefault="00C03A7D" w:rsidP="00C03A7D">
      <w:pPr>
        <w:pStyle w:val="Textocomentario"/>
      </w:pPr>
      <w:r>
        <w:rPr>
          <w:rStyle w:val="Refdecomentario"/>
        </w:rPr>
        <w:annotationRef/>
      </w:r>
      <w:r>
        <w:t>25-30</w:t>
      </w:r>
    </w:p>
  </w:comment>
  <w:comment w:id="1" w:author="javi lopez fernandez" w:date="2026-06-02T10:32:00Z" w:initials="jl">
    <w:p w14:paraId="7C11B815" w14:textId="77777777" w:rsidR="00400AD4" w:rsidRDefault="00400AD4" w:rsidP="00400AD4">
      <w:pPr>
        <w:pStyle w:val="Textocomentario"/>
      </w:pPr>
      <w:r>
        <w:rPr>
          <w:rStyle w:val="Refdecomentario"/>
        </w:rPr>
        <w:annotationRef/>
      </w:r>
      <w:r>
        <w:t>Flujos CO2</w:t>
      </w:r>
    </w:p>
  </w:comment>
  <w:comment w:id="2" w:author="javi lopez fernandez" w:date="2026-06-02T10:31:00Z" w:initials="jl">
    <w:p w14:paraId="0D2A1C69" w14:textId="77777777" w:rsidR="00400AD4" w:rsidRDefault="00400AD4" w:rsidP="00400AD4">
      <w:pPr>
        <w:pStyle w:val="Textocomentario"/>
      </w:pPr>
      <w:r>
        <w:rPr>
          <w:rStyle w:val="Refdecomentario"/>
        </w:rPr>
        <w:annotationRef/>
      </w:r>
      <w:r>
        <w:t>Blue Carbon</w:t>
      </w:r>
    </w:p>
  </w:comment>
  <w:comment w:id="3" w:author="javi lopez fernandez" w:date="2026-06-02T10:36:00Z" w:initials="jl">
    <w:p w14:paraId="0EB081AC" w14:textId="77777777" w:rsidR="00400AD4" w:rsidRDefault="00400AD4" w:rsidP="00400AD4">
      <w:pPr>
        <w:pStyle w:val="Textocomentario"/>
      </w:pPr>
      <w:r>
        <w:rPr>
          <w:rStyle w:val="Refdecomentario"/>
        </w:rPr>
        <w:annotationRef/>
      </w:r>
      <w:r>
        <w:t>Pie y número de figura</w:t>
      </w:r>
    </w:p>
  </w:comment>
  <w:comment w:id="4" w:author="javi lopez fernandez" w:date="2026-06-04T17:15:00Z" w:initials="jl">
    <w:p w14:paraId="7564971E" w14:textId="77777777" w:rsidR="00312AFA" w:rsidRDefault="00312AFA" w:rsidP="00B666CA">
      <w:pPr>
        <w:pStyle w:val="Textocomentario"/>
      </w:pPr>
      <w:r>
        <w:rPr>
          <w:rStyle w:val="Refdecomentario"/>
        </w:rPr>
        <w:annotationRef/>
      </w:r>
      <w:r>
        <w:t>Editar figuras para ponerles a, b, c, d y 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35C4B" w15:done="0"/>
  <w15:commentEx w15:paraId="7C11B815" w15:done="0"/>
  <w15:commentEx w15:paraId="0D2A1C69" w15:done="0"/>
  <w15:commentEx w15:paraId="0EB081AC" w15:done="0"/>
  <w15:commentEx w15:paraId="756497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FC4384" w16cex:dateUtc="2026-06-02T09:45:00Z"/>
  <w16cex:commentExtensible w16cex:durableId="3DA8A2BB" w16cex:dateUtc="2026-06-02T08:32:00Z"/>
  <w16cex:commentExtensible w16cex:durableId="2D823574" w16cex:dateUtc="2026-06-02T08:31:00Z"/>
  <w16cex:commentExtensible w16cex:durableId="2C23C4EB" w16cex:dateUtc="2026-06-02T08:36:00Z"/>
  <w16cex:commentExtensible w16cex:durableId="762E531F" w16cex:dateUtc="2026-06-04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35C4B" w16cid:durableId="53FC4384"/>
  <w16cid:commentId w16cid:paraId="7C11B815" w16cid:durableId="3DA8A2BB"/>
  <w16cid:commentId w16cid:paraId="0D2A1C69" w16cid:durableId="2D823574"/>
  <w16cid:commentId w16cid:paraId="0EB081AC" w16cid:durableId="2C23C4EB"/>
  <w16cid:commentId w16cid:paraId="7564971E" w16cid:durableId="762E53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 lopez fernandez">
    <w15:presenceInfo w15:providerId="Windows Live" w15:userId="43e25558df0edc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2F"/>
    <w:rsid w:val="0000086E"/>
    <w:rsid w:val="0005138C"/>
    <w:rsid w:val="000A152F"/>
    <w:rsid w:val="000B53EC"/>
    <w:rsid w:val="000B706E"/>
    <w:rsid w:val="000F1834"/>
    <w:rsid w:val="00166D5F"/>
    <w:rsid w:val="001859EA"/>
    <w:rsid w:val="001C0681"/>
    <w:rsid w:val="001C700B"/>
    <w:rsid w:val="001D67C9"/>
    <w:rsid w:val="00205B30"/>
    <w:rsid w:val="00220883"/>
    <w:rsid w:val="00221672"/>
    <w:rsid w:val="002524A7"/>
    <w:rsid w:val="00266FBC"/>
    <w:rsid w:val="00287A5D"/>
    <w:rsid w:val="002A24FF"/>
    <w:rsid w:val="002A7DF2"/>
    <w:rsid w:val="002C2C88"/>
    <w:rsid w:val="002E3517"/>
    <w:rsid w:val="002F2A86"/>
    <w:rsid w:val="00312AFA"/>
    <w:rsid w:val="00355C34"/>
    <w:rsid w:val="003743EF"/>
    <w:rsid w:val="003B47E3"/>
    <w:rsid w:val="003F5F19"/>
    <w:rsid w:val="00400AD4"/>
    <w:rsid w:val="004106CE"/>
    <w:rsid w:val="00435167"/>
    <w:rsid w:val="00446E32"/>
    <w:rsid w:val="004A60B1"/>
    <w:rsid w:val="005324EC"/>
    <w:rsid w:val="005D1F61"/>
    <w:rsid w:val="006404B7"/>
    <w:rsid w:val="00672889"/>
    <w:rsid w:val="00672EA5"/>
    <w:rsid w:val="00674424"/>
    <w:rsid w:val="00737638"/>
    <w:rsid w:val="0078462F"/>
    <w:rsid w:val="00790A84"/>
    <w:rsid w:val="007B035B"/>
    <w:rsid w:val="007C034A"/>
    <w:rsid w:val="00831F1C"/>
    <w:rsid w:val="00841A0B"/>
    <w:rsid w:val="00842996"/>
    <w:rsid w:val="00851E75"/>
    <w:rsid w:val="00875D8C"/>
    <w:rsid w:val="008946DE"/>
    <w:rsid w:val="008B1745"/>
    <w:rsid w:val="008B6DB5"/>
    <w:rsid w:val="008C6191"/>
    <w:rsid w:val="008F055C"/>
    <w:rsid w:val="008F71C1"/>
    <w:rsid w:val="00973CDF"/>
    <w:rsid w:val="009A5DA0"/>
    <w:rsid w:val="00A16B1B"/>
    <w:rsid w:val="00A22947"/>
    <w:rsid w:val="00A329C0"/>
    <w:rsid w:val="00A65D13"/>
    <w:rsid w:val="00A8137A"/>
    <w:rsid w:val="00A9638A"/>
    <w:rsid w:val="00B23880"/>
    <w:rsid w:val="00B35D15"/>
    <w:rsid w:val="00B41228"/>
    <w:rsid w:val="00B57AF8"/>
    <w:rsid w:val="00B666CA"/>
    <w:rsid w:val="00BB4940"/>
    <w:rsid w:val="00BD5977"/>
    <w:rsid w:val="00C03A7D"/>
    <w:rsid w:val="00C306C1"/>
    <w:rsid w:val="00D4079F"/>
    <w:rsid w:val="00D74DC9"/>
    <w:rsid w:val="00DB36F1"/>
    <w:rsid w:val="00DC02F1"/>
    <w:rsid w:val="00DE5407"/>
    <w:rsid w:val="00DF25C2"/>
    <w:rsid w:val="00E1752E"/>
    <w:rsid w:val="00EA3A3F"/>
    <w:rsid w:val="00EF06FF"/>
    <w:rsid w:val="00F41083"/>
    <w:rsid w:val="00FD1D02"/>
    <w:rsid w:val="00FD7F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F777"/>
  <w15:chartTrackingRefBased/>
  <w15:docId w15:val="{59EF63EC-E6C3-452A-BCC9-5CE5FC18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1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1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15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15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15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15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15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15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15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15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15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15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15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15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15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15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15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152F"/>
    <w:rPr>
      <w:rFonts w:eastAsiaTheme="majorEastAsia" w:cstheme="majorBidi"/>
      <w:color w:val="272727" w:themeColor="text1" w:themeTint="D8"/>
    </w:rPr>
  </w:style>
  <w:style w:type="paragraph" w:styleId="Ttulo">
    <w:name w:val="Title"/>
    <w:basedOn w:val="Normal"/>
    <w:next w:val="Normal"/>
    <w:link w:val="TtuloCar"/>
    <w:uiPriority w:val="10"/>
    <w:qFormat/>
    <w:rsid w:val="000A1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15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15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15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152F"/>
    <w:pPr>
      <w:spacing w:before="160"/>
      <w:jc w:val="center"/>
    </w:pPr>
    <w:rPr>
      <w:i/>
      <w:iCs/>
      <w:color w:val="404040" w:themeColor="text1" w:themeTint="BF"/>
    </w:rPr>
  </w:style>
  <w:style w:type="character" w:customStyle="1" w:styleId="CitaCar">
    <w:name w:val="Cita Car"/>
    <w:basedOn w:val="Fuentedeprrafopredeter"/>
    <w:link w:val="Cita"/>
    <w:uiPriority w:val="29"/>
    <w:rsid w:val="000A152F"/>
    <w:rPr>
      <w:i/>
      <w:iCs/>
      <w:color w:val="404040" w:themeColor="text1" w:themeTint="BF"/>
    </w:rPr>
  </w:style>
  <w:style w:type="paragraph" w:styleId="Prrafodelista">
    <w:name w:val="List Paragraph"/>
    <w:basedOn w:val="Normal"/>
    <w:uiPriority w:val="34"/>
    <w:qFormat/>
    <w:rsid w:val="000A152F"/>
    <w:pPr>
      <w:ind w:left="720"/>
      <w:contextualSpacing/>
    </w:pPr>
  </w:style>
  <w:style w:type="character" w:styleId="nfasisintenso">
    <w:name w:val="Intense Emphasis"/>
    <w:basedOn w:val="Fuentedeprrafopredeter"/>
    <w:uiPriority w:val="21"/>
    <w:qFormat/>
    <w:rsid w:val="000A152F"/>
    <w:rPr>
      <w:i/>
      <w:iCs/>
      <w:color w:val="0F4761" w:themeColor="accent1" w:themeShade="BF"/>
    </w:rPr>
  </w:style>
  <w:style w:type="paragraph" w:styleId="Citadestacada">
    <w:name w:val="Intense Quote"/>
    <w:basedOn w:val="Normal"/>
    <w:next w:val="Normal"/>
    <w:link w:val="CitadestacadaCar"/>
    <w:uiPriority w:val="30"/>
    <w:qFormat/>
    <w:rsid w:val="000A1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152F"/>
    <w:rPr>
      <w:i/>
      <w:iCs/>
      <w:color w:val="0F4761" w:themeColor="accent1" w:themeShade="BF"/>
    </w:rPr>
  </w:style>
  <w:style w:type="character" w:styleId="Referenciaintensa">
    <w:name w:val="Intense Reference"/>
    <w:basedOn w:val="Fuentedeprrafopredeter"/>
    <w:uiPriority w:val="32"/>
    <w:qFormat/>
    <w:rsid w:val="000A152F"/>
    <w:rPr>
      <w:b/>
      <w:bCs/>
      <w:smallCaps/>
      <w:color w:val="0F4761" w:themeColor="accent1" w:themeShade="BF"/>
      <w:spacing w:val="5"/>
    </w:rPr>
  </w:style>
  <w:style w:type="paragraph" w:styleId="Descripcin">
    <w:name w:val="caption"/>
    <w:basedOn w:val="Normal"/>
    <w:next w:val="Normal"/>
    <w:uiPriority w:val="35"/>
    <w:unhideWhenUsed/>
    <w:qFormat/>
    <w:rsid w:val="00B57AF8"/>
    <w:pPr>
      <w:spacing w:after="200" w:line="240" w:lineRule="auto"/>
    </w:pPr>
    <w:rPr>
      <w:i/>
      <w:iCs/>
      <w:color w:val="0E2841" w:themeColor="text2"/>
      <w:sz w:val="18"/>
      <w:szCs w:val="18"/>
    </w:rPr>
  </w:style>
  <w:style w:type="character" w:styleId="Refdecomentario">
    <w:name w:val="annotation reference"/>
    <w:basedOn w:val="Fuentedeprrafopredeter"/>
    <w:uiPriority w:val="99"/>
    <w:semiHidden/>
    <w:unhideWhenUsed/>
    <w:rsid w:val="00400AD4"/>
    <w:rPr>
      <w:sz w:val="16"/>
      <w:szCs w:val="16"/>
    </w:rPr>
  </w:style>
  <w:style w:type="paragraph" w:styleId="Textocomentario">
    <w:name w:val="annotation text"/>
    <w:basedOn w:val="Normal"/>
    <w:link w:val="TextocomentarioCar"/>
    <w:uiPriority w:val="99"/>
    <w:unhideWhenUsed/>
    <w:rsid w:val="00400AD4"/>
    <w:pPr>
      <w:spacing w:line="240" w:lineRule="auto"/>
    </w:pPr>
    <w:rPr>
      <w:sz w:val="20"/>
      <w:szCs w:val="20"/>
    </w:rPr>
  </w:style>
  <w:style w:type="character" w:customStyle="1" w:styleId="TextocomentarioCar">
    <w:name w:val="Texto comentario Car"/>
    <w:basedOn w:val="Fuentedeprrafopredeter"/>
    <w:link w:val="Textocomentario"/>
    <w:uiPriority w:val="99"/>
    <w:rsid w:val="00400AD4"/>
    <w:rPr>
      <w:sz w:val="20"/>
      <w:szCs w:val="20"/>
    </w:rPr>
  </w:style>
  <w:style w:type="paragraph" w:styleId="Asuntodelcomentario">
    <w:name w:val="annotation subject"/>
    <w:basedOn w:val="Textocomentario"/>
    <w:next w:val="Textocomentario"/>
    <w:link w:val="AsuntodelcomentarioCar"/>
    <w:uiPriority w:val="99"/>
    <w:semiHidden/>
    <w:unhideWhenUsed/>
    <w:rsid w:val="00400AD4"/>
    <w:rPr>
      <w:b/>
      <w:bCs/>
    </w:rPr>
  </w:style>
  <w:style w:type="character" w:customStyle="1" w:styleId="AsuntodelcomentarioCar">
    <w:name w:val="Asunto del comentario Car"/>
    <w:basedOn w:val="TextocomentarioCar"/>
    <w:link w:val="Asuntodelcomentario"/>
    <w:uiPriority w:val="99"/>
    <w:semiHidden/>
    <w:rsid w:val="00400A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9F5DB-DB62-497C-BC34-5D93F7ED3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2907</TotalTime>
  <Pages>10</Pages>
  <Words>8216</Words>
  <Characters>45192</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 lopez fernandez</dc:creator>
  <cp:keywords/>
  <dc:description/>
  <cp:lastModifiedBy>javi lopez fernandez</cp:lastModifiedBy>
  <cp:revision>4</cp:revision>
  <dcterms:created xsi:type="dcterms:W3CDTF">2026-05-25T08:49:00Z</dcterms:created>
  <dcterms:modified xsi:type="dcterms:W3CDTF">2026-06-04T19:08:00Z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id="O1etymQD"/&gt;&lt;style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