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9322" w:type="dxa"/>
        <w:tblLook w:val="0600" w:firstRow="0" w:lastRow="0" w:firstColumn="0" w:lastColumn="0" w:noHBand="1" w:noVBand="1"/>
      </w:tblPr>
      <w:tblGrid>
        <w:gridCol w:w="2507"/>
        <w:gridCol w:w="1057"/>
        <w:gridCol w:w="1057"/>
        <w:gridCol w:w="4701"/>
      </w:tblGrid>
      <w:tr w:rsidR="00AF719A" w:rsidRPr="00087168" w14:paraId="5B56E3E6" w14:textId="3425E1EB" w:rsidTr="00AF719A">
        <w:tc>
          <w:tcPr>
            <w:tcW w:w="0" w:type="auto"/>
            <w:vMerge w:val="restart"/>
            <w:vAlign w:val="center"/>
          </w:tcPr>
          <w:p w14:paraId="7C7F1906" w14:textId="0701B51F" w:rsidR="00AF719A" w:rsidRPr="00087168" w:rsidRDefault="00AF719A" w:rsidP="00087168">
            <w:pPr>
              <w:keepNext/>
              <w:spacing w:after="60" w:line="360" w:lineRule="auto"/>
              <w:jc w:val="center"/>
              <w:rPr>
                <w:rFonts w:ascii="Arial" w:hAnsi="Arial" w:cs="Arial"/>
                <w:b/>
                <w:bCs/>
              </w:rPr>
            </w:pPr>
            <w:r w:rsidRPr="00087168">
              <w:rPr>
                <w:rFonts w:ascii="Arial" w:hAnsi="Arial" w:cs="Arial"/>
                <w:b/>
                <w:bCs/>
              </w:rPr>
              <w:t>Domain</w:t>
            </w:r>
          </w:p>
        </w:tc>
        <w:tc>
          <w:tcPr>
            <w:tcW w:w="1057" w:type="dxa"/>
            <w:vAlign w:val="center"/>
          </w:tcPr>
          <w:p w14:paraId="32EFFEC1" w14:textId="09551E6B" w:rsidR="00AF719A" w:rsidRPr="00087168" w:rsidRDefault="00AF719A" w:rsidP="00087168">
            <w:pPr>
              <w:keepNext/>
              <w:spacing w:after="60" w:line="360" w:lineRule="auto"/>
              <w:jc w:val="center"/>
              <w:rPr>
                <w:rFonts w:ascii="Arial" w:hAnsi="Arial" w:cs="Arial"/>
                <w:b/>
                <w:bCs/>
              </w:rPr>
            </w:pPr>
            <w:r w:rsidRPr="00087168">
              <w:rPr>
                <w:rFonts w:ascii="Arial" w:hAnsi="Arial" w:cs="Arial"/>
                <w:b/>
                <w:bCs/>
              </w:rPr>
              <w:t>Trial 1</w:t>
            </w:r>
          </w:p>
        </w:tc>
        <w:tc>
          <w:tcPr>
            <w:tcW w:w="1057" w:type="dxa"/>
            <w:vAlign w:val="center"/>
          </w:tcPr>
          <w:p w14:paraId="3C0D0A74" w14:textId="217CA366" w:rsidR="00AF719A" w:rsidRPr="00087168" w:rsidRDefault="00AF719A" w:rsidP="00087168">
            <w:pPr>
              <w:keepNext/>
              <w:spacing w:after="60" w:line="360" w:lineRule="auto"/>
              <w:jc w:val="center"/>
              <w:rPr>
                <w:rFonts w:ascii="Arial" w:hAnsi="Arial" w:cs="Arial"/>
                <w:b/>
                <w:bCs/>
              </w:rPr>
            </w:pPr>
            <w:r w:rsidRPr="00087168">
              <w:rPr>
                <w:rFonts w:ascii="Arial" w:hAnsi="Arial" w:cs="Arial"/>
                <w:b/>
                <w:bCs/>
              </w:rPr>
              <w:t>Trial 2</w:t>
            </w:r>
          </w:p>
        </w:tc>
        <w:tc>
          <w:tcPr>
            <w:tcW w:w="4701" w:type="dxa"/>
            <w:vMerge w:val="restart"/>
            <w:vAlign w:val="center"/>
          </w:tcPr>
          <w:p w14:paraId="5A654851" w14:textId="7A300385" w:rsidR="00AF719A" w:rsidRPr="00087168" w:rsidRDefault="00AF719A" w:rsidP="00AF719A">
            <w:pPr>
              <w:keepNext/>
              <w:spacing w:after="60" w:line="360" w:lineRule="auto"/>
              <w:jc w:val="center"/>
              <w:rPr>
                <w:rFonts w:ascii="Arial" w:hAnsi="Arial" w:cs="Arial"/>
                <w:b/>
                <w:bCs/>
              </w:rPr>
            </w:pPr>
            <w:r>
              <w:rPr>
                <w:rFonts w:ascii="Arial" w:hAnsi="Arial" w:cs="Arial"/>
                <w:b/>
                <w:bCs/>
              </w:rPr>
              <w:t>Rationale</w:t>
            </w:r>
          </w:p>
        </w:tc>
      </w:tr>
      <w:tr w:rsidR="00AF719A" w:rsidRPr="00087168" w14:paraId="1264888C" w14:textId="636D9BFF" w:rsidTr="00AF719A">
        <w:tc>
          <w:tcPr>
            <w:tcW w:w="0" w:type="auto"/>
            <w:vMerge/>
            <w:vAlign w:val="center"/>
          </w:tcPr>
          <w:p w14:paraId="4EFB713B" w14:textId="5BCA9D4F" w:rsidR="00AF719A" w:rsidRPr="00087168" w:rsidRDefault="00AF719A" w:rsidP="00087168">
            <w:pPr>
              <w:keepNext/>
              <w:spacing w:after="60" w:line="360" w:lineRule="auto"/>
              <w:jc w:val="center"/>
              <w:rPr>
                <w:rFonts w:ascii="Arial" w:hAnsi="Arial" w:cs="Arial"/>
              </w:rPr>
            </w:pPr>
          </w:p>
        </w:tc>
        <w:tc>
          <w:tcPr>
            <w:tcW w:w="2114" w:type="dxa"/>
            <w:gridSpan w:val="2"/>
            <w:vAlign w:val="center"/>
          </w:tcPr>
          <w:p w14:paraId="6A27C2AE" w14:textId="0F833A6E" w:rsidR="00AF719A" w:rsidRPr="00087168" w:rsidRDefault="00AF719A" w:rsidP="00087168">
            <w:pPr>
              <w:keepNext/>
              <w:spacing w:after="60" w:line="360" w:lineRule="auto"/>
              <w:jc w:val="center"/>
              <w:rPr>
                <w:rFonts w:ascii="Arial" w:hAnsi="Arial" w:cs="Arial"/>
              </w:rPr>
            </w:pPr>
            <w:r>
              <w:rPr>
                <w:rFonts w:ascii="Arial" w:hAnsi="Arial" w:cs="Arial"/>
              </w:rPr>
              <w:t>Score</w:t>
            </w:r>
          </w:p>
        </w:tc>
        <w:tc>
          <w:tcPr>
            <w:tcW w:w="4701" w:type="dxa"/>
            <w:vMerge/>
            <w:vAlign w:val="center"/>
          </w:tcPr>
          <w:p w14:paraId="224C3D85" w14:textId="77777777" w:rsidR="00AF719A" w:rsidRPr="00087168" w:rsidRDefault="00AF719A" w:rsidP="00AF719A">
            <w:pPr>
              <w:keepNext/>
              <w:spacing w:after="60" w:line="360" w:lineRule="auto"/>
              <w:rPr>
                <w:rFonts w:ascii="Arial" w:hAnsi="Arial" w:cs="Arial"/>
                <w:b/>
                <w:bCs/>
              </w:rPr>
            </w:pPr>
          </w:p>
        </w:tc>
      </w:tr>
      <w:tr w:rsidR="00AF719A" w:rsidRPr="00087168" w14:paraId="5A5DED4C" w14:textId="3757E5A4" w:rsidTr="00AF719A">
        <w:tc>
          <w:tcPr>
            <w:tcW w:w="0" w:type="auto"/>
            <w:vAlign w:val="center"/>
          </w:tcPr>
          <w:p w14:paraId="1EA4DC89" w14:textId="405BE979" w:rsidR="00AF719A" w:rsidRPr="00087168" w:rsidRDefault="00AF719A" w:rsidP="00087168">
            <w:pPr>
              <w:keepNext/>
              <w:spacing w:after="60" w:line="360" w:lineRule="auto"/>
              <w:jc w:val="center"/>
              <w:rPr>
                <w:rFonts w:ascii="Arial" w:hAnsi="Arial" w:cs="Arial"/>
              </w:rPr>
            </w:pPr>
            <w:r w:rsidRPr="00087168">
              <w:rPr>
                <w:rFonts w:ascii="Arial" w:hAnsi="Arial" w:cs="Arial"/>
                <w:color w:val="000000"/>
              </w:rPr>
              <w:t>Eligibility</w:t>
            </w:r>
          </w:p>
        </w:tc>
        <w:tc>
          <w:tcPr>
            <w:tcW w:w="1057" w:type="dxa"/>
            <w:vAlign w:val="center"/>
          </w:tcPr>
          <w:p w14:paraId="3CBAB941" w14:textId="2B8B6B6C" w:rsidR="00AF719A" w:rsidRPr="00087168" w:rsidRDefault="00AF719A" w:rsidP="00087168">
            <w:pPr>
              <w:keepNext/>
              <w:spacing w:after="60" w:line="360" w:lineRule="auto"/>
              <w:jc w:val="center"/>
              <w:rPr>
                <w:rFonts w:ascii="Arial" w:hAnsi="Arial" w:cs="Arial"/>
              </w:rPr>
            </w:pPr>
            <w:r w:rsidRPr="00087168">
              <w:rPr>
                <w:rFonts w:ascii="Arial" w:hAnsi="Arial" w:cs="Arial"/>
              </w:rPr>
              <w:t>2</w:t>
            </w:r>
          </w:p>
        </w:tc>
        <w:tc>
          <w:tcPr>
            <w:tcW w:w="1057" w:type="dxa"/>
            <w:vAlign w:val="center"/>
          </w:tcPr>
          <w:p w14:paraId="6261BB5E" w14:textId="77777777" w:rsidR="00AF719A" w:rsidRPr="00087168" w:rsidRDefault="00AF719A" w:rsidP="00087168">
            <w:pPr>
              <w:keepNext/>
              <w:spacing w:after="60" w:line="360" w:lineRule="auto"/>
              <w:jc w:val="center"/>
              <w:rPr>
                <w:rFonts w:ascii="Arial" w:hAnsi="Arial" w:cs="Arial"/>
              </w:rPr>
            </w:pPr>
            <w:r w:rsidRPr="00087168">
              <w:rPr>
                <w:rFonts w:ascii="Arial" w:hAnsi="Arial" w:cs="Arial"/>
              </w:rPr>
              <w:t>5</w:t>
            </w:r>
          </w:p>
        </w:tc>
        <w:tc>
          <w:tcPr>
            <w:tcW w:w="4701" w:type="dxa"/>
            <w:vAlign w:val="center"/>
          </w:tcPr>
          <w:p w14:paraId="0C9EE812" w14:textId="5F65A9A5" w:rsidR="00AF719A" w:rsidRPr="00087168" w:rsidRDefault="00B43469" w:rsidP="005B04CE">
            <w:pPr>
              <w:keepNext/>
              <w:spacing w:after="60" w:line="360" w:lineRule="auto"/>
              <w:rPr>
                <w:rFonts w:ascii="Arial" w:hAnsi="Arial" w:cs="Arial"/>
              </w:rPr>
            </w:pPr>
            <w:r>
              <w:rPr>
                <w:rFonts w:ascii="Arial" w:hAnsi="Arial" w:cs="Arial"/>
              </w:rPr>
              <w:t>I</w:t>
            </w:r>
            <w:r w:rsidR="00C26AB9">
              <w:rPr>
                <w:rFonts w:ascii="Arial" w:hAnsi="Arial" w:cs="Arial"/>
              </w:rPr>
              <w:t>n Trial</w:t>
            </w:r>
            <w:r w:rsidRPr="00B43469">
              <w:rPr>
                <w:rFonts w:ascii="Arial" w:hAnsi="Arial" w:cs="Arial"/>
              </w:rPr>
              <w:t>1, a score of 2 was assigned because it is a clinical trial for a new drug, and therefore, it aims to exclude patients at higher risk of adverse events, leading to more stringent se</w:t>
            </w:r>
            <w:r>
              <w:rPr>
                <w:rFonts w:ascii="Arial" w:hAnsi="Arial" w:cs="Arial"/>
              </w:rPr>
              <w:t>lection criteria. Conversely, in</w:t>
            </w:r>
            <w:r w:rsidR="00C26AB9">
              <w:rPr>
                <w:rFonts w:ascii="Arial" w:hAnsi="Arial" w:cs="Arial"/>
              </w:rPr>
              <w:t xml:space="preserve"> Trial </w:t>
            </w:r>
            <w:r w:rsidRPr="00B43469">
              <w:rPr>
                <w:rFonts w:ascii="Arial" w:hAnsi="Arial" w:cs="Arial"/>
              </w:rPr>
              <w:t>2, the score was 5. In this scenario, the policymaker seeks to maximize the benefits for the elderly population within the jurisdiction, resulting in more lenient selection criteria</w:t>
            </w:r>
            <w:r>
              <w:rPr>
                <w:rFonts w:ascii="Arial" w:hAnsi="Arial" w:cs="Arial"/>
              </w:rPr>
              <w:t>.</w:t>
            </w:r>
          </w:p>
        </w:tc>
      </w:tr>
      <w:tr w:rsidR="00AF719A" w:rsidRPr="00087168" w14:paraId="0CAF1546" w14:textId="390E3F82" w:rsidTr="00AF719A">
        <w:tc>
          <w:tcPr>
            <w:tcW w:w="0" w:type="auto"/>
            <w:vAlign w:val="center"/>
          </w:tcPr>
          <w:p w14:paraId="537617A1" w14:textId="2118A299" w:rsidR="00AF719A" w:rsidRPr="00087168" w:rsidRDefault="00AF719A" w:rsidP="00087168">
            <w:pPr>
              <w:keepNext/>
              <w:spacing w:after="60" w:line="360" w:lineRule="auto"/>
              <w:jc w:val="center"/>
              <w:rPr>
                <w:rFonts w:ascii="Arial" w:hAnsi="Arial" w:cs="Arial"/>
              </w:rPr>
            </w:pPr>
            <w:r w:rsidRPr="00087168">
              <w:rPr>
                <w:rFonts w:ascii="Arial" w:hAnsi="Arial" w:cs="Arial"/>
                <w:color w:val="000000"/>
              </w:rPr>
              <w:t>Recruitment</w:t>
            </w:r>
          </w:p>
        </w:tc>
        <w:tc>
          <w:tcPr>
            <w:tcW w:w="1057" w:type="dxa"/>
            <w:vAlign w:val="center"/>
          </w:tcPr>
          <w:p w14:paraId="606568E1" w14:textId="35AD467E" w:rsidR="00AF719A" w:rsidRPr="00087168" w:rsidRDefault="00AF719A" w:rsidP="00087168">
            <w:pPr>
              <w:keepNext/>
              <w:spacing w:after="60" w:line="360" w:lineRule="auto"/>
              <w:jc w:val="center"/>
              <w:rPr>
                <w:rFonts w:ascii="Arial" w:hAnsi="Arial" w:cs="Arial"/>
              </w:rPr>
            </w:pPr>
            <w:r w:rsidRPr="00087168">
              <w:rPr>
                <w:rFonts w:ascii="Arial" w:hAnsi="Arial" w:cs="Arial"/>
              </w:rPr>
              <w:t>1</w:t>
            </w:r>
          </w:p>
        </w:tc>
        <w:tc>
          <w:tcPr>
            <w:tcW w:w="1057" w:type="dxa"/>
            <w:vAlign w:val="center"/>
          </w:tcPr>
          <w:p w14:paraId="2D756BA3" w14:textId="77777777" w:rsidR="00AF719A" w:rsidRPr="00087168" w:rsidRDefault="00AF719A" w:rsidP="00087168">
            <w:pPr>
              <w:keepNext/>
              <w:spacing w:after="60" w:line="360" w:lineRule="auto"/>
              <w:jc w:val="center"/>
              <w:rPr>
                <w:rFonts w:ascii="Arial" w:hAnsi="Arial" w:cs="Arial"/>
              </w:rPr>
            </w:pPr>
            <w:r w:rsidRPr="00087168">
              <w:rPr>
                <w:rFonts w:ascii="Arial" w:hAnsi="Arial" w:cs="Arial"/>
              </w:rPr>
              <w:t>5</w:t>
            </w:r>
          </w:p>
        </w:tc>
        <w:tc>
          <w:tcPr>
            <w:tcW w:w="4701" w:type="dxa"/>
            <w:vAlign w:val="center"/>
          </w:tcPr>
          <w:p w14:paraId="0AE6E05A" w14:textId="7131AC3C" w:rsidR="00C26AB9" w:rsidRPr="00087168" w:rsidRDefault="00C26AB9" w:rsidP="00C26AB9">
            <w:pPr>
              <w:keepNext/>
              <w:spacing w:after="60" w:line="360" w:lineRule="auto"/>
              <w:rPr>
                <w:rFonts w:ascii="Arial" w:hAnsi="Arial" w:cs="Arial"/>
              </w:rPr>
            </w:pPr>
            <w:r w:rsidRPr="00C26AB9">
              <w:rPr>
                <w:rFonts w:ascii="Arial" w:hAnsi="Arial" w:cs="Arial"/>
              </w:rPr>
              <w:t>In t</w:t>
            </w:r>
            <w:r>
              <w:rPr>
                <w:rFonts w:ascii="Arial" w:hAnsi="Arial" w:cs="Arial"/>
              </w:rPr>
              <w:t>he case of Trial 1, a score of 1</w:t>
            </w:r>
            <w:r w:rsidRPr="00C26AB9">
              <w:rPr>
                <w:rFonts w:ascii="Arial" w:hAnsi="Arial" w:cs="Arial"/>
              </w:rPr>
              <w:t xml:space="preserve"> was assigned because multiple efforts will be made during patient recruitment. This is because it involves a selected population of elderly adults, and the selection criteria were somewhat strict, so multiple strategies will be implemented to recruit participants.</w:t>
            </w:r>
            <w:r>
              <w:rPr>
                <w:rFonts w:ascii="Arial" w:hAnsi="Arial" w:cs="Arial"/>
              </w:rPr>
              <w:t xml:space="preserve"> In contrast, for T</w:t>
            </w:r>
            <w:r w:rsidRPr="00C26AB9">
              <w:rPr>
                <w:rFonts w:ascii="Arial" w:hAnsi="Arial" w:cs="Arial"/>
              </w:rPr>
              <w:t>rial</w:t>
            </w:r>
            <w:r>
              <w:rPr>
                <w:rFonts w:ascii="Arial" w:hAnsi="Arial" w:cs="Arial"/>
              </w:rPr>
              <w:t xml:space="preserve"> </w:t>
            </w:r>
            <w:r w:rsidRPr="00C26AB9">
              <w:rPr>
                <w:rFonts w:ascii="Arial" w:hAnsi="Arial" w:cs="Arial"/>
              </w:rPr>
              <w:t>2, a s</w:t>
            </w:r>
            <w:r>
              <w:rPr>
                <w:rFonts w:ascii="Arial" w:hAnsi="Arial" w:cs="Arial"/>
              </w:rPr>
              <w:t xml:space="preserve">core of 5 was assigned, </w:t>
            </w:r>
            <w:r w:rsidRPr="00C26AB9">
              <w:rPr>
                <w:rFonts w:ascii="Arial" w:hAnsi="Arial" w:cs="Arial"/>
              </w:rPr>
              <w:t>because</w:t>
            </w:r>
            <w:r>
              <w:rPr>
                <w:rFonts w:ascii="Arial" w:hAnsi="Arial" w:cs="Arial"/>
              </w:rPr>
              <w:t>,</w:t>
            </w:r>
            <w:r w:rsidRPr="00C26AB9">
              <w:rPr>
                <w:rFonts w:ascii="Arial" w:hAnsi="Arial" w:cs="Arial"/>
              </w:rPr>
              <w:t xml:space="preserve"> the intervention will be provided to all those who receive care on a routine basis at the jurisdiction's clinics, which will fac</w:t>
            </w:r>
            <w:r>
              <w:rPr>
                <w:rFonts w:ascii="Arial" w:hAnsi="Arial" w:cs="Arial"/>
              </w:rPr>
              <w:t>ilitate participant recruitment</w:t>
            </w:r>
          </w:p>
        </w:tc>
      </w:tr>
      <w:tr w:rsidR="00AF719A" w:rsidRPr="00087168" w14:paraId="0E17BC75" w14:textId="14DC6D51" w:rsidTr="00AF719A">
        <w:tc>
          <w:tcPr>
            <w:tcW w:w="0" w:type="auto"/>
            <w:vAlign w:val="center"/>
          </w:tcPr>
          <w:p w14:paraId="5573DC62" w14:textId="492280AD" w:rsidR="00AF719A" w:rsidRPr="00087168" w:rsidRDefault="00AF719A" w:rsidP="00087168">
            <w:pPr>
              <w:keepNext/>
              <w:spacing w:after="60" w:line="360" w:lineRule="auto"/>
              <w:jc w:val="center"/>
              <w:rPr>
                <w:rFonts w:ascii="Arial" w:hAnsi="Arial" w:cs="Arial"/>
              </w:rPr>
            </w:pPr>
            <w:r w:rsidRPr="00087168">
              <w:rPr>
                <w:rFonts w:ascii="Arial" w:hAnsi="Arial" w:cs="Arial"/>
                <w:color w:val="000000"/>
              </w:rPr>
              <w:t>Setting</w:t>
            </w:r>
          </w:p>
        </w:tc>
        <w:tc>
          <w:tcPr>
            <w:tcW w:w="1057" w:type="dxa"/>
            <w:vAlign w:val="center"/>
          </w:tcPr>
          <w:p w14:paraId="33CFD5BA" w14:textId="74755CBE" w:rsidR="00AF719A" w:rsidRPr="00087168" w:rsidRDefault="00AF719A" w:rsidP="00087168">
            <w:pPr>
              <w:keepNext/>
              <w:spacing w:after="60" w:line="360" w:lineRule="auto"/>
              <w:jc w:val="center"/>
              <w:rPr>
                <w:rFonts w:ascii="Arial" w:hAnsi="Arial" w:cs="Arial"/>
              </w:rPr>
            </w:pPr>
            <w:r w:rsidRPr="00087168">
              <w:rPr>
                <w:rFonts w:ascii="Arial" w:hAnsi="Arial" w:cs="Arial"/>
              </w:rPr>
              <w:t>1</w:t>
            </w:r>
          </w:p>
        </w:tc>
        <w:tc>
          <w:tcPr>
            <w:tcW w:w="1057" w:type="dxa"/>
            <w:vAlign w:val="center"/>
          </w:tcPr>
          <w:p w14:paraId="47471C5B" w14:textId="77777777" w:rsidR="00AF719A" w:rsidRPr="00087168" w:rsidRDefault="00AF719A" w:rsidP="00087168">
            <w:pPr>
              <w:keepNext/>
              <w:spacing w:after="60" w:line="360" w:lineRule="auto"/>
              <w:jc w:val="center"/>
              <w:rPr>
                <w:rFonts w:ascii="Arial" w:hAnsi="Arial" w:cs="Arial"/>
              </w:rPr>
            </w:pPr>
            <w:r w:rsidRPr="00087168">
              <w:rPr>
                <w:rFonts w:ascii="Arial" w:hAnsi="Arial" w:cs="Arial"/>
              </w:rPr>
              <w:t>5</w:t>
            </w:r>
          </w:p>
        </w:tc>
        <w:tc>
          <w:tcPr>
            <w:tcW w:w="4701" w:type="dxa"/>
            <w:vAlign w:val="center"/>
          </w:tcPr>
          <w:p w14:paraId="7B56A2E4" w14:textId="7ECB99A1" w:rsidR="00AF719A" w:rsidRPr="00087168" w:rsidRDefault="0057382E" w:rsidP="0057382E">
            <w:pPr>
              <w:keepNext/>
              <w:spacing w:after="60" w:line="360" w:lineRule="auto"/>
              <w:rPr>
                <w:rFonts w:ascii="Arial" w:hAnsi="Arial" w:cs="Arial"/>
              </w:rPr>
            </w:pPr>
            <w:r w:rsidRPr="0057382E">
              <w:rPr>
                <w:rFonts w:ascii="Arial" w:hAnsi="Arial" w:cs="Arial"/>
              </w:rPr>
              <w:t xml:space="preserve">For Trial 1, a score of 1 was assigned because it will be conducted in a single center, in a controlled environment, to constantly assess the safety of the treatment. This will require well-equipped </w:t>
            </w:r>
            <w:r w:rsidRPr="0057382E">
              <w:rPr>
                <w:rFonts w:ascii="Arial" w:hAnsi="Arial" w:cs="Arial"/>
              </w:rPr>
              <w:lastRenderedPageBreak/>
              <w:t>facilities, so it will be conducted at an academic cent</w:t>
            </w:r>
            <w:r>
              <w:rPr>
                <w:rFonts w:ascii="Arial" w:hAnsi="Arial" w:cs="Arial"/>
              </w:rPr>
              <w:t>er where the investigator works. F</w:t>
            </w:r>
            <w:r w:rsidRPr="0057382E">
              <w:rPr>
                <w:rFonts w:ascii="Arial" w:hAnsi="Arial" w:cs="Arial"/>
              </w:rPr>
              <w:t xml:space="preserve">or Trial 2, on the other hand, a score of 5 was assigned because it will be conducted in the </w:t>
            </w:r>
            <w:r>
              <w:rPr>
                <w:rFonts w:ascii="Arial" w:hAnsi="Arial" w:cs="Arial"/>
              </w:rPr>
              <w:t>setting</w:t>
            </w:r>
            <w:r w:rsidRPr="0057382E">
              <w:rPr>
                <w:rFonts w:ascii="Arial" w:hAnsi="Arial" w:cs="Arial"/>
              </w:rPr>
              <w:t xml:space="preserve"> where patients receive their usual care.</w:t>
            </w:r>
          </w:p>
        </w:tc>
      </w:tr>
      <w:tr w:rsidR="00AF719A" w:rsidRPr="00087168" w14:paraId="72F6FD03" w14:textId="12EE4951" w:rsidTr="00AF719A">
        <w:tc>
          <w:tcPr>
            <w:tcW w:w="0" w:type="auto"/>
            <w:vAlign w:val="center"/>
          </w:tcPr>
          <w:p w14:paraId="51E36A2F" w14:textId="4BAF566C" w:rsidR="00AF719A" w:rsidRPr="00087168" w:rsidRDefault="00AF719A" w:rsidP="00087168">
            <w:pPr>
              <w:keepNext/>
              <w:spacing w:after="60" w:line="360" w:lineRule="auto"/>
              <w:jc w:val="center"/>
              <w:rPr>
                <w:rFonts w:ascii="Arial" w:hAnsi="Arial" w:cs="Arial"/>
              </w:rPr>
            </w:pPr>
            <w:r w:rsidRPr="00087168">
              <w:rPr>
                <w:rFonts w:ascii="Arial" w:hAnsi="Arial" w:cs="Arial"/>
                <w:color w:val="000000"/>
              </w:rPr>
              <w:lastRenderedPageBreak/>
              <w:t>Organization</w:t>
            </w:r>
          </w:p>
        </w:tc>
        <w:tc>
          <w:tcPr>
            <w:tcW w:w="1057" w:type="dxa"/>
            <w:vAlign w:val="center"/>
          </w:tcPr>
          <w:p w14:paraId="3FA58F79" w14:textId="58DA8314" w:rsidR="00AF719A" w:rsidRPr="00087168" w:rsidRDefault="00AF719A" w:rsidP="00087168">
            <w:pPr>
              <w:keepNext/>
              <w:spacing w:after="60" w:line="360" w:lineRule="auto"/>
              <w:jc w:val="center"/>
              <w:rPr>
                <w:rFonts w:ascii="Arial" w:hAnsi="Arial" w:cs="Arial"/>
              </w:rPr>
            </w:pPr>
            <w:r w:rsidRPr="00087168">
              <w:rPr>
                <w:rFonts w:ascii="Arial" w:hAnsi="Arial" w:cs="Arial"/>
              </w:rPr>
              <w:t>1</w:t>
            </w:r>
          </w:p>
        </w:tc>
        <w:tc>
          <w:tcPr>
            <w:tcW w:w="1057" w:type="dxa"/>
            <w:vAlign w:val="center"/>
          </w:tcPr>
          <w:p w14:paraId="4D7DECEC" w14:textId="77777777" w:rsidR="00AF719A" w:rsidRPr="00087168" w:rsidRDefault="00AF719A" w:rsidP="00087168">
            <w:pPr>
              <w:keepNext/>
              <w:spacing w:after="60" w:line="360" w:lineRule="auto"/>
              <w:jc w:val="center"/>
              <w:rPr>
                <w:rFonts w:ascii="Arial" w:hAnsi="Arial" w:cs="Arial"/>
              </w:rPr>
            </w:pPr>
            <w:r w:rsidRPr="00087168">
              <w:rPr>
                <w:rFonts w:ascii="Arial" w:hAnsi="Arial" w:cs="Arial"/>
              </w:rPr>
              <w:t>5</w:t>
            </w:r>
          </w:p>
        </w:tc>
        <w:tc>
          <w:tcPr>
            <w:tcW w:w="4701" w:type="dxa"/>
            <w:vAlign w:val="center"/>
          </w:tcPr>
          <w:p w14:paraId="26AA9039" w14:textId="67E5E090" w:rsidR="00AF719A" w:rsidRPr="00087168" w:rsidRDefault="006F16E9" w:rsidP="00E5238C">
            <w:pPr>
              <w:keepNext/>
              <w:spacing w:after="60" w:line="360" w:lineRule="auto"/>
              <w:rPr>
                <w:rFonts w:ascii="Arial" w:hAnsi="Arial" w:cs="Arial"/>
              </w:rPr>
            </w:pPr>
            <w:r>
              <w:rPr>
                <w:rFonts w:ascii="Arial" w:hAnsi="Arial" w:cs="Arial"/>
              </w:rPr>
              <w:t xml:space="preserve">In </w:t>
            </w:r>
            <w:r w:rsidR="00E5238C" w:rsidRPr="00E5238C">
              <w:rPr>
                <w:rFonts w:ascii="Arial" w:hAnsi="Arial" w:cs="Arial"/>
              </w:rPr>
              <w:t>Trial 1, a score of 1 was assigned because, being a study of a new drug, it is necessary to have highly trained and certified personnel. On the other hand, for Trial 2, since it will be conducted where patients receive their usual treatment, infrastructures different from the usual ones are not expected, h</w:t>
            </w:r>
            <w:r w:rsidR="00E5238C">
              <w:rPr>
                <w:rFonts w:ascii="Arial" w:hAnsi="Arial" w:cs="Arial"/>
              </w:rPr>
              <w:t>ence a score of 5 was assigned.</w:t>
            </w:r>
          </w:p>
        </w:tc>
      </w:tr>
      <w:tr w:rsidR="00AF719A" w:rsidRPr="00087168" w14:paraId="49034F05" w14:textId="66429891" w:rsidTr="00AF719A">
        <w:tc>
          <w:tcPr>
            <w:tcW w:w="0" w:type="auto"/>
            <w:vAlign w:val="center"/>
          </w:tcPr>
          <w:p w14:paraId="2E95D3B6" w14:textId="20934474" w:rsidR="00AF719A" w:rsidRPr="00087168" w:rsidRDefault="00AF719A" w:rsidP="00087168">
            <w:pPr>
              <w:keepNext/>
              <w:spacing w:after="60" w:line="360" w:lineRule="auto"/>
              <w:jc w:val="center"/>
              <w:rPr>
                <w:rFonts w:ascii="Arial" w:hAnsi="Arial" w:cs="Arial"/>
              </w:rPr>
            </w:pPr>
            <w:r w:rsidRPr="00087168">
              <w:rPr>
                <w:rFonts w:ascii="Arial" w:hAnsi="Arial" w:cs="Arial"/>
                <w:color w:val="000000"/>
              </w:rPr>
              <w:t>Flexibility (delivery)</w:t>
            </w:r>
          </w:p>
        </w:tc>
        <w:tc>
          <w:tcPr>
            <w:tcW w:w="1057" w:type="dxa"/>
            <w:vAlign w:val="center"/>
          </w:tcPr>
          <w:p w14:paraId="08554FC8" w14:textId="1C6D77B3" w:rsidR="00AF719A" w:rsidRPr="00087168" w:rsidRDefault="00AF719A" w:rsidP="00087168">
            <w:pPr>
              <w:keepNext/>
              <w:spacing w:after="60" w:line="360" w:lineRule="auto"/>
              <w:jc w:val="center"/>
              <w:rPr>
                <w:rFonts w:ascii="Arial" w:hAnsi="Arial" w:cs="Arial"/>
              </w:rPr>
            </w:pPr>
            <w:r w:rsidRPr="00087168">
              <w:rPr>
                <w:rFonts w:ascii="Arial" w:hAnsi="Arial" w:cs="Arial"/>
              </w:rPr>
              <w:t>1</w:t>
            </w:r>
          </w:p>
        </w:tc>
        <w:tc>
          <w:tcPr>
            <w:tcW w:w="1057" w:type="dxa"/>
            <w:vAlign w:val="center"/>
          </w:tcPr>
          <w:p w14:paraId="4BE27084" w14:textId="77777777" w:rsidR="00AF719A" w:rsidRPr="00087168" w:rsidRDefault="00AF719A" w:rsidP="00087168">
            <w:pPr>
              <w:keepNext/>
              <w:spacing w:after="60" w:line="360" w:lineRule="auto"/>
              <w:jc w:val="center"/>
              <w:rPr>
                <w:rFonts w:ascii="Arial" w:hAnsi="Arial" w:cs="Arial"/>
              </w:rPr>
            </w:pPr>
            <w:r w:rsidRPr="00087168">
              <w:rPr>
                <w:rFonts w:ascii="Arial" w:hAnsi="Arial" w:cs="Arial"/>
              </w:rPr>
              <w:t>5</w:t>
            </w:r>
          </w:p>
        </w:tc>
        <w:tc>
          <w:tcPr>
            <w:tcW w:w="4701" w:type="dxa"/>
            <w:vAlign w:val="center"/>
          </w:tcPr>
          <w:p w14:paraId="5503272A" w14:textId="1DCA7921" w:rsidR="00AF719A" w:rsidRPr="00087168" w:rsidRDefault="00872434" w:rsidP="00872434">
            <w:pPr>
              <w:keepNext/>
              <w:spacing w:after="60" w:line="360" w:lineRule="auto"/>
              <w:rPr>
                <w:rFonts w:ascii="Arial" w:hAnsi="Arial" w:cs="Arial"/>
              </w:rPr>
            </w:pPr>
            <w:r>
              <w:rPr>
                <w:rFonts w:ascii="Arial" w:hAnsi="Arial" w:cs="Arial"/>
              </w:rPr>
              <w:t xml:space="preserve">In the case of </w:t>
            </w:r>
            <w:r w:rsidRPr="00872434">
              <w:rPr>
                <w:rFonts w:ascii="Arial" w:hAnsi="Arial" w:cs="Arial"/>
              </w:rPr>
              <w:t>Trial 1</w:t>
            </w:r>
            <w:r>
              <w:rPr>
                <w:rFonts w:ascii="Arial" w:hAnsi="Arial" w:cs="Arial"/>
              </w:rPr>
              <w:t>, a score</w:t>
            </w:r>
            <w:r w:rsidRPr="00872434">
              <w:rPr>
                <w:rFonts w:ascii="Arial" w:hAnsi="Arial" w:cs="Arial"/>
              </w:rPr>
              <w:t xml:space="preserve"> </w:t>
            </w:r>
            <w:r>
              <w:rPr>
                <w:rFonts w:ascii="Arial" w:hAnsi="Arial" w:cs="Arial"/>
              </w:rPr>
              <w:t xml:space="preserve">of 1 was assigned, </w:t>
            </w:r>
            <w:r w:rsidRPr="00872434">
              <w:rPr>
                <w:rFonts w:ascii="Arial" w:hAnsi="Arial" w:cs="Arial"/>
              </w:rPr>
              <w:t>because it is desired that the protocol be followed strictly</w:t>
            </w:r>
            <w:r>
              <w:rPr>
                <w:rFonts w:ascii="Arial" w:hAnsi="Arial" w:cs="Arial"/>
              </w:rPr>
              <w:t xml:space="preserve">, </w:t>
            </w:r>
            <w:r w:rsidRPr="00872434">
              <w:rPr>
                <w:rFonts w:ascii="Arial" w:hAnsi="Arial" w:cs="Arial"/>
              </w:rPr>
              <w:t>which is why measures will be taken to increase patient com</w:t>
            </w:r>
            <w:r>
              <w:rPr>
                <w:rFonts w:ascii="Arial" w:hAnsi="Arial" w:cs="Arial"/>
              </w:rPr>
              <w:t xml:space="preserve">pliance. </w:t>
            </w:r>
            <w:r w:rsidRPr="00872434">
              <w:rPr>
                <w:rFonts w:ascii="Arial" w:hAnsi="Arial" w:cs="Arial"/>
              </w:rPr>
              <w:t>Conversely, a score of 5 was assigned for Trial 2, where such measures will not be implemented, allowing for f</w:t>
            </w:r>
            <w:r>
              <w:rPr>
                <w:rFonts w:ascii="Arial" w:hAnsi="Arial" w:cs="Arial"/>
              </w:rPr>
              <w:t>lexibility in usual care.</w:t>
            </w:r>
          </w:p>
        </w:tc>
      </w:tr>
      <w:tr w:rsidR="00AF719A" w:rsidRPr="00087168" w14:paraId="4F6DD510" w14:textId="777F9AB9" w:rsidTr="00AF719A">
        <w:tc>
          <w:tcPr>
            <w:tcW w:w="0" w:type="auto"/>
            <w:vAlign w:val="center"/>
          </w:tcPr>
          <w:p w14:paraId="0A5B3B98" w14:textId="4CB5DA1A" w:rsidR="00AF719A" w:rsidRPr="00087168" w:rsidRDefault="00AF719A" w:rsidP="00087168">
            <w:pPr>
              <w:keepNext/>
              <w:spacing w:after="60" w:line="360" w:lineRule="auto"/>
              <w:jc w:val="center"/>
              <w:rPr>
                <w:rFonts w:ascii="Arial" w:hAnsi="Arial" w:cs="Arial"/>
              </w:rPr>
            </w:pPr>
            <w:r w:rsidRPr="00087168">
              <w:rPr>
                <w:rFonts w:ascii="Arial" w:hAnsi="Arial" w:cs="Arial"/>
                <w:color w:val="000000"/>
              </w:rPr>
              <w:t>Flexibility (adherence)</w:t>
            </w:r>
          </w:p>
        </w:tc>
        <w:tc>
          <w:tcPr>
            <w:tcW w:w="1057" w:type="dxa"/>
            <w:vAlign w:val="center"/>
          </w:tcPr>
          <w:p w14:paraId="1EFB4F35" w14:textId="44E7C41C" w:rsidR="00AF719A" w:rsidRPr="00087168" w:rsidRDefault="00AF719A" w:rsidP="00087168">
            <w:pPr>
              <w:keepNext/>
              <w:spacing w:after="60" w:line="360" w:lineRule="auto"/>
              <w:jc w:val="center"/>
              <w:rPr>
                <w:rFonts w:ascii="Arial" w:hAnsi="Arial" w:cs="Arial"/>
              </w:rPr>
            </w:pPr>
            <w:r w:rsidRPr="00087168">
              <w:rPr>
                <w:rFonts w:ascii="Arial" w:hAnsi="Arial" w:cs="Arial"/>
              </w:rPr>
              <w:t>2</w:t>
            </w:r>
          </w:p>
        </w:tc>
        <w:tc>
          <w:tcPr>
            <w:tcW w:w="1057" w:type="dxa"/>
            <w:vAlign w:val="center"/>
          </w:tcPr>
          <w:p w14:paraId="2A1A564F" w14:textId="77777777" w:rsidR="00AF719A" w:rsidRPr="00087168" w:rsidRDefault="00AF719A" w:rsidP="00087168">
            <w:pPr>
              <w:keepNext/>
              <w:spacing w:after="60" w:line="360" w:lineRule="auto"/>
              <w:jc w:val="center"/>
              <w:rPr>
                <w:rFonts w:ascii="Arial" w:hAnsi="Arial" w:cs="Arial"/>
              </w:rPr>
            </w:pPr>
            <w:r w:rsidRPr="00087168">
              <w:rPr>
                <w:rFonts w:ascii="Arial" w:hAnsi="Arial" w:cs="Arial"/>
              </w:rPr>
              <w:t>4</w:t>
            </w:r>
          </w:p>
        </w:tc>
        <w:tc>
          <w:tcPr>
            <w:tcW w:w="4701" w:type="dxa"/>
            <w:vAlign w:val="center"/>
          </w:tcPr>
          <w:p w14:paraId="73912EB8" w14:textId="59AF3F9F" w:rsidR="00AF719A" w:rsidRPr="00087168" w:rsidRDefault="006F16E9" w:rsidP="006F16E9">
            <w:pPr>
              <w:keepNext/>
              <w:spacing w:after="60" w:line="360" w:lineRule="auto"/>
              <w:rPr>
                <w:rFonts w:ascii="Arial" w:hAnsi="Arial" w:cs="Arial"/>
              </w:rPr>
            </w:pPr>
            <w:r>
              <w:rPr>
                <w:rFonts w:ascii="Arial" w:hAnsi="Arial" w:cs="Arial"/>
              </w:rPr>
              <w:t xml:space="preserve">For </w:t>
            </w:r>
            <w:r w:rsidR="00924B30" w:rsidRPr="00924B30">
              <w:rPr>
                <w:rFonts w:ascii="Arial" w:hAnsi="Arial" w:cs="Arial"/>
              </w:rPr>
              <w:t>Trial 1</w:t>
            </w:r>
            <w:r>
              <w:rPr>
                <w:rFonts w:ascii="Arial" w:hAnsi="Arial" w:cs="Arial"/>
              </w:rPr>
              <w:t>,</w:t>
            </w:r>
            <w:r w:rsidR="00924B30" w:rsidRPr="00924B30">
              <w:rPr>
                <w:rFonts w:ascii="Arial" w:hAnsi="Arial" w:cs="Arial"/>
              </w:rPr>
              <w:t xml:space="preserve"> a score of 2 </w:t>
            </w:r>
            <w:r>
              <w:rPr>
                <w:rFonts w:ascii="Arial" w:hAnsi="Arial" w:cs="Arial"/>
              </w:rPr>
              <w:t xml:space="preserve">was assigned since, </w:t>
            </w:r>
            <w:r w:rsidR="00924B30" w:rsidRPr="00924B30">
              <w:rPr>
                <w:rFonts w:ascii="Arial" w:hAnsi="Arial" w:cs="Arial"/>
              </w:rPr>
              <w:t xml:space="preserve">in this case, to preserve the benefits of randomization over treatment groups, this study </w:t>
            </w:r>
            <w:bookmarkStart w:id="0" w:name="_GoBack"/>
            <w:bookmarkEnd w:id="0"/>
            <w:r w:rsidR="00924B30" w:rsidRPr="00924B30">
              <w:rPr>
                <w:rFonts w:ascii="Arial" w:hAnsi="Arial" w:cs="Arial"/>
              </w:rPr>
              <w:t xml:space="preserve">will not exclude participants after randomization. Instead, other measures will be encouraged to promote patient adherence to the </w:t>
            </w:r>
            <w:r w:rsidR="00924B30">
              <w:rPr>
                <w:rFonts w:ascii="Arial" w:hAnsi="Arial" w:cs="Arial"/>
              </w:rPr>
              <w:lastRenderedPageBreak/>
              <w:t>intervention</w:t>
            </w:r>
            <w:r w:rsidR="00EA53D0">
              <w:rPr>
                <w:rFonts w:ascii="Arial" w:hAnsi="Arial" w:cs="Arial"/>
              </w:rPr>
              <w:t xml:space="preserve">. </w:t>
            </w:r>
            <w:r w:rsidR="00924B30">
              <w:rPr>
                <w:rFonts w:ascii="Arial" w:hAnsi="Arial" w:cs="Arial"/>
              </w:rPr>
              <w:t xml:space="preserve">On the contrary, for </w:t>
            </w:r>
            <w:r w:rsidR="00924B30" w:rsidRPr="00924B30">
              <w:rPr>
                <w:rFonts w:ascii="Arial" w:hAnsi="Arial" w:cs="Arial"/>
              </w:rPr>
              <w:t xml:space="preserve">Trial 2, a score of 4 was assigned because no patients will be excluded after randomization. Additionally, </w:t>
            </w:r>
            <w:r w:rsidR="00924B30" w:rsidRPr="00924B30">
              <w:rPr>
                <w:rFonts w:ascii="Arial" w:hAnsi="Arial" w:cs="Arial"/>
              </w:rPr>
              <w:t>not many measures will be implemented to increase adherence, but follow-up will be done by occasional phone calls.</w:t>
            </w:r>
          </w:p>
        </w:tc>
      </w:tr>
      <w:tr w:rsidR="00AF719A" w:rsidRPr="00087168" w14:paraId="78122F5A" w14:textId="7034846D" w:rsidTr="00AF719A">
        <w:tc>
          <w:tcPr>
            <w:tcW w:w="0" w:type="auto"/>
            <w:vAlign w:val="center"/>
          </w:tcPr>
          <w:p w14:paraId="3CBE9EAE" w14:textId="777CE79E" w:rsidR="00AF719A" w:rsidRPr="00087168" w:rsidRDefault="00AF719A" w:rsidP="00087168">
            <w:pPr>
              <w:keepNext/>
              <w:spacing w:after="60" w:line="360" w:lineRule="auto"/>
              <w:jc w:val="center"/>
              <w:rPr>
                <w:rFonts w:ascii="Arial" w:hAnsi="Arial" w:cs="Arial"/>
              </w:rPr>
            </w:pPr>
            <w:r w:rsidRPr="00087168">
              <w:rPr>
                <w:rFonts w:ascii="Arial" w:hAnsi="Arial" w:cs="Arial"/>
                <w:color w:val="000000"/>
              </w:rPr>
              <w:lastRenderedPageBreak/>
              <w:t>Follow up</w:t>
            </w:r>
          </w:p>
        </w:tc>
        <w:tc>
          <w:tcPr>
            <w:tcW w:w="1057" w:type="dxa"/>
            <w:vAlign w:val="center"/>
          </w:tcPr>
          <w:p w14:paraId="4393A1C7" w14:textId="6909EC64" w:rsidR="00AF719A" w:rsidRPr="00087168" w:rsidRDefault="00AF719A" w:rsidP="00087168">
            <w:pPr>
              <w:keepNext/>
              <w:spacing w:after="60" w:line="360" w:lineRule="auto"/>
              <w:jc w:val="center"/>
              <w:rPr>
                <w:rFonts w:ascii="Arial" w:hAnsi="Arial" w:cs="Arial"/>
              </w:rPr>
            </w:pPr>
            <w:r w:rsidRPr="00087168">
              <w:rPr>
                <w:rFonts w:ascii="Arial" w:hAnsi="Arial" w:cs="Arial"/>
              </w:rPr>
              <w:t>1</w:t>
            </w:r>
          </w:p>
        </w:tc>
        <w:tc>
          <w:tcPr>
            <w:tcW w:w="1057" w:type="dxa"/>
            <w:vAlign w:val="center"/>
          </w:tcPr>
          <w:p w14:paraId="11B21667" w14:textId="77777777" w:rsidR="00AF719A" w:rsidRPr="00087168" w:rsidRDefault="00AF719A" w:rsidP="00087168">
            <w:pPr>
              <w:keepNext/>
              <w:spacing w:after="60" w:line="360" w:lineRule="auto"/>
              <w:jc w:val="center"/>
              <w:rPr>
                <w:rFonts w:ascii="Arial" w:hAnsi="Arial" w:cs="Arial"/>
              </w:rPr>
            </w:pPr>
            <w:r w:rsidRPr="00087168">
              <w:rPr>
                <w:rFonts w:ascii="Arial" w:hAnsi="Arial" w:cs="Arial"/>
              </w:rPr>
              <w:t>3</w:t>
            </w:r>
          </w:p>
        </w:tc>
        <w:tc>
          <w:tcPr>
            <w:tcW w:w="4701" w:type="dxa"/>
            <w:vAlign w:val="center"/>
          </w:tcPr>
          <w:p w14:paraId="3A3B3E02" w14:textId="1B1E2820" w:rsidR="00D07951" w:rsidRPr="00087168" w:rsidRDefault="00D25798" w:rsidP="005A1782">
            <w:pPr>
              <w:keepNext/>
              <w:spacing w:after="60" w:line="360" w:lineRule="auto"/>
              <w:rPr>
                <w:rFonts w:ascii="Arial" w:hAnsi="Arial" w:cs="Arial"/>
              </w:rPr>
            </w:pPr>
            <w:r>
              <w:rPr>
                <w:rFonts w:ascii="Arial" w:hAnsi="Arial" w:cs="Arial"/>
              </w:rPr>
              <w:t>I</w:t>
            </w:r>
            <w:r w:rsidRPr="00D25798">
              <w:rPr>
                <w:rFonts w:ascii="Arial" w:hAnsi="Arial" w:cs="Arial"/>
              </w:rPr>
              <w:t>n the case of Trial 1, exclusive visits will be conducted for the evaluation of laboratory studies and adverse events, as study intentions. Therefore, a score of 1 was assigned.</w:t>
            </w:r>
            <w:r>
              <w:rPr>
                <w:rFonts w:ascii="Arial" w:hAnsi="Arial" w:cs="Arial"/>
              </w:rPr>
              <w:t xml:space="preserve"> </w:t>
            </w:r>
            <w:r w:rsidRPr="00D25798">
              <w:rPr>
                <w:rFonts w:ascii="Arial" w:hAnsi="Arial" w:cs="Arial"/>
              </w:rPr>
              <w:t xml:space="preserve">In Trial 2, a score of 3 was assigned because patients will not undergo the usual follow-up. Instead, there is an intention to evaluate secondary outcomes </w:t>
            </w:r>
            <w:r w:rsidR="005A1782" w:rsidRPr="005A1782">
              <w:rPr>
                <w:rFonts w:ascii="Arial" w:hAnsi="Arial" w:cs="Arial"/>
              </w:rPr>
              <w:t xml:space="preserve">to take advantage of the clinical trial infrastructure with a group of interested </w:t>
            </w:r>
            <w:r w:rsidR="005A1782">
              <w:rPr>
                <w:rFonts w:ascii="Arial" w:hAnsi="Arial" w:cs="Arial"/>
              </w:rPr>
              <w:t>researchers; therefore</w:t>
            </w:r>
            <w:r w:rsidR="005A1782" w:rsidRPr="005A1782">
              <w:rPr>
                <w:rFonts w:ascii="Arial" w:hAnsi="Arial" w:cs="Arial"/>
              </w:rPr>
              <w:t>, occ</w:t>
            </w:r>
            <w:r w:rsidR="005A1782">
              <w:rPr>
                <w:rFonts w:ascii="Arial" w:hAnsi="Arial" w:cs="Arial"/>
              </w:rPr>
              <w:t>asional visits will be implemented</w:t>
            </w:r>
            <w:r w:rsidR="005A1782" w:rsidRPr="005A1782">
              <w:rPr>
                <w:rFonts w:ascii="Arial" w:hAnsi="Arial" w:cs="Arial"/>
              </w:rPr>
              <w:t>.</w:t>
            </w:r>
          </w:p>
        </w:tc>
      </w:tr>
      <w:tr w:rsidR="00AF719A" w:rsidRPr="00087168" w14:paraId="2D851F27" w14:textId="2888E196" w:rsidTr="00AF719A">
        <w:tc>
          <w:tcPr>
            <w:tcW w:w="0" w:type="auto"/>
            <w:vAlign w:val="center"/>
          </w:tcPr>
          <w:p w14:paraId="0E632361" w14:textId="0DCE7FE1" w:rsidR="00AF719A" w:rsidRPr="00087168" w:rsidRDefault="00AF719A" w:rsidP="00087168">
            <w:pPr>
              <w:keepNext/>
              <w:spacing w:after="60" w:line="360" w:lineRule="auto"/>
              <w:jc w:val="center"/>
              <w:rPr>
                <w:rFonts w:ascii="Arial" w:hAnsi="Arial" w:cs="Arial"/>
              </w:rPr>
            </w:pPr>
            <w:r w:rsidRPr="00087168">
              <w:rPr>
                <w:rFonts w:ascii="Arial" w:hAnsi="Arial" w:cs="Arial"/>
                <w:color w:val="000000"/>
              </w:rPr>
              <w:t>Primary outcome</w:t>
            </w:r>
          </w:p>
        </w:tc>
        <w:tc>
          <w:tcPr>
            <w:tcW w:w="1057" w:type="dxa"/>
            <w:vAlign w:val="center"/>
          </w:tcPr>
          <w:p w14:paraId="6CAF89E7" w14:textId="77DA57B1" w:rsidR="00AF719A" w:rsidRPr="00087168" w:rsidRDefault="00AF719A" w:rsidP="00087168">
            <w:pPr>
              <w:keepNext/>
              <w:spacing w:after="60" w:line="360" w:lineRule="auto"/>
              <w:jc w:val="center"/>
              <w:rPr>
                <w:rFonts w:ascii="Arial" w:hAnsi="Arial" w:cs="Arial"/>
              </w:rPr>
            </w:pPr>
            <w:r w:rsidRPr="00087168">
              <w:rPr>
                <w:rFonts w:ascii="Arial" w:hAnsi="Arial" w:cs="Arial"/>
              </w:rPr>
              <w:t>2</w:t>
            </w:r>
          </w:p>
        </w:tc>
        <w:tc>
          <w:tcPr>
            <w:tcW w:w="1057" w:type="dxa"/>
            <w:vAlign w:val="center"/>
          </w:tcPr>
          <w:p w14:paraId="254A46A6" w14:textId="77777777" w:rsidR="00AF719A" w:rsidRPr="00087168" w:rsidRDefault="00AF719A" w:rsidP="00087168">
            <w:pPr>
              <w:keepNext/>
              <w:spacing w:after="60" w:line="360" w:lineRule="auto"/>
              <w:jc w:val="center"/>
              <w:rPr>
                <w:rFonts w:ascii="Arial" w:hAnsi="Arial" w:cs="Arial"/>
              </w:rPr>
            </w:pPr>
            <w:r w:rsidRPr="00087168">
              <w:rPr>
                <w:rFonts w:ascii="Arial" w:hAnsi="Arial" w:cs="Arial"/>
              </w:rPr>
              <w:t>5</w:t>
            </w:r>
          </w:p>
        </w:tc>
        <w:tc>
          <w:tcPr>
            <w:tcW w:w="4701" w:type="dxa"/>
            <w:vAlign w:val="center"/>
          </w:tcPr>
          <w:p w14:paraId="170B488D" w14:textId="74871D26" w:rsidR="00AF719A" w:rsidRPr="00087168" w:rsidRDefault="00C87546" w:rsidP="003C646A">
            <w:pPr>
              <w:keepNext/>
              <w:spacing w:after="60" w:line="360" w:lineRule="auto"/>
              <w:rPr>
                <w:rFonts w:ascii="Arial" w:hAnsi="Arial" w:cs="Arial"/>
              </w:rPr>
            </w:pPr>
            <w:r w:rsidRPr="00C87546">
              <w:rPr>
                <w:rFonts w:ascii="Arial" w:hAnsi="Arial" w:cs="Arial"/>
              </w:rPr>
              <w:t>For Trial 1, due to its high cost associated with evaluating the drug's safety and efficacy, resources for long-term follow-up, which would be desirable, are not available. Therefore, a change in an advanced coronary artery imaging study will be used as the primary outcome.</w:t>
            </w:r>
            <w:r>
              <w:rPr>
                <w:rFonts w:ascii="Arial" w:hAnsi="Arial" w:cs="Arial"/>
              </w:rPr>
              <w:t xml:space="preserve"> </w:t>
            </w:r>
            <w:r w:rsidRPr="00C87546">
              <w:rPr>
                <w:rFonts w:ascii="Arial" w:hAnsi="Arial" w:cs="Arial"/>
              </w:rPr>
              <w:t xml:space="preserve">Despite leaning more towards the explanatory spectrum, the knowledge of whether there is a change or deterioration in cardiac function may be relevant to the patient. Therefore, a score of 2 was </w:t>
            </w:r>
            <w:r w:rsidRPr="00C87546">
              <w:rPr>
                <w:rFonts w:ascii="Arial" w:hAnsi="Arial" w:cs="Arial"/>
              </w:rPr>
              <w:lastRenderedPageBreak/>
              <w:t>assigned.</w:t>
            </w:r>
            <w:r>
              <w:rPr>
                <w:rFonts w:ascii="Arial" w:hAnsi="Arial" w:cs="Arial"/>
              </w:rPr>
              <w:t xml:space="preserve"> In contrast, T</w:t>
            </w:r>
            <w:r w:rsidRPr="00C87546">
              <w:rPr>
                <w:rFonts w:ascii="Arial" w:hAnsi="Arial" w:cs="Arial"/>
              </w:rPr>
              <w:t xml:space="preserve">rial 2 was assigned a score of 5 because it will assess in the long term those who will develop secondary cardiovascular events versus those who will not. </w:t>
            </w:r>
            <w:r w:rsidR="003C646A" w:rsidRPr="003C646A">
              <w:rPr>
                <w:rFonts w:ascii="Arial" w:hAnsi="Arial" w:cs="Arial"/>
              </w:rPr>
              <w:t>Therefore, this outcome holds great importance and relevance for patients</w:t>
            </w:r>
            <w:r w:rsidR="003C646A">
              <w:rPr>
                <w:rFonts w:ascii="Arial" w:hAnsi="Arial" w:cs="Arial"/>
              </w:rPr>
              <w:t>.</w:t>
            </w:r>
            <w:r>
              <w:rPr>
                <w:rFonts w:ascii="Arial" w:hAnsi="Arial" w:cs="Arial"/>
              </w:rPr>
              <w:t xml:space="preserve"> </w:t>
            </w:r>
          </w:p>
        </w:tc>
      </w:tr>
      <w:tr w:rsidR="00AF719A" w:rsidRPr="00087168" w14:paraId="07DD53FF" w14:textId="72ACC1B3" w:rsidTr="00AF719A">
        <w:tc>
          <w:tcPr>
            <w:tcW w:w="0" w:type="auto"/>
            <w:vAlign w:val="center"/>
          </w:tcPr>
          <w:p w14:paraId="1A856F6E" w14:textId="460C885F" w:rsidR="00AF719A" w:rsidRPr="00087168" w:rsidRDefault="00AF719A" w:rsidP="00087168">
            <w:pPr>
              <w:keepNext/>
              <w:spacing w:after="60" w:line="360" w:lineRule="auto"/>
              <w:jc w:val="center"/>
              <w:rPr>
                <w:rFonts w:ascii="Arial" w:hAnsi="Arial" w:cs="Arial"/>
              </w:rPr>
            </w:pPr>
            <w:r w:rsidRPr="00087168">
              <w:rPr>
                <w:rFonts w:ascii="Arial" w:hAnsi="Arial" w:cs="Arial"/>
                <w:color w:val="000000"/>
              </w:rPr>
              <w:lastRenderedPageBreak/>
              <w:t>Primary analysis</w:t>
            </w:r>
          </w:p>
        </w:tc>
        <w:tc>
          <w:tcPr>
            <w:tcW w:w="1057" w:type="dxa"/>
            <w:vAlign w:val="center"/>
          </w:tcPr>
          <w:p w14:paraId="6708F4A1" w14:textId="0C51004E" w:rsidR="00AF719A" w:rsidRPr="00087168" w:rsidRDefault="00AF719A" w:rsidP="00087168">
            <w:pPr>
              <w:keepNext/>
              <w:spacing w:after="60" w:line="360" w:lineRule="auto"/>
              <w:jc w:val="center"/>
              <w:rPr>
                <w:rFonts w:ascii="Arial" w:hAnsi="Arial" w:cs="Arial"/>
              </w:rPr>
            </w:pPr>
            <w:r w:rsidRPr="00087168">
              <w:rPr>
                <w:rFonts w:ascii="Arial" w:hAnsi="Arial" w:cs="Arial"/>
              </w:rPr>
              <w:t>3</w:t>
            </w:r>
          </w:p>
        </w:tc>
        <w:tc>
          <w:tcPr>
            <w:tcW w:w="1057" w:type="dxa"/>
            <w:vAlign w:val="center"/>
          </w:tcPr>
          <w:p w14:paraId="5D9DC00B" w14:textId="77777777" w:rsidR="00AF719A" w:rsidRPr="00087168" w:rsidRDefault="00AF719A" w:rsidP="00087168">
            <w:pPr>
              <w:keepNext/>
              <w:spacing w:after="60" w:line="360" w:lineRule="auto"/>
              <w:jc w:val="center"/>
              <w:rPr>
                <w:rFonts w:ascii="Arial" w:hAnsi="Arial" w:cs="Arial"/>
              </w:rPr>
            </w:pPr>
            <w:r w:rsidRPr="00087168">
              <w:rPr>
                <w:rFonts w:ascii="Arial" w:hAnsi="Arial" w:cs="Arial"/>
              </w:rPr>
              <w:t>5</w:t>
            </w:r>
          </w:p>
        </w:tc>
        <w:tc>
          <w:tcPr>
            <w:tcW w:w="4701" w:type="dxa"/>
            <w:vAlign w:val="center"/>
          </w:tcPr>
          <w:p w14:paraId="2428DFF2" w14:textId="750CFE51" w:rsidR="00AF719A" w:rsidRPr="00087168" w:rsidRDefault="009B4E1F" w:rsidP="006F16E9">
            <w:pPr>
              <w:keepNext/>
              <w:spacing w:after="60" w:line="360" w:lineRule="auto"/>
              <w:rPr>
                <w:rFonts w:ascii="Arial" w:hAnsi="Arial" w:cs="Arial"/>
              </w:rPr>
            </w:pPr>
            <w:r>
              <w:rPr>
                <w:rFonts w:ascii="Arial" w:hAnsi="Arial" w:cs="Arial"/>
              </w:rPr>
              <w:t>In Trial 1, a score of 3 was assigned</w:t>
            </w:r>
            <w:r>
              <w:t xml:space="preserve"> </w:t>
            </w:r>
            <w:r w:rsidRPr="009B4E1F">
              <w:rPr>
                <w:rFonts w:ascii="Arial" w:hAnsi="Arial" w:cs="Arial"/>
              </w:rPr>
              <w:t>because, as mentioned earlier, patients will not b</w:t>
            </w:r>
            <w:r w:rsidR="006F16E9">
              <w:rPr>
                <w:rFonts w:ascii="Arial" w:hAnsi="Arial" w:cs="Arial"/>
              </w:rPr>
              <w:t>e excluded with the intention of</w:t>
            </w:r>
            <w:r w:rsidRPr="009B4E1F">
              <w:rPr>
                <w:rFonts w:ascii="Arial" w:hAnsi="Arial" w:cs="Arial"/>
              </w:rPr>
              <w:t xml:space="preserve"> preserving the benefits of randomization. Therefore, an intention-to-treat analysis will be conducted, but there is also interest in performing a per-protocol analysis. Since both analyses are contemplated, a score of 3 is assigned. Lastly, Trial 2 has a score of 5 because </w:t>
            </w:r>
            <w:r w:rsidR="006F16E9">
              <w:rPr>
                <w:rFonts w:ascii="Arial" w:hAnsi="Arial" w:cs="Arial"/>
              </w:rPr>
              <w:t xml:space="preserve">in this case </w:t>
            </w:r>
            <w:r w:rsidRPr="009B4E1F">
              <w:rPr>
                <w:rFonts w:ascii="Arial" w:hAnsi="Arial" w:cs="Arial"/>
              </w:rPr>
              <w:t>an intention-to-treat analysis is intended without excluding patients after randomization.</w:t>
            </w:r>
            <w:r>
              <w:rPr>
                <w:rFonts w:ascii="Arial" w:hAnsi="Arial" w:cs="Arial"/>
              </w:rPr>
              <w:t xml:space="preserve"> </w:t>
            </w:r>
          </w:p>
        </w:tc>
      </w:tr>
      <w:tr w:rsidR="00AF719A" w:rsidRPr="00087168" w14:paraId="7117FD30" w14:textId="73258E97" w:rsidTr="00AF719A">
        <w:tc>
          <w:tcPr>
            <w:tcW w:w="0" w:type="auto"/>
            <w:vAlign w:val="center"/>
          </w:tcPr>
          <w:p w14:paraId="31BBECDB" w14:textId="2C5D8B92" w:rsidR="00AF719A" w:rsidRPr="00087168" w:rsidRDefault="00682DDF" w:rsidP="00087168">
            <w:pPr>
              <w:keepNext/>
              <w:spacing w:after="60" w:line="360" w:lineRule="auto"/>
              <w:jc w:val="center"/>
              <w:rPr>
                <w:rFonts w:ascii="Arial" w:hAnsi="Arial" w:cs="Arial"/>
                <w:b/>
                <w:bCs/>
                <w:color w:val="000000"/>
              </w:rPr>
            </w:pPr>
            <w:r>
              <w:rPr>
                <w:rFonts w:ascii="Arial" w:hAnsi="Arial" w:cs="Arial"/>
                <w:b/>
                <w:bCs/>
              </w:rPr>
              <w:t>Average score</w:t>
            </w:r>
          </w:p>
        </w:tc>
        <w:tc>
          <w:tcPr>
            <w:tcW w:w="1057" w:type="dxa"/>
            <w:vAlign w:val="center"/>
          </w:tcPr>
          <w:p w14:paraId="117A5E56" w14:textId="7804301B" w:rsidR="00AF719A" w:rsidRPr="00087168" w:rsidRDefault="00AF719A" w:rsidP="00087168">
            <w:pPr>
              <w:keepNext/>
              <w:spacing w:after="60" w:line="360" w:lineRule="auto"/>
              <w:jc w:val="center"/>
              <w:rPr>
                <w:rFonts w:ascii="Arial" w:hAnsi="Arial" w:cs="Arial"/>
                <w:b/>
                <w:bCs/>
              </w:rPr>
            </w:pPr>
            <w:r w:rsidRPr="00087168">
              <w:rPr>
                <w:rFonts w:ascii="Arial" w:hAnsi="Arial" w:cs="Arial"/>
                <w:b/>
                <w:bCs/>
              </w:rPr>
              <w:t>1.6</w:t>
            </w:r>
          </w:p>
        </w:tc>
        <w:tc>
          <w:tcPr>
            <w:tcW w:w="1057" w:type="dxa"/>
            <w:vAlign w:val="center"/>
          </w:tcPr>
          <w:p w14:paraId="1E81B561" w14:textId="53B6629C" w:rsidR="00AF719A" w:rsidRPr="00087168" w:rsidRDefault="00AF719A" w:rsidP="00087168">
            <w:pPr>
              <w:keepNext/>
              <w:spacing w:after="60" w:line="360" w:lineRule="auto"/>
              <w:jc w:val="center"/>
              <w:rPr>
                <w:rFonts w:ascii="Arial" w:hAnsi="Arial" w:cs="Arial"/>
                <w:b/>
                <w:bCs/>
              </w:rPr>
            </w:pPr>
            <w:r w:rsidRPr="00087168">
              <w:rPr>
                <w:rFonts w:ascii="Arial" w:hAnsi="Arial" w:cs="Arial"/>
                <w:b/>
                <w:bCs/>
              </w:rPr>
              <w:t>4.7</w:t>
            </w:r>
          </w:p>
        </w:tc>
        <w:tc>
          <w:tcPr>
            <w:tcW w:w="4701" w:type="dxa"/>
            <w:vAlign w:val="center"/>
          </w:tcPr>
          <w:p w14:paraId="351B1F8A" w14:textId="77777777" w:rsidR="00AF719A" w:rsidRPr="00087168" w:rsidRDefault="00AF719A" w:rsidP="00AF719A">
            <w:pPr>
              <w:keepNext/>
              <w:spacing w:after="60" w:line="360" w:lineRule="auto"/>
              <w:rPr>
                <w:rFonts w:ascii="Arial" w:hAnsi="Arial" w:cs="Arial"/>
              </w:rPr>
            </w:pPr>
          </w:p>
        </w:tc>
      </w:tr>
    </w:tbl>
    <w:p w14:paraId="50EC03A0" w14:textId="77777777" w:rsidR="00A9740E" w:rsidRDefault="00A9740E">
      <w:pPr>
        <w:pStyle w:val="FirstParagraph"/>
      </w:pPr>
    </w:p>
    <w:sectPr w:rsidR="00A9740E">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4F788B" w14:textId="77777777" w:rsidR="00F64E84" w:rsidRDefault="00F64E84">
      <w:pPr>
        <w:spacing w:after="0"/>
      </w:pPr>
      <w:r>
        <w:separator/>
      </w:r>
    </w:p>
  </w:endnote>
  <w:endnote w:type="continuationSeparator" w:id="0">
    <w:p w14:paraId="5C26A062" w14:textId="77777777" w:rsidR="00F64E84" w:rsidRDefault="00F64E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CF2722" w14:textId="77777777" w:rsidR="00F64E84" w:rsidRDefault="00F64E84">
      <w:r>
        <w:separator/>
      </w:r>
    </w:p>
  </w:footnote>
  <w:footnote w:type="continuationSeparator" w:id="0">
    <w:p w14:paraId="73AA47CB" w14:textId="77777777" w:rsidR="00F64E84" w:rsidRDefault="00F64E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0"/>
    <w:multiLevelType w:val="multilevel"/>
    <w:tmpl w:val="E2464A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A9740E"/>
    <w:rsid w:val="00087168"/>
    <w:rsid w:val="001D0041"/>
    <w:rsid w:val="003C646A"/>
    <w:rsid w:val="003D386A"/>
    <w:rsid w:val="0057382E"/>
    <w:rsid w:val="005A1782"/>
    <w:rsid w:val="005B04CE"/>
    <w:rsid w:val="00617484"/>
    <w:rsid w:val="00682DDF"/>
    <w:rsid w:val="006F16E9"/>
    <w:rsid w:val="008328E6"/>
    <w:rsid w:val="00872434"/>
    <w:rsid w:val="00905D44"/>
    <w:rsid w:val="00924B30"/>
    <w:rsid w:val="009441BF"/>
    <w:rsid w:val="009B4E1F"/>
    <w:rsid w:val="00A1258E"/>
    <w:rsid w:val="00A9740E"/>
    <w:rsid w:val="00AF719A"/>
    <w:rsid w:val="00B43469"/>
    <w:rsid w:val="00C26AB9"/>
    <w:rsid w:val="00C843F4"/>
    <w:rsid w:val="00C87546"/>
    <w:rsid w:val="00D07951"/>
    <w:rsid w:val="00D25798"/>
    <w:rsid w:val="00E5238C"/>
    <w:rsid w:val="00EA53D0"/>
    <w:rsid w:val="00F64E8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C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Epgrafe">
    <w:name w:val="caption"/>
    <w:basedOn w:val="Normal"/>
    <w:link w:val="EpgrafeCar"/>
    <w:pPr>
      <w:spacing w:after="120"/>
    </w:pPr>
    <w:rPr>
      <w:i/>
    </w:rPr>
  </w:style>
  <w:style w:type="paragraph" w:customStyle="1" w:styleId="TableCaption">
    <w:name w:val="Table Caption"/>
    <w:basedOn w:val="Epgrafe"/>
    <w:pPr>
      <w:keepNext/>
    </w:pPr>
  </w:style>
  <w:style w:type="paragraph" w:customStyle="1" w:styleId="ImageCaption">
    <w:name w:val="Image Caption"/>
    <w:basedOn w:val="Epgraf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EpgrafeCar">
    <w:name w:val="Epígrafe Car"/>
    <w:basedOn w:val="Fuentedeprrafopredeter"/>
    <w:link w:val="Epgrafe"/>
  </w:style>
  <w:style w:type="character" w:customStyle="1" w:styleId="VerbatimChar">
    <w:name w:val="Verbatim Char"/>
    <w:basedOn w:val="EpgrafeCar"/>
    <w:link w:val="SourceCode"/>
    <w:rPr>
      <w:rFonts w:ascii="Consolas" w:hAnsi="Consolas"/>
      <w:sz w:val="22"/>
    </w:rPr>
  </w:style>
  <w:style w:type="character" w:customStyle="1" w:styleId="SectionNumber">
    <w:name w:val="Section Number"/>
    <w:basedOn w:val="EpgrafeCar"/>
  </w:style>
  <w:style w:type="character" w:styleId="Refdenotaalpie">
    <w:name w:val="footnote reference"/>
    <w:basedOn w:val="EpgrafeCar"/>
    <w:rPr>
      <w:vertAlign w:val="superscript"/>
    </w:rPr>
  </w:style>
  <w:style w:type="character" w:styleId="Hipervnculo">
    <w:name w:val="Hyperlink"/>
    <w:basedOn w:val="EpgrafeCar"/>
    <w:rPr>
      <w:color w:val="4F81BD" w:themeColor="accent1"/>
    </w:rPr>
  </w:style>
  <w:style w:type="paragraph" w:styleId="Ttulode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customStyle="1" w:styleId="GridTableLight">
    <w:name w:val="Grid Table Light"/>
    <w:basedOn w:val="Tablanormal"/>
    <w:rsid w:val="00087168"/>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concuadrcula">
    <w:name w:val="Table Grid"/>
    <w:basedOn w:val="Tablanormal"/>
    <w:rsid w:val="0008716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235911">
      <w:bodyDiv w:val="1"/>
      <w:marLeft w:val="0"/>
      <w:marRight w:val="0"/>
      <w:marTop w:val="0"/>
      <w:marBottom w:val="0"/>
      <w:divBdr>
        <w:top w:val="none" w:sz="0" w:space="0" w:color="auto"/>
        <w:left w:val="none" w:sz="0" w:space="0" w:color="auto"/>
        <w:bottom w:val="none" w:sz="0" w:space="0" w:color="auto"/>
        <w:right w:val="none" w:sz="0" w:space="0" w:color="auto"/>
      </w:divBdr>
    </w:div>
    <w:div w:id="17704620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23C1F-F0A5-4668-B80A-E4614F9DA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4</Pages>
  <Words>692</Words>
  <Characters>3807</Characters>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2024-03-31T23:07:00Z</dcterms:created>
  <dcterms:modified xsi:type="dcterms:W3CDTF">2024-04-01T05:35:00Z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http://www.zotero.org/styles/anesthesia-and-analgesia</vt:lpwstr>
  </property>
  <property fmtid="{D5CDD505-2E9C-101B-9397-08002B2CF9AE}" pid="3" name="Mendeley Recent Style Name 0_1">
    <vt:lpwstr>Anesthesia and Analgesia</vt:lpwstr>
  </property>
  <property fmtid="{D5CDD505-2E9C-101B-9397-08002B2CF9AE}" pid="4" name="Mendeley Recent Style Id 1_1">
    <vt:lpwstr>http://www.zotero.org/styles/anesthesiology</vt:lpwstr>
  </property>
  <property fmtid="{D5CDD505-2E9C-101B-9397-08002B2CF9AE}" pid="5" name="Mendeley Recent Style Name 1_1">
    <vt:lpwstr>Anesthesiology</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12th edition - Harvard</vt:lpwstr>
  </property>
  <property fmtid="{D5CDD505-2E9C-101B-9397-08002B2CF9AE}" pid="8" name="Mendeley Recent Style Id 3_1">
    <vt:lpwstr>http://www.zotero.org/styles/critical-care</vt:lpwstr>
  </property>
  <property fmtid="{D5CDD505-2E9C-101B-9397-08002B2CF9AE}" pid="9" name="Mendeley Recent Style Name 3_1">
    <vt:lpwstr>Critical Care</vt:lpwstr>
  </property>
  <property fmtid="{D5CDD505-2E9C-101B-9397-08002B2CF9AE}" pid="10" name="Mendeley Recent Style Id 4_1">
    <vt:lpwstr>http://www.zotero.org/styles/european-respiratory-journal</vt:lpwstr>
  </property>
  <property fmtid="{D5CDD505-2E9C-101B-9397-08002B2CF9AE}" pid="11" name="Mendeley Recent Style Name 4_1">
    <vt:lpwstr>European Respiratory Journal</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