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0C4AD" w14:textId="52EA8EAE" w:rsidR="00B5060E" w:rsidRPr="005865D6" w:rsidRDefault="00D51762" w:rsidP="00B5060E">
      <w:pPr>
        <w:spacing w:line="360" w:lineRule="auto"/>
        <w:jc w:val="center"/>
        <w:rPr>
          <w:rFonts w:ascii="Arial" w:hAnsi="Arial" w:cs="Arial"/>
          <w:b/>
          <w:bCs/>
          <w:sz w:val="28"/>
          <w:szCs w:val="28"/>
          <w:lang w:val="en-US"/>
        </w:rPr>
      </w:pPr>
      <w:r w:rsidRPr="005865D6">
        <w:rPr>
          <w:rFonts w:ascii="Arial" w:hAnsi="Arial" w:cs="Arial"/>
          <w:b/>
          <w:bCs/>
          <w:sz w:val="28"/>
          <w:szCs w:val="28"/>
          <w:lang w:val="en-US"/>
        </w:rPr>
        <w:t xml:space="preserve">Preoperative </w:t>
      </w:r>
      <w:r w:rsidR="00FA3DD9" w:rsidRPr="005865D6">
        <w:rPr>
          <w:rFonts w:ascii="Arial" w:hAnsi="Arial" w:cs="Arial"/>
          <w:b/>
          <w:bCs/>
          <w:sz w:val="28"/>
          <w:szCs w:val="28"/>
          <w:lang w:val="en-US"/>
        </w:rPr>
        <w:t xml:space="preserve">atelectasis in patients with obesity </w:t>
      </w:r>
      <w:r w:rsidR="001153A4">
        <w:rPr>
          <w:rFonts w:ascii="Arial" w:hAnsi="Arial" w:cs="Arial"/>
          <w:b/>
          <w:bCs/>
          <w:sz w:val="28"/>
          <w:szCs w:val="28"/>
          <w:lang w:val="en-US"/>
        </w:rPr>
        <w:t>undergoing</w:t>
      </w:r>
      <w:r w:rsidR="00263CE0" w:rsidRPr="005865D6">
        <w:rPr>
          <w:rFonts w:ascii="Arial" w:hAnsi="Arial" w:cs="Arial"/>
          <w:b/>
          <w:bCs/>
          <w:sz w:val="28"/>
          <w:szCs w:val="28"/>
          <w:lang w:val="en-US"/>
        </w:rPr>
        <w:t xml:space="preserve"> bariatric surgery: a cross-sectional </w:t>
      </w:r>
      <w:proofErr w:type="gramStart"/>
      <w:r w:rsidR="00263CE0" w:rsidRPr="005865D6">
        <w:rPr>
          <w:rFonts w:ascii="Arial" w:hAnsi="Arial" w:cs="Arial"/>
          <w:b/>
          <w:bCs/>
          <w:sz w:val="28"/>
          <w:szCs w:val="28"/>
          <w:lang w:val="en-US"/>
        </w:rPr>
        <w:t>study</w:t>
      </w:r>
      <w:proofErr w:type="gramEnd"/>
    </w:p>
    <w:p w14:paraId="77E5DEBC" w14:textId="77777777" w:rsidR="00B5060E" w:rsidRPr="005865D6" w:rsidRDefault="00B5060E" w:rsidP="00B5060E">
      <w:pPr>
        <w:spacing w:line="360" w:lineRule="auto"/>
        <w:rPr>
          <w:rFonts w:ascii="Arial" w:hAnsi="Arial" w:cs="Arial"/>
          <w:b/>
          <w:bCs/>
          <w:sz w:val="28"/>
          <w:szCs w:val="28"/>
          <w:lang w:val="en-US"/>
        </w:rPr>
      </w:pPr>
      <w:r w:rsidRPr="005865D6">
        <w:rPr>
          <w:rFonts w:ascii="Arial" w:hAnsi="Arial" w:cs="Arial"/>
          <w:b/>
          <w:bCs/>
          <w:sz w:val="28"/>
          <w:szCs w:val="28"/>
          <w:lang w:val="en-US"/>
        </w:rPr>
        <w:t xml:space="preserve"> </w:t>
      </w:r>
    </w:p>
    <w:p w14:paraId="489ED3D9" w14:textId="5C388434" w:rsidR="00B5060E" w:rsidRPr="005865D6" w:rsidRDefault="00B5060E" w:rsidP="00B5060E">
      <w:pPr>
        <w:spacing w:line="360" w:lineRule="auto"/>
        <w:jc w:val="both"/>
        <w:rPr>
          <w:rFonts w:ascii="Arial" w:hAnsi="Arial" w:cs="Arial"/>
          <w:lang w:val="en-US"/>
        </w:rPr>
      </w:pPr>
      <w:r w:rsidRPr="005865D6">
        <w:rPr>
          <w:rFonts w:ascii="Arial" w:hAnsi="Arial" w:cs="Arial"/>
          <w:lang w:val="en-US"/>
        </w:rPr>
        <w:t>Javier Mancilla-Galindo,</w:t>
      </w:r>
      <w:r w:rsidRPr="005865D6">
        <w:rPr>
          <w:rFonts w:ascii="Arial" w:hAnsi="Arial" w:cs="Arial"/>
          <w:vertAlign w:val="superscript"/>
          <w:lang w:val="en-US"/>
        </w:rPr>
        <w:t>1</w:t>
      </w:r>
      <w:r w:rsidRPr="005865D6">
        <w:rPr>
          <w:rFonts w:ascii="Arial" w:hAnsi="Arial" w:cs="Arial"/>
          <w:lang w:val="en-US"/>
        </w:rPr>
        <w:t xml:space="preserve"> </w:t>
      </w:r>
      <w:proofErr w:type="spellStart"/>
      <w:r w:rsidRPr="005865D6">
        <w:rPr>
          <w:rFonts w:ascii="Arial" w:hAnsi="Arial" w:cs="Arial"/>
          <w:lang w:val="en-US"/>
        </w:rPr>
        <w:t>Ashuin</w:t>
      </w:r>
      <w:proofErr w:type="spellEnd"/>
      <w:r w:rsidRPr="005865D6">
        <w:rPr>
          <w:rFonts w:ascii="Arial" w:hAnsi="Arial" w:cs="Arial"/>
          <w:lang w:val="en-US"/>
        </w:rPr>
        <w:t xml:space="preserve"> Kammar-García,</w:t>
      </w:r>
      <w:proofErr w:type="gramStart"/>
      <w:r w:rsidRPr="005865D6">
        <w:rPr>
          <w:rFonts w:ascii="Arial" w:hAnsi="Arial" w:cs="Arial"/>
          <w:vertAlign w:val="superscript"/>
          <w:lang w:val="en-US"/>
        </w:rPr>
        <w:t>2,</w:t>
      </w:r>
      <w:r w:rsidRPr="005865D6">
        <w:rPr>
          <w:rFonts w:ascii="Arial" w:hAnsi="Arial" w:cs="Arial"/>
          <w:lang w:val="en-US"/>
        </w:rPr>
        <w:t>*</w:t>
      </w:r>
      <w:proofErr w:type="gramEnd"/>
    </w:p>
    <w:p w14:paraId="103207EC" w14:textId="77777777" w:rsidR="00B5060E" w:rsidRPr="005865D6" w:rsidRDefault="00B5060E" w:rsidP="00B5060E">
      <w:pPr>
        <w:spacing w:line="360" w:lineRule="auto"/>
        <w:jc w:val="both"/>
        <w:rPr>
          <w:rFonts w:ascii="Arial" w:hAnsi="Arial" w:cs="Arial"/>
          <w:lang w:val="en-US"/>
        </w:rPr>
      </w:pPr>
    </w:p>
    <w:p w14:paraId="6A66A546" w14:textId="27D3191A" w:rsidR="00B5060E" w:rsidRPr="005865D6" w:rsidRDefault="00263CE0" w:rsidP="00B5060E">
      <w:pPr>
        <w:pStyle w:val="BodyTextInTech"/>
        <w:numPr>
          <w:ilvl w:val="0"/>
          <w:numId w:val="1"/>
        </w:numPr>
        <w:spacing w:after="0" w:line="360" w:lineRule="auto"/>
        <w:ind w:left="714" w:hanging="357"/>
        <w:rPr>
          <w:rFonts w:ascii="Arial" w:hAnsi="Arial" w:cs="Arial"/>
          <w:sz w:val="22"/>
          <w:lang w:eastAsia="es-ES"/>
        </w:rPr>
      </w:pPr>
      <w:bookmarkStart w:id="0" w:name="_Hlk41600359"/>
      <w:r w:rsidRPr="005865D6">
        <w:rPr>
          <w:rFonts w:ascii="Arial" w:eastAsia="Calibri" w:hAnsi="Arial" w:cs="Arial"/>
          <w:sz w:val="22"/>
        </w:rPr>
        <w:t>Institute for Risk Assessment Sciences, Utrecht University, Utrecht, Netherlands</w:t>
      </w:r>
      <w:r w:rsidR="00B5060E" w:rsidRPr="005865D6">
        <w:rPr>
          <w:rFonts w:ascii="Arial" w:eastAsia="Calibri" w:hAnsi="Arial" w:cs="Arial"/>
          <w:sz w:val="22"/>
        </w:rPr>
        <w:t>.</w:t>
      </w:r>
    </w:p>
    <w:p w14:paraId="7EDF65A3" w14:textId="77777777" w:rsidR="00B5060E" w:rsidRPr="005865D6" w:rsidRDefault="00B5060E" w:rsidP="00B5060E">
      <w:pPr>
        <w:pStyle w:val="BodyTextInTech"/>
        <w:numPr>
          <w:ilvl w:val="0"/>
          <w:numId w:val="1"/>
        </w:numPr>
        <w:spacing w:after="0" w:line="360" w:lineRule="auto"/>
        <w:ind w:left="714" w:hanging="357"/>
        <w:rPr>
          <w:rFonts w:ascii="Arial" w:hAnsi="Arial" w:cs="Arial"/>
          <w:sz w:val="22"/>
          <w:lang w:eastAsia="es-ES"/>
        </w:rPr>
      </w:pPr>
      <w:proofErr w:type="spellStart"/>
      <w:r w:rsidRPr="005865D6">
        <w:rPr>
          <w:rFonts w:ascii="Arial" w:eastAsia="Calibri" w:hAnsi="Arial" w:cs="Arial"/>
          <w:sz w:val="22"/>
        </w:rPr>
        <w:t>Dirección</w:t>
      </w:r>
      <w:proofErr w:type="spellEnd"/>
      <w:r w:rsidRPr="005865D6">
        <w:rPr>
          <w:rFonts w:ascii="Arial" w:eastAsia="Calibri" w:hAnsi="Arial" w:cs="Arial"/>
          <w:sz w:val="22"/>
        </w:rPr>
        <w:t xml:space="preserve"> de </w:t>
      </w:r>
      <w:proofErr w:type="spellStart"/>
      <w:r w:rsidRPr="005865D6">
        <w:rPr>
          <w:rFonts w:ascii="Arial" w:eastAsia="Calibri" w:hAnsi="Arial" w:cs="Arial"/>
          <w:sz w:val="22"/>
        </w:rPr>
        <w:t>Investigación</w:t>
      </w:r>
      <w:proofErr w:type="spellEnd"/>
      <w:r w:rsidRPr="005865D6">
        <w:rPr>
          <w:rFonts w:ascii="Arial" w:eastAsia="Calibri" w:hAnsi="Arial" w:cs="Arial"/>
          <w:sz w:val="22"/>
        </w:rPr>
        <w:t xml:space="preserve">, Instituto Nacional de </w:t>
      </w:r>
      <w:proofErr w:type="spellStart"/>
      <w:r w:rsidRPr="005865D6">
        <w:rPr>
          <w:rFonts w:ascii="Arial" w:eastAsia="Calibri" w:hAnsi="Arial" w:cs="Arial"/>
          <w:sz w:val="22"/>
        </w:rPr>
        <w:t>Geriatría</w:t>
      </w:r>
      <w:proofErr w:type="spellEnd"/>
      <w:r w:rsidRPr="005865D6">
        <w:rPr>
          <w:rFonts w:ascii="Arial" w:eastAsia="Calibri" w:hAnsi="Arial" w:cs="Arial"/>
          <w:sz w:val="22"/>
        </w:rPr>
        <w:t>, Mexico City, Mexico.</w:t>
      </w:r>
    </w:p>
    <w:p w14:paraId="60745624" w14:textId="1FC0F8F3" w:rsidR="00B5060E" w:rsidRPr="005865D6" w:rsidRDefault="00263CE0" w:rsidP="00B5060E">
      <w:pPr>
        <w:pStyle w:val="BodyTextInTech"/>
        <w:numPr>
          <w:ilvl w:val="0"/>
          <w:numId w:val="1"/>
        </w:numPr>
        <w:spacing w:after="0" w:line="360" w:lineRule="auto"/>
        <w:ind w:left="714" w:hanging="357"/>
        <w:rPr>
          <w:rFonts w:ascii="Arial" w:hAnsi="Arial" w:cs="Arial"/>
          <w:sz w:val="22"/>
          <w:lang w:eastAsia="es-ES"/>
        </w:rPr>
      </w:pPr>
      <w:r w:rsidRPr="005865D6">
        <w:rPr>
          <w:rFonts w:ascii="Arial" w:hAnsi="Arial" w:cs="Arial"/>
          <w:sz w:val="22"/>
          <w:lang w:eastAsia="es-ES"/>
        </w:rPr>
        <w:t xml:space="preserve"> </w:t>
      </w:r>
    </w:p>
    <w:p w14:paraId="6A197F9D" w14:textId="17AD2B28" w:rsidR="00B5060E" w:rsidRPr="005865D6" w:rsidRDefault="00B5060E" w:rsidP="00B5060E">
      <w:pPr>
        <w:pStyle w:val="BodyTextInTech"/>
        <w:spacing w:after="0" w:line="360" w:lineRule="auto"/>
        <w:ind w:left="357"/>
        <w:rPr>
          <w:rFonts w:ascii="Arial" w:hAnsi="Arial" w:cs="Arial"/>
          <w:sz w:val="22"/>
          <w:lang w:eastAsia="es-ES"/>
        </w:rPr>
      </w:pPr>
      <w:r w:rsidRPr="005865D6">
        <w:rPr>
          <w:rFonts w:ascii="Arial" w:eastAsia="Calibri" w:hAnsi="Arial" w:cs="Arial"/>
          <w:sz w:val="22"/>
        </w:rPr>
        <w:t xml:space="preserve">*     Correspondence: </w:t>
      </w:r>
      <w:r w:rsidR="00263CE0" w:rsidRPr="005865D6">
        <w:rPr>
          <w:rFonts w:ascii="Arial" w:eastAsia="Calibri" w:hAnsi="Arial" w:cs="Arial"/>
          <w:sz w:val="22"/>
          <w:highlight w:val="yellow"/>
        </w:rPr>
        <w:t>aaa</w:t>
      </w:r>
      <w:r w:rsidRPr="005865D6">
        <w:rPr>
          <w:rFonts w:ascii="Arial" w:eastAsia="Calibri" w:hAnsi="Arial" w:cs="Arial"/>
          <w:sz w:val="22"/>
        </w:rPr>
        <w:t xml:space="preserve">@hotmail.com </w:t>
      </w:r>
    </w:p>
    <w:p w14:paraId="6F419062" w14:textId="77777777" w:rsidR="00B5060E" w:rsidRPr="005865D6" w:rsidRDefault="00B5060E" w:rsidP="00B5060E">
      <w:pPr>
        <w:pStyle w:val="BodyTextInTech"/>
        <w:spacing w:after="0" w:line="360" w:lineRule="auto"/>
        <w:ind w:left="0"/>
        <w:rPr>
          <w:rFonts w:ascii="Arial" w:hAnsi="Arial" w:cs="Arial"/>
          <w:sz w:val="22"/>
          <w:lang w:eastAsia="es-ES"/>
        </w:rPr>
      </w:pPr>
    </w:p>
    <w:p w14:paraId="414D0473" w14:textId="77777777" w:rsidR="00B5060E" w:rsidRPr="005865D6" w:rsidRDefault="00B5060E" w:rsidP="00B5060E">
      <w:pPr>
        <w:pStyle w:val="BodyTextInTech"/>
        <w:spacing w:after="0" w:line="360" w:lineRule="auto"/>
        <w:ind w:left="0"/>
        <w:rPr>
          <w:rFonts w:ascii="Arial" w:hAnsi="Arial" w:cs="Arial"/>
          <w:sz w:val="22"/>
          <w:lang w:eastAsia="es-ES"/>
        </w:rPr>
      </w:pPr>
      <w:proofErr w:type="spellStart"/>
      <w:r w:rsidRPr="005865D6">
        <w:rPr>
          <w:rFonts w:ascii="Arial" w:hAnsi="Arial" w:cs="Arial"/>
          <w:sz w:val="22"/>
          <w:u w:val="single"/>
          <w:lang w:eastAsia="es-ES"/>
        </w:rPr>
        <w:t>ORCiD</w:t>
      </w:r>
      <w:proofErr w:type="spellEnd"/>
    </w:p>
    <w:p w14:paraId="42B08B91" w14:textId="77777777" w:rsidR="00B5060E" w:rsidRPr="005865D6" w:rsidRDefault="00B5060E" w:rsidP="00B5060E">
      <w:pPr>
        <w:pStyle w:val="BodyTextInTech"/>
        <w:numPr>
          <w:ilvl w:val="0"/>
          <w:numId w:val="2"/>
        </w:numPr>
        <w:spacing w:after="0" w:line="360" w:lineRule="auto"/>
        <w:rPr>
          <w:rFonts w:ascii="Arial" w:hAnsi="Arial" w:cs="Arial"/>
          <w:sz w:val="22"/>
          <w:lang w:eastAsia="es-ES"/>
        </w:rPr>
      </w:pPr>
      <w:r w:rsidRPr="005865D6">
        <w:rPr>
          <w:rFonts w:ascii="Arial" w:hAnsi="Arial" w:cs="Arial"/>
          <w:sz w:val="22"/>
          <w:lang w:eastAsia="es-ES"/>
        </w:rPr>
        <w:t>Javier Mancilla-Galindo: 0000-0002-0718-467X</w:t>
      </w:r>
    </w:p>
    <w:p w14:paraId="09E700B6" w14:textId="77777777" w:rsidR="00B5060E" w:rsidRPr="005865D6" w:rsidRDefault="00B5060E" w:rsidP="00B5060E">
      <w:pPr>
        <w:pStyle w:val="BodyTextInTech"/>
        <w:numPr>
          <w:ilvl w:val="0"/>
          <w:numId w:val="2"/>
        </w:numPr>
        <w:spacing w:after="0" w:line="360" w:lineRule="auto"/>
        <w:rPr>
          <w:rFonts w:ascii="Arial" w:hAnsi="Arial" w:cs="Arial"/>
          <w:sz w:val="22"/>
          <w:lang w:eastAsia="es-ES"/>
        </w:rPr>
      </w:pPr>
      <w:proofErr w:type="spellStart"/>
      <w:r w:rsidRPr="005865D6">
        <w:rPr>
          <w:rFonts w:ascii="Arial" w:hAnsi="Arial" w:cs="Arial"/>
          <w:sz w:val="22"/>
          <w:lang w:eastAsia="es-ES"/>
        </w:rPr>
        <w:t>Ashuin</w:t>
      </w:r>
      <w:proofErr w:type="spellEnd"/>
      <w:r w:rsidRPr="005865D6">
        <w:rPr>
          <w:rFonts w:ascii="Arial" w:hAnsi="Arial" w:cs="Arial"/>
          <w:sz w:val="22"/>
          <w:lang w:eastAsia="es-ES"/>
        </w:rPr>
        <w:t xml:space="preserve"> </w:t>
      </w:r>
      <w:proofErr w:type="spellStart"/>
      <w:r w:rsidRPr="005865D6">
        <w:rPr>
          <w:rFonts w:ascii="Arial" w:hAnsi="Arial" w:cs="Arial"/>
          <w:sz w:val="22"/>
          <w:lang w:eastAsia="es-ES"/>
        </w:rPr>
        <w:t>Kammar</w:t>
      </w:r>
      <w:proofErr w:type="spellEnd"/>
      <w:r w:rsidRPr="005865D6">
        <w:rPr>
          <w:rFonts w:ascii="Arial" w:hAnsi="Arial" w:cs="Arial"/>
          <w:sz w:val="22"/>
          <w:lang w:eastAsia="es-ES"/>
        </w:rPr>
        <w:t>-García: 0000-0002-3875-0945</w:t>
      </w:r>
    </w:p>
    <w:bookmarkEnd w:id="0"/>
    <w:p w14:paraId="41A7EF96" w14:textId="59EC6055" w:rsidR="00B5060E" w:rsidRPr="005865D6" w:rsidRDefault="00B5060E" w:rsidP="00B5060E">
      <w:pPr>
        <w:pStyle w:val="BodyTextInTech"/>
        <w:numPr>
          <w:ilvl w:val="0"/>
          <w:numId w:val="2"/>
        </w:numPr>
        <w:spacing w:after="0" w:line="360" w:lineRule="auto"/>
        <w:rPr>
          <w:rFonts w:ascii="Arial" w:hAnsi="Arial" w:cs="Arial"/>
          <w:sz w:val="22"/>
          <w:lang w:eastAsia="es-ES"/>
        </w:rPr>
      </w:pPr>
      <w:r w:rsidRPr="005865D6">
        <w:rPr>
          <w:rFonts w:ascii="Arial" w:hAnsi="Arial" w:cs="Arial"/>
        </w:rPr>
        <w:br w:type="page"/>
      </w:r>
    </w:p>
    <w:p w14:paraId="629F3078" w14:textId="77777777" w:rsidR="00B5060E" w:rsidRPr="005865D6" w:rsidRDefault="00B5060E" w:rsidP="00B5060E">
      <w:pPr>
        <w:spacing w:line="480" w:lineRule="auto"/>
        <w:jc w:val="both"/>
        <w:rPr>
          <w:rFonts w:ascii="Arial" w:hAnsi="Arial" w:cs="Arial"/>
          <w:b/>
          <w:bCs/>
          <w:lang w:val="en-US"/>
        </w:rPr>
      </w:pPr>
      <w:r w:rsidRPr="005865D6">
        <w:rPr>
          <w:rFonts w:ascii="Arial" w:hAnsi="Arial" w:cs="Arial"/>
          <w:b/>
          <w:bCs/>
          <w:lang w:val="en-US"/>
        </w:rPr>
        <w:lastRenderedPageBreak/>
        <w:t>Abstract</w:t>
      </w:r>
    </w:p>
    <w:p w14:paraId="101369C7" w14:textId="682838A0" w:rsidR="00B5060E" w:rsidRPr="005865D6" w:rsidRDefault="00B5060E" w:rsidP="00B5060E">
      <w:pPr>
        <w:spacing w:line="480" w:lineRule="auto"/>
        <w:jc w:val="both"/>
        <w:rPr>
          <w:rFonts w:ascii="Arial" w:hAnsi="Arial" w:cs="Arial"/>
          <w:lang w:val="en-US"/>
        </w:rPr>
      </w:pPr>
      <w:r w:rsidRPr="005865D6">
        <w:rPr>
          <w:rFonts w:ascii="Arial" w:hAnsi="Arial" w:cs="Arial"/>
          <w:b/>
          <w:bCs/>
          <w:lang w:val="en-US"/>
        </w:rPr>
        <w:t>Background</w:t>
      </w:r>
      <w:r w:rsidRPr="005865D6">
        <w:rPr>
          <w:rFonts w:ascii="Arial" w:hAnsi="Arial" w:cs="Arial"/>
          <w:lang w:val="en-US"/>
        </w:rPr>
        <w:t>: x.</w:t>
      </w:r>
    </w:p>
    <w:p w14:paraId="53CDA646" w14:textId="2D42C7A8" w:rsidR="00B5060E" w:rsidRPr="005865D6" w:rsidRDefault="00B5060E" w:rsidP="00B5060E">
      <w:pPr>
        <w:spacing w:after="360" w:line="480" w:lineRule="auto"/>
        <w:jc w:val="both"/>
        <w:rPr>
          <w:rFonts w:ascii="Arial" w:hAnsi="Arial" w:cs="Arial"/>
          <w:lang w:val="en-US"/>
        </w:rPr>
      </w:pPr>
      <w:r w:rsidRPr="005865D6">
        <w:rPr>
          <w:rFonts w:ascii="Arial" w:hAnsi="Arial" w:cs="Arial"/>
          <w:b/>
          <w:bCs/>
          <w:lang w:val="en-US"/>
        </w:rPr>
        <w:t>Objective</w:t>
      </w:r>
      <w:r w:rsidRPr="005865D6">
        <w:rPr>
          <w:rFonts w:ascii="Arial" w:hAnsi="Arial" w:cs="Arial"/>
          <w:lang w:val="en-US"/>
        </w:rPr>
        <w:t>: x.</w:t>
      </w:r>
    </w:p>
    <w:p w14:paraId="1370A100" w14:textId="35793339" w:rsidR="00B5060E" w:rsidRPr="005865D6" w:rsidRDefault="00B5060E" w:rsidP="00B5060E">
      <w:pPr>
        <w:spacing w:after="360" w:line="480" w:lineRule="auto"/>
        <w:jc w:val="both"/>
        <w:rPr>
          <w:rFonts w:ascii="Arial" w:hAnsi="Arial" w:cs="Arial"/>
          <w:lang w:val="en-US"/>
        </w:rPr>
      </w:pPr>
      <w:r w:rsidRPr="005865D6">
        <w:rPr>
          <w:rFonts w:ascii="Arial" w:hAnsi="Arial" w:cs="Arial"/>
          <w:b/>
          <w:bCs/>
          <w:lang w:val="en-US"/>
        </w:rPr>
        <w:t>Methods</w:t>
      </w:r>
      <w:r w:rsidRPr="005865D6">
        <w:rPr>
          <w:rFonts w:ascii="Arial" w:hAnsi="Arial" w:cs="Arial"/>
          <w:lang w:val="en-US"/>
        </w:rPr>
        <w:t xml:space="preserve">: x. </w:t>
      </w:r>
    </w:p>
    <w:p w14:paraId="62DD411C" w14:textId="21AEF59F" w:rsidR="00B5060E" w:rsidRPr="005865D6" w:rsidRDefault="00B5060E" w:rsidP="00B5060E">
      <w:pPr>
        <w:spacing w:line="480" w:lineRule="auto"/>
        <w:jc w:val="both"/>
        <w:rPr>
          <w:rFonts w:ascii="Arial" w:hAnsi="Arial" w:cs="Arial"/>
          <w:lang w:val="en-US"/>
        </w:rPr>
      </w:pPr>
      <w:r w:rsidRPr="005865D6">
        <w:rPr>
          <w:rFonts w:ascii="Arial" w:hAnsi="Arial" w:cs="Arial"/>
          <w:b/>
          <w:bCs/>
          <w:lang w:val="en-US"/>
        </w:rPr>
        <w:t>Results</w:t>
      </w:r>
      <w:r w:rsidRPr="005865D6">
        <w:rPr>
          <w:rFonts w:ascii="Arial" w:hAnsi="Arial" w:cs="Arial"/>
          <w:lang w:val="en-US"/>
        </w:rPr>
        <w:t xml:space="preserve">: x. </w:t>
      </w:r>
    </w:p>
    <w:p w14:paraId="5D17AD48" w14:textId="4DC0C585" w:rsidR="00B5060E" w:rsidRPr="005865D6" w:rsidRDefault="00B5060E" w:rsidP="00B5060E">
      <w:pPr>
        <w:spacing w:after="360" w:line="480" w:lineRule="auto"/>
        <w:jc w:val="both"/>
        <w:rPr>
          <w:rFonts w:ascii="Arial" w:hAnsi="Arial" w:cs="Arial"/>
          <w:lang w:val="en-US"/>
        </w:rPr>
      </w:pPr>
      <w:r w:rsidRPr="005865D6">
        <w:rPr>
          <w:rFonts w:ascii="Arial" w:hAnsi="Arial" w:cs="Arial"/>
          <w:b/>
          <w:bCs/>
          <w:lang w:val="en-US"/>
        </w:rPr>
        <w:t>Conclusions</w:t>
      </w:r>
      <w:r w:rsidRPr="005865D6">
        <w:rPr>
          <w:rFonts w:ascii="Arial" w:hAnsi="Arial" w:cs="Arial"/>
          <w:lang w:val="en-US"/>
        </w:rPr>
        <w:t xml:space="preserve">: x. </w:t>
      </w:r>
    </w:p>
    <w:p w14:paraId="5124BC5E" w14:textId="77777777" w:rsidR="00B5060E" w:rsidRPr="005865D6" w:rsidRDefault="00B5060E" w:rsidP="00B5060E">
      <w:pPr>
        <w:spacing w:after="360" w:line="480" w:lineRule="auto"/>
        <w:jc w:val="both"/>
        <w:rPr>
          <w:rFonts w:ascii="Arial" w:hAnsi="Arial" w:cs="Arial"/>
          <w:lang w:val="en-US"/>
        </w:rPr>
      </w:pPr>
      <w:r w:rsidRPr="005865D6">
        <w:rPr>
          <w:rFonts w:ascii="Arial" w:hAnsi="Arial" w:cs="Arial"/>
          <w:lang w:val="en-US"/>
        </w:rPr>
        <w:t xml:space="preserve">   </w:t>
      </w:r>
    </w:p>
    <w:p w14:paraId="095B32ED" w14:textId="77777777" w:rsidR="00B5060E" w:rsidRPr="005865D6" w:rsidRDefault="00B5060E" w:rsidP="00B5060E">
      <w:pPr>
        <w:spacing w:after="360" w:line="480" w:lineRule="auto"/>
        <w:jc w:val="both"/>
        <w:rPr>
          <w:rFonts w:ascii="Arial" w:hAnsi="Arial" w:cs="Arial"/>
          <w:lang w:val="en-US"/>
        </w:rPr>
      </w:pPr>
    </w:p>
    <w:p w14:paraId="0ABD5A3C" w14:textId="3872ACC8" w:rsidR="00B5060E" w:rsidRPr="005865D6" w:rsidRDefault="00B5060E" w:rsidP="00B5060E">
      <w:pPr>
        <w:spacing w:after="360" w:line="480" w:lineRule="auto"/>
        <w:jc w:val="both"/>
        <w:rPr>
          <w:rFonts w:ascii="Arial" w:hAnsi="Arial" w:cs="Arial"/>
          <w:lang w:val="en-US"/>
        </w:rPr>
      </w:pPr>
      <w:r w:rsidRPr="005865D6">
        <w:rPr>
          <w:rFonts w:ascii="Arial" w:hAnsi="Arial" w:cs="Arial"/>
          <w:u w:val="single"/>
          <w:lang w:val="en-US"/>
        </w:rPr>
        <w:t>Keywords</w:t>
      </w:r>
      <w:r w:rsidRPr="005865D6">
        <w:rPr>
          <w:rFonts w:ascii="Arial" w:hAnsi="Arial" w:cs="Arial"/>
          <w:lang w:val="en-US"/>
        </w:rPr>
        <w:t xml:space="preserve">: </w:t>
      </w:r>
    </w:p>
    <w:p w14:paraId="1D3B62C0" w14:textId="77777777" w:rsidR="00B5060E" w:rsidRPr="005865D6" w:rsidRDefault="00B5060E" w:rsidP="00B5060E">
      <w:pPr>
        <w:spacing w:after="360" w:line="480" w:lineRule="auto"/>
        <w:jc w:val="both"/>
        <w:rPr>
          <w:rFonts w:ascii="Arial" w:hAnsi="Arial" w:cs="Arial"/>
          <w:lang w:val="en-US"/>
        </w:rPr>
      </w:pPr>
      <w:r w:rsidRPr="005865D6">
        <w:rPr>
          <w:rFonts w:ascii="Arial" w:hAnsi="Arial" w:cs="Arial"/>
          <w:u w:val="single"/>
          <w:lang w:val="en-US"/>
        </w:rPr>
        <w:t>Disclosure</w:t>
      </w:r>
      <w:r w:rsidRPr="005865D6">
        <w:rPr>
          <w:rFonts w:ascii="Arial" w:hAnsi="Arial" w:cs="Arial"/>
          <w:lang w:val="en-US"/>
        </w:rPr>
        <w:t xml:space="preserve">: The authors report there are no competing interests to declare. </w:t>
      </w:r>
    </w:p>
    <w:p w14:paraId="0A482703" w14:textId="1EC879BE" w:rsidR="00B5060E" w:rsidRPr="005865D6" w:rsidRDefault="00B5060E" w:rsidP="00B5060E">
      <w:pPr>
        <w:spacing w:after="360" w:line="480" w:lineRule="auto"/>
        <w:jc w:val="both"/>
        <w:rPr>
          <w:rFonts w:ascii="Arial" w:hAnsi="Arial" w:cs="Arial"/>
          <w:lang w:val="en-US"/>
        </w:rPr>
      </w:pPr>
      <w:r w:rsidRPr="005865D6">
        <w:rPr>
          <w:rFonts w:ascii="Arial" w:hAnsi="Arial" w:cs="Arial"/>
          <w:u w:val="single"/>
          <w:lang w:val="en-US"/>
        </w:rPr>
        <w:t>Data Availability</w:t>
      </w:r>
      <w:r w:rsidRPr="005865D6">
        <w:rPr>
          <w:rFonts w:ascii="Arial" w:hAnsi="Arial" w:cs="Arial"/>
          <w:lang w:val="en-US"/>
        </w:rPr>
        <w:t>: The data that support the findings of this study are openly available in Harvard Dataverse at</w:t>
      </w:r>
      <w:r w:rsidR="00E76075">
        <w:rPr>
          <w:rFonts w:ascii="Arial" w:hAnsi="Arial" w:cs="Arial"/>
          <w:lang w:val="en-US"/>
        </w:rPr>
        <w:t xml:space="preserve"> </w:t>
      </w:r>
      <w:hyperlink r:id="rId8" w:history="1">
        <w:r w:rsidR="00E76075" w:rsidRPr="00451843">
          <w:rPr>
            <w:rStyle w:val="Hipervnculo"/>
            <w:rFonts w:ascii="Arial" w:hAnsi="Arial" w:cs="Arial"/>
            <w:lang w:val="en-US"/>
          </w:rPr>
          <w:t>https://doi.org/10.7910/DVN/4JZZLB</w:t>
        </w:r>
      </w:hyperlink>
      <w:r w:rsidRPr="005865D6">
        <w:rPr>
          <w:rFonts w:ascii="Arial" w:hAnsi="Arial" w:cs="Arial"/>
          <w:lang w:val="en-US"/>
        </w:rPr>
        <w:t>.</w:t>
      </w:r>
    </w:p>
    <w:p w14:paraId="614548C8" w14:textId="08A36239" w:rsidR="00B5060E" w:rsidRPr="005865D6" w:rsidRDefault="00B5060E" w:rsidP="00B5060E">
      <w:pPr>
        <w:spacing w:after="360" w:line="480" w:lineRule="auto"/>
        <w:jc w:val="both"/>
        <w:rPr>
          <w:rFonts w:ascii="Arial" w:hAnsi="Arial" w:cs="Arial"/>
          <w:lang w:val="en-US"/>
        </w:rPr>
      </w:pPr>
      <w:r w:rsidRPr="005865D6">
        <w:rPr>
          <w:rFonts w:ascii="Arial" w:hAnsi="Arial" w:cs="Arial"/>
          <w:u w:val="single"/>
          <w:lang w:val="en-US"/>
        </w:rPr>
        <w:t>Code Availability</w:t>
      </w:r>
      <w:r w:rsidRPr="005865D6">
        <w:rPr>
          <w:rFonts w:ascii="Arial" w:hAnsi="Arial" w:cs="Arial"/>
          <w:lang w:val="en-US"/>
        </w:rPr>
        <w:t xml:space="preserve">: The </w:t>
      </w:r>
      <w:r w:rsidR="00E76075">
        <w:rPr>
          <w:rFonts w:ascii="Arial" w:hAnsi="Arial" w:cs="Arial"/>
          <w:lang w:val="en-US"/>
        </w:rPr>
        <w:t>code documenting the analyses in</w:t>
      </w:r>
      <w:r w:rsidRPr="005865D6">
        <w:rPr>
          <w:rFonts w:ascii="Arial" w:hAnsi="Arial" w:cs="Arial"/>
          <w:lang w:val="en-US"/>
        </w:rPr>
        <w:t xml:space="preserve"> this study </w:t>
      </w:r>
      <w:r w:rsidR="00E76075">
        <w:rPr>
          <w:rFonts w:ascii="Arial" w:hAnsi="Arial" w:cs="Arial"/>
          <w:lang w:val="en-US"/>
        </w:rPr>
        <w:t>is</w:t>
      </w:r>
      <w:r w:rsidRPr="005865D6">
        <w:rPr>
          <w:rFonts w:ascii="Arial" w:hAnsi="Arial" w:cs="Arial"/>
          <w:lang w:val="en-US"/>
        </w:rPr>
        <w:t xml:space="preserve"> openly available in </w:t>
      </w:r>
      <w:hyperlink r:id="rId9" w:history="1">
        <w:r w:rsidR="00E76075" w:rsidRPr="005F0175">
          <w:rPr>
            <w:rStyle w:val="Hipervnculo"/>
            <w:rFonts w:ascii="Arial" w:hAnsi="Arial" w:cs="Arial"/>
            <w:lang w:val="en-US"/>
          </w:rPr>
          <w:t>https://github.com/javimangal/preoperative_atelectasis</w:t>
        </w:r>
      </w:hyperlink>
      <w:r w:rsidRPr="005865D6">
        <w:rPr>
          <w:rFonts w:ascii="Arial" w:hAnsi="Arial" w:cs="Arial"/>
          <w:lang w:val="en-US"/>
        </w:rPr>
        <w:t>.</w:t>
      </w:r>
    </w:p>
    <w:p w14:paraId="3D4027D7" w14:textId="77777777" w:rsidR="00B5060E" w:rsidRPr="005865D6" w:rsidRDefault="00B5060E" w:rsidP="00B5060E">
      <w:pPr>
        <w:spacing w:after="360" w:line="480" w:lineRule="auto"/>
        <w:jc w:val="both"/>
        <w:rPr>
          <w:rFonts w:ascii="Arial" w:hAnsi="Arial" w:cs="Arial"/>
          <w:lang w:val="en-US"/>
        </w:rPr>
      </w:pPr>
    </w:p>
    <w:p w14:paraId="0D0D479B" w14:textId="77777777" w:rsidR="00B5060E" w:rsidRPr="005865D6" w:rsidRDefault="00B5060E" w:rsidP="00B5060E">
      <w:pPr>
        <w:rPr>
          <w:rFonts w:ascii="Arial" w:hAnsi="Arial" w:cs="Arial"/>
          <w:lang w:val="en-US"/>
        </w:rPr>
      </w:pPr>
      <w:r w:rsidRPr="005865D6">
        <w:rPr>
          <w:rFonts w:ascii="Arial" w:hAnsi="Arial" w:cs="Arial"/>
          <w:lang w:val="en-US"/>
        </w:rPr>
        <w:br w:type="page"/>
      </w:r>
    </w:p>
    <w:p w14:paraId="5180AA8C" w14:textId="77777777" w:rsidR="00B5060E" w:rsidRPr="005865D6" w:rsidRDefault="00B5060E" w:rsidP="00B5060E">
      <w:pPr>
        <w:spacing w:line="480" w:lineRule="auto"/>
        <w:jc w:val="both"/>
        <w:rPr>
          <w:rFonts w:ascii="Arial" w:hAnsi="Arial" w:cs="Arial"/>
          <w:b/>
          <w:bCs/>
          <w:lang w:val="en-US"/>
        </w:rPr>
      </w:pPr>
      <w:r w:rsidRPr="005865D6">
        <w:rPr>
          <w:rFonts w:ascii="Arial" w:hAnsi="Arial" w:cs="Arial"/>
          <w:b/>
          <w:bCs/>
          <w:lang w:val="en-US"/>
        </w:rPr>
        <w:lastRenderedPageBreak/>
        <w:t>INTRODUCTION</w:t>
      </w:r>
    </w:p>
    <w:p w14:paraId="501BA143" w14:textId="090D1BC6" w:rsidR="00B5060E" w:rsidRPr="005865D6" w:rsidRDefault="00D51762" w:rsidP="00B5060E">
      <w:pPr>
        <w:spacing w:line="480" w:lineRule="auto"/>
        <w:jc w:val="both"/>
        <w:rPr>
          <w:rFonts w:ascii="Arial" w:hAnsi="Arial" w:cs="Arial"/>
          <w:lang w:val="en-US"/>
        </w:rPr>
      </w:pPr>
      <w:r w:rsidRPr="005865D6">
        <w:rPr>
          <w:rFonts w:ascii="Arial" w:hAnsi="Arial" w:cs="Arial"/>
          <w:lang w:val="en-US"/>
        </w:rPr>
        <w:t>Bariatric surgery</w:t>
      </w:r>
      <w:r w:rsidR="00B5060E" w:rsidRPr="005865D6">
        <w:rPr>
          <w:rFonts w:ascii="Arial" w:hAnsi="Arial" w:cs="Arial"/>
          <w:lang w:val="en-US"/>
        </w:rPr>
        <w:t>,</w:t>
      </w:r>
    </w:p>
    <w:p w14:paraId="5F0431AF" w14:textId="5C24AA49" w:rsidR="00B5060E" w:rsidRDefault="00B5060E" w:rsidP="00B5060E">
      <w:pPr>
        <w:spacing w:line="480" w:lineRule="auto"/>
        <w:jc w:val="both"/>
        <w:rPr>
          <w:rFonts w:ascii="Arial" w:hAnsi="Arial" w:cs="Arial"/>
          <w:lang w:val="en-US"/>
        </w:rPr>
      </w:pPr>
      <w:r w:rsidRPr="005865D6">
        <w:rPr>
          <w:rFonts w:ascii="Arial" w:hAnsi="Arial" w:cs="Arial"/>
          <w:lang w:val="en-US"/>
        </w:rPr>
        <w:t xml:space="preserve">. </w:t>
      </w:r>
    </w:p>
    <w:p w14:paraId="6EA92206" w14:textId="12EBA8B1" w:rsidR="008B00A3" w:rsidRPr="005865D6" w:rsidRDefault="008B00A3" w:rsidP="00B5060E">
      <w:pPr>
        <w:spacing w:line="480" w:lineRule="auto"/>
        <w:jc w:val="both"/>
        <w:rPr>
          <w:rFonts w:ascii="Arial" w:hAnsi="Arial" w:cs="Arial"/>
          <w:lang w:val="en-US"/>
        </w:rPr>
      </w:pPr>
      <w:r>
        <w:rPr>
          <w:rFonts w:ascii="Arial" w:hAnsi="Arial" w:cs="Arial"/>
          <w:lang w:val="en-US"/>
        </w:rPr>
        <w:t xml:space="preserve">The objective of this study was to </w:t>
      </w:r>
      <w:r w:rsidR="007A2567">
        <w:rPr>
          <w:rFonts w:ascii="Arial" w:hAnsi="Arial" w:cs="Arial"/>
          <w:lang w:val="en-US"/>
        </w:rPr>
        <w:t>assess the prevalence and exten</w:t>
      </w:r>
      <w:r w:rsidR="00FD04F5">
        <w:rPr>
          <w:rFonts w:ascii="Arial" w:hAnsi="Arial" w:cs="Arial"/>
          <w:lang w:val="en-US"/>
        </w:rPr>
        <w:t>sion</w:t>
      </w:r>
      <w:r w:rsidR="007A2567">
        <w:rPr>
          <w:rFonts w:ascii="Arial" w:hAnsi="Arial" w:cs="Arial"/>
          <w:lang w:val="en-US"/>
        </w:rPr>
        <w:t xml:space="preserve"> of</w:t>
      </w:r>
      <w:r w:rsidR="00D07C7A">
        <w:rPr>
          <w:rFonts w:ascii="Arial" w:hAnsi="Arial" w:cs="Arial"/>
          <w:lang w:val="en-US"/>
        </w:rPr>
        <w:t xml:space="preserve"> preoperative</w:t>
      </w:r>
      <w:r w:rsidR="007A2567">
        <w:rPr>
          <w:rFonts w:ascii="Arial" w:hAnsi="Arial" w:cs="Arial"/>
          <w:lang w:val="en-US"/>
        </w:rPr>
        <w:t xml:space="preserve"> atelectasis in patients </w:t>
      </w:r>
      <w:r w:rsidR="00D07C7A">
        <w:rPr>
          <w:rFonts w:ascii="Arial" w:hAnsi="Arial" w:cs="Arial"/>
          <w:lang w:val="en-US"/>
        </w:rPr>
        <w:t xml:space="preserve">with obesity </w:t>
      </w:r>
      <w:r w:rsidR="007A2567">
        <w:rPr>
          <w:rFonts w:ascii="Arial" w:hAnsi="Arial" w:cs="Arial"/>
          <w:lang w:val="en-US"/>
        </w:rPr>
        <w:t>undergoing bariatric surgery</w:t>
      </w:r>
      <w:r w:rsidR="00FD04F5">
        <w:rPr>
          <w:rFonts w:ascii="Arial" w:hAnsi="Arial" w:cs="Arial"/>
          <w:lang w:val="en-US"/>
        </w:rPr>
        <w:t>,</w:t>
      </w:r>
      <w:r w:rsidR="007A2567">
        <w:rPr>
          <w:rFonts w:ascii="Arial" w:hAnsi="Arial" w:cs="Arial"/>
          <w:lang w:val="en-US"/>
        </w:rPr>
        <w:t xml:space="preserve"> and</w:t>
      </w:r>
      <w:r w:rsidR="00C1350B">
        <w:rPr>
          <w:rFonts w:ascii="Arial" w:hAnsi="Arial" w:cs="Arial"/>
          <w:lang w:val="en-US"/>
        </w:rPr>
        <w:t xml:space="preserve"> the extent to which atelectasis explained preoperative SpO2</w:t>
      </w:r>
      <w:r w:rsidR="00BB4D4A">
        <w:rPr>
          <w:rFonts w:ascii="Arial" w:hAnsi="Arial" w:cs="Arial"/>
          <w:lang w:val="en-US"/>
        </w:rPr>
        <w:t xml:space="preserve"> values</w:t>
      </w:r>
      <w:r w:rsidR="00C1350B">
        <w:rPr>
          <w:rFonts w:ascii="Arial" w:hAnsi="Arial" w:cs="Arial"/>
          <w:lang w:val="en-US"/>
        </w:rPr>
        <w:t xml:space="preserve">. </w:t>
      </w:r>
    </w:p>
    <w:p w14:paraId="3EF2FADD" w14:textId="77777777" w:rsidR="00B5060E" w:rsidRPr="005865D6" w:rsidRDefault="00B5060E" w:rsidP="00B5060E">
      <w:pPr>
        <w:spacing w:line="480" w:lineRule="auto"/>
        <w:jc w:val="both"/>
        <w:rPr>
          <w:rFonts w:ascii="Arial" w:hAnsi="Arial" w:cs="Arial"/>
          <w:lang w:val="en-US"/>
        </w:rPr>
      </w:pPr>
    </w:p>
    <w:p w14:paraId="0A8EC688" w14:textId="77777777" w:rsidR="00B5060E" w:rsidRPr="005865D6" w:rsidRDefault="00B5060E" w:rsidP="00B5060E">
      <w:pPr>
        <w:spacing w:line="480" w:lineRule="auto"/>
        <w:jc w:val="both"/>
        <w:rPr>
          <w:rFonts w:ascii="Arial" w:hAnsi="Arial" w:cs="Arial"/>
          <w:b/>
          <w:bCs/>
          <w:lang w:val="en-US"/>
        </w:rPr>
      </w:pPr>
      <w:r w:rsidRPr="005865D6">
        <w:rPr>
          <w:rFonts w:ascii="Arial" w:hAnsi="Arial" w:cs="Arial"/>
          <w:b/>
          <w:bCs/>
          <w:lang w:val="en-US"/>
        </w:rPr>
        <w:t>METHODS</w:t>
      </w:r>
    </w:p>
    <w:p w14:paraId="22630582" w14:textId="77777777" w:rsidR="00B5060E" w:rsidRPr="005865D6" w:rsidRDefault="00B5060E" w:rsidP="00B5060E">
      <w:pPr>
        <w:spacing w:line="480" w:lineRule="auto"/>
        <w:jc w:val="both"/>
        <w:rPr>
          <w:rFonts w:ascii="Arial" w:hAnsi="Arial" w:cs="Arial"/>
          <w:b/>
          <w:bCs/>
          <w:lang w:val="en-US"/>
        </w:rPr>
      </w:pPr>
      <w:r w:rsidRPr="005865D6">
        <w:rPr>
          <w:rFonts w:ascii="Arial" w:hAnsi="Arial" w:cs="Arial"/>
          <w:b/>
          <w:bCs/>
          <w:lang w:val="en-US"/>
        </w:rPr>
        <w:t>Study Design and Setting</w:t>
      </w:r>
    </w:p>
    <w:p w14:paraId="0EB71A49" w14:textId="1F486656" w:rsidR="005111C7" w:rsidRDefault="00433D52" w:rsidP="00B5060E">
      <w:pPr>
        <w:spacing w:line="480" w:lineRule="auto"/>
        <w:jc w:val="both"/>
        <w:rPr>
          <w:rFonts w:ascii="Arial" w:hAnsi="Arial" w:cs="Arial"/>
          <w:lang w:val="en-US"/>
        </w:rPr>
      </w:pPr>
      <w:r>
        <w:rPr>
          <w:rFonts w:ascii="Arial" w:hAnsi="Arial" w:cs="Arial"/>
          <w:lang w:val="en-US"/>
        </w:rPr>
        <w:t xml:space="preserve">This was a single-center cross-sectional study conducted </w:t>
      </w:r>
      <w:r w:rsidR="00CB34BB">
        <w:rPr>
          <w:rFonts w:ascii="Arial" w:hAnsi="Arial" w:cs="Arial"/>
          <w:lang w:val="en-US"/>
        </w:rPr>
        <w:t xml:space="preserve">in a </w:t>
      </w:r>
      <w:r w:rsidR="0093374C">
        <w:rPr>
          <w:rFonts w:ascii="Arial" w:hAnsi="Arial" w:cs="Arial"/>
          <w:lang w:val="en-US"/>
        </w:rPr>
        <w:t xml:space="preserve">specialized center for </w:t>
      </w:r>
      <w:r w:rsidR="006543F0">
        <w:rPr>
          <w:rFonts w:ascii="Arial" w:hAnsi="Arial" w:cs="Arial"/>
          <w:lang w:val="en-US"/>
        </w:rPr>
        <w:t xml:space="preserve">laparoscopic </w:t>
      </w:r>
      <w:r w:rsidR="0093374C">
        <w:rPr>
          <w:rFonts w:ascii="Arial" w:hAnsi="Arial" w:cs="Arial"/>
          <w:lang w:val="en-US"/>
        </w:rPr>
        <w:t>bariatric surgery in Tijuana, Mexico</w:t>
      </w:r>
      <w:r w:rsidR="00DB1836">
        <w:rPr>
          <w:rFonts w:ascii="Arial" w:hAnsi="Arial" w:cs="Arial"/>
          <w:lang w:val="en-US"/>
        </w:rPr>
        <w:t xml:space="preserve"> </w:t>
      </w:r>
      <w:r w:rsidR="008E1ABC">
        <w:rPr>
          <w:rFonts w:ascii="Arial" w:hAnsi="Arial" w:cs="Arial"/>
          <w:lang w:val="en-US"/>
        </w:rPr>
        <w:t>mainly</w:t>
      </w:r>
      <w:r w:rsidR="00DB1836">
        <w:rPr>
          <w:rFonts w:ascii="Arial" w:hAnsi="Arial" w:cs="Arial"/>
          <w:lang w:val="en-US"/>
        </w:rPr>
        <w:t xml:space="preserve"> receiving patients from abroad</w:t>
      </w:r>
      <w:r w:rsidR="00062F4B">
        <w:rPr>
          <w:rFonts w:ascii="Arial" w:hAnsi="Arial" w:cs="Arial"/>
          <w:lang w:val="en-US"/>
        </w:rPr>
        <w:t>. The study period was</w:t>
      </w:r>
      <w:r w:rsidR="00F15301">
        <w:rPr>
          <w:rFonts w:ascii="Arial" w:hAnsi="Arial" w:cs="Arial"/>
          <w:lang w:val="en-US"/>
        </w:rPr>
        <w:t xml:space="preserve"> </w:t>
      </w:r>
      <w:r w:rsidR="00A6791F">
        <w:rPr>
          <w:rFonts w:ascii="Arial" w:hAnsi="Arial" w:cs="Arial"/>
          <w:lang w:val="en-US"/>
        </w:rPr>
        <w:t>the month of June</w:t>
      </w:r>
      <w:r w:rsidR="00F15301">
        <w:rPr>
          <w:rFonts w:ascii="Arial" w:hAnsi="Arial" w:cs="Arial"/>
          <w:lang w:val="en-US"/>
        </w:rPr>
        <w:t xml:space="preserve"> 2020</w:t>
      </w:r>
      <w:r w:rsidR="006543F0">
        <w:rPr>
          <w:rFonts w:ascii="Arial" w:hAnsi="Arial" w:cs="Arial"/>
          <w:lang w:val="en-US"/>
        </w:rPr>
        <w:t xml:space="preserve">. </w:t>
      </w:r>
      <w:r w:rsidR="008E1ABC">
        <w:rPr>
          <w:rFonts w:ascii="Arial" w:hAnsi="Arial" w:cs="Arial"/>
          <w:lang w:val="en-US"/>
        </w:rPr>
        <w:t>During this time, a</w:t>
      </w:r>
      <w:r w:rsidR="00875D83">
        <w:rPr>
          <w:rFonts w:ascii="Arial" w:hAnsi="Arial" w:cs="Arial"/>
          <w:lang w:val="en-US"/>
        </w:rPr>
        <w:t xml:space="preserve"> joint initiative </w:t>
      </w:r>
      <w:r w:rsidR="00563B64">
        <w:rPr>
          <w:rFonts w:ascii="Arial" w:hAnsi="Arial" w:cs="Arial"/>
          <w:lang w:val="en-US"/>
        </w:rPr>
        <w:t xml:space="preserve">between Mexico, Canada and the United States (USA) </w:t>
      </w:r>
      <w:r w:rsidR="00875D83">
        <w:rPr>
          <w:rFonts w:ascii="Arial" w:hAnsi="Arial" w:cs="Arial"/>
          <w:lang w:val="en-US"/>
        </w:rPr>
        <w:t>restrict</w:t>
      </w:r>
      <w:r w:rsidR="00563B64">
        <w:rPr>
          <w:rFonts w:ascii="Arial" w:hAnsi="Arial" w:cs="Arial"/>
          <w:lang w:val="en-US"/>
        </w:rPr>
        <w:t>ed</w:t>
      </w:r>
      <w:r w:rsidR="00875D83">
        <w:rPr>
          <w:rFonts w:ascii="Arial" w:hAnsi="Arial" w:cs="Arial"/>
          <w:lang w:val="en-US"/>
        </w:rPr>
        <w:t xml:space="preserve"> international </w:t>
      </w:r>
      <w:r w:rsidR="000936DC">
        <w:rPr>
          <w:rFonts w:ascii="Arial" w:hAnsi="Arial" w:cs="Arial"/>
          <w:lang w:val="en-US"/>
        </w:rPr>
        <w:t xml:space="preserve">non-essential </w:t>
      </w:r>
      <w:r w:rsidR="00875D83">
        <w:rPr>
          <w:rFonts w:ascii="Arial" w:hAnsi="Arial" w:cs="Arial"/>
          <w:lang w:val="en-US"/>
        </w:rPr>
        <w:t>travels</w:t>
      </w:r>
      <w:r w:rsidR="00E71503">
        <w:rPr>
          <w:rFonts w:ascii="Arial" w:hAnsi="Arial" w:cs="Arial"/>
          <w:lang w:val="en-US"/>
        </w:rPr>
        <w:t xml:space="preserve"> due to the COVID-19 emergency</w:t>
      </w:r>
      <w:r w:rsidR="005605E0">
        <w:rPr>
          <w:rFonts w:ascii="Arial" w:hAnsi="Arial" w:cs="Arial"/>
          <w:lang w:val="en-US"/>
        </w:rPr>
        <w:t>,</w:t>
      </w:r>
      <w:r w:rsidR="007071E9">
        <w:rPr>
          <w:rFonts w:ascii="Arial" w:hAnsi="Arial" w:cs="Arial"/>
          <w:lang w:val="en-US"/>
        </w:rPr>
        <w:fldChar w:fldCharType="begin" w:fldLock="1"/>
      </w:r>
      <w:r w:rsidR="000C1853">
        <w:rPr>
          <w:rFonts w:ascii="Arial" w:hAnsi="Arial" w:cs="Arial"/>
          <w:lang w:val="en-US"/>
        </w:rPr>
        <w:instrText>ADDIN CSL_CITATION {"citationItems":[{"id":"ITEM-1","itemData":{"URL":"https://www.dhs.gov/news/2020/05/20/fact-sheet-dhs-measures-border-limit-further-spread-coronavirus","accessed":{"date-parts":[["2020","6","16"]]},"author":[{"dropping-particle":"","family":"U.S. Department of Homeland Security","given":"","non-dropping-particle":"","parse-names":false,"suffix":""}],"container-title":"Fact Sheets","id":"ITEM-1","issued":{"date-parts":[["2020"]]},"title":"DHS Measures on the Border to Limit the Further Spread of Coronavirus","type":"webpage"},"uris":["http://www.mendeley.com/documents/?uuid=60d44667-374d-4c33-864d-5aac99be3d61"]}],"mendeley":{"formattedCitation":"&lt;sup&gt;1&lt;/sup&gt;","plainTextFormattedCitation":"1","previouslyFormattedCitation":"&lt;sup&gt;1&lt;/sup&gt;"},"properties":{"noteIndex":0},"schema":"https://github.com/citation-style-language/schema/raw/master/csl-citation.json"}</w:instrText>
      </w:r>
      <w:r w:rsidR="007071E9">
        <w:rPr>
          <w:rFonts w:ascii="Arial" w:hAnsi="Arial" w:cs="Arial"/>
          <w:lang w:val="en-US"/>
        </w:rPr>
        <w:fldChar w:fldCharType="separate"/>
      </w:r>
      <w:r w:rsidR="007071E9" w:rsidRPr="00AB3FF6">
        <w:rPr>
          <w:rFonts w:ascii="Arial" w:hAnsi="Arial" w:cs="Arial"/>
          <w:noProof/>
          <w:vertAlign w:val="superscript"/>
          <w:lang w:val="en-US"/>
        </w:rPr>
        <w:t>1</w:t>
      </w:r>
      <w:r w:rsidR="007071E9">
        <w:rPr>
          <w:rFonts w:ascii="Arial" w:hAnsi="Arial" w:cs="Arial"/>
          <w:lang w:val="en-US"/>
        </w:rPr>
        <w:fldChar w:fldCharType="end"/>
      </w:r>
      <w:r w:rsidR="004F4896">
        <w:rPr>
          <w:rFonts w:ascii="Arial" w:hAnsi="Arial" w:cs="Arial"/>
          <w:lang w:val="en-US"/>
        </w:rPr>
        <w:t xml:space="preserve"> </w:t>
      </w:r>
      <w:r w:rsidR="008E1ABC">
        <w:rPr>
          <w:rFonts w:ascii="Arial" w:hAnsi="Arial" w:cs="Arial"/>
          <w:lang w:val="en-US"/>
        </w:rPr>
        <w:t xml:space="preserve">but </w:t>
      </w:r>
      <w:r w:rsidR="004F4896">
        <w:rPr>
          <w:rFonts w:ascii="Arial" w:hAnsi="Arial" w:cs="Arial"/>
          <w:lang w:val="en-US"/>
        </w:rPr>
        <w:t>travelling for elective surgeries was possible</w:t>
      </w:r>
      <w:r w:rsidR="00DC0EA2">
        <w:rPr>
          <w:rFonts w:ascii="Arial" w:hAnsi="Arial" w:cs="Arial"/>
          <w:lang w:val="en-US"/>
        </w:rPr>
        <w:t>.</w:t>
      </w:r>
      <w:r w:rsidR="00875D83">
        <w:rPr>
          <w:rFonts w:ascii="Arial" w:hAnsi="Arial" w:cs="Arial"/>
          <w:lang w:val="en-US"/>
        </w:rPr>
        <w:t xml:space="preserve"> </w:t>
      </w:r>
      <w:r w:rsidR="004E0792">
        <w:rPr>
          <w:rFonts w:ascii="Arial" w:hAnsi="Arial" w:cs="Arial"/>
          <w:lang w:val="en-US"/>
        </w:rPr>
        <w:t>American Society of Anesthesiologists (ASA) recommend</w:t>
      </w:r>
      <w:r w:rsidR="007071E9">
        <w:rPr>
          <w:rFonts w:ascii="Arial" w:hAnsi="Arial" w:cs="Arial"/>
          <w:lang w:val="en-US"/>
        </w:rPr>
        <w:t>ations</w:t>
      </w:r>
      <w:r w:rsidR="00491CB6">
        <w:rPr>
          <w:rFonts w:ascii="Arial" w:hAnsi="Arial" w:cs="Arial"/>
          <w:lang w:val="en-US"/>
        </w:rPr>
        <w:t xml:space="preserve"> for elective surgeries</w:t>
      </w:r>
      <w:r w:rsidR="007071E9">
        <w:rPr>
          <w:rFonts w:ascii="Arial" w:hAnsi="Arial" w:cs="Arial"/>
          <w:lang w:val="en-US"/>
        </w:rPr>
        <w:t xml:space="preserve"> included that</w:t>
      </w:r>
      <w:r w:rsidR="00491CB6">
        <w:rPr>
          <w:rFonts w:ascii="Arial" w:hAnsi="Arial" w:cs="Arial"/>
          <w:lang w:val="en-US"/>
        </w:rPr>
        <w:t xml:space="preserve"> patients were </w:t>
      </w:r>
      <w:r w:rsidR="00B95DF7">
        <w:rPr>
          <w:rFonts w:ascii="Arial" w:hAnsi="Arial" w:cs="Arial"/>
          <w:lang w:val="en-US"/>
        </w:rPr>
        <w:t xml:space="preserve">tested against </w:t>
      </w:r>
      <w:r w:rsidR="00C92510">
        <w:rPr>
          <w:rFonts w:ascii="Arial" w:hAnsi="Arial" w:cs="Arial"/>
          <w:lang w:val="en-US"/>
        </w:rPr>
        <w:t xml:space="preserve">SARS-CoV-2, </w:t>
      </w:r>
      <w:r w:rsidR="00491CB6">
        <w:rPr>
          <w:rFonts w:ascii="Arial" w:hAnsi="Arial" w:cs="Arial"/>
          <w:lang w:val="en-US"/>
        </w:rPr>
        <w:t>screened for symptoms of COVID-19</w:t>
      </w:r>
      <w:r w:rsidR="00C92510">
        <w:rPr>
          <w:rFonts w:ascii="Arial" w:hAnsi="Arial" w:cs="Arial"/>
          <w:lang w:val="en-US"/>
        </w:rPr>
        <w:t xml:space="preserve">, </w:t>
      </w:r>
      <w:r w:rsidR="00491CB6">
        <w:rPr>
          <w:rFonts w:ascii="Arial" w:hAnsi="Arial" w:cs="Arial"/>
          <w:lang w:val="en-US"/>
        </w:rPr>
        <w:t>and advised against surgery when symptoms were present.</w:t>
      </w:r>
      <w:r w:rsidR="005115F7">
        <w:rPr>
          <w:rFonts w:ascii="Arial" w:hAnsi="Arial" w:cs="Arial"/>
          <w:lang w:val="en-US"/>
        </w:rPr>
        <w:fldChar w:fldCharType="begin" w:fldLock="1"/>
      </w:r>
      <w:r w:rsidR="000C1853">
        <w:rPr>
          <w:rFonts w:ascii="Arial" w:hAnsi="Arial" w:cs="Arial"/>
          <w:lang w:val="en-US"/>
        </w:rPr>
        <w:instrText>ADDIN CSL_CITATION {"citationItems":[{"id":"ITEM-1","itemData":{"URL":"https://www.asahq.org/in-the-spotlight/coronavirus-covid-19-information/elective-surgery","accessed":{"date-parts":[["2020","6","3"]]},"author":[{"dropping-particle":"","family":"American Society of Anesthesiologists","given":"","non-dropping-particle":"","parse-names":false,"suffix":""}],"container-title":"COVID-19 and Elective Surgery","id":"ITEM-1","issued":{"date-parts":[["2020"]]},"page":"1-3","title":"ASA/APSF Statement on Perioperative Testing for the COVID-19 Virus Patients","type":"webpage"},"uris":["http://www.mendeley.com/documents/?uuid=98458c64-33ec-4ce7-abb2-e6f46d5fc277"]}],"mendeley":{"formattedCitation":"&lt;sup&gt;2&lt;/sup&gt;","plainTextFormattedCitation":"2","previouslyFormattedCitation":"&lt;sup&gt;2&lt;/sup&gt;"},"properties":{"noteIndex":0},"schema":"https://github.com/citation-style-language/schema/raw/master/csl-citation.json"}</w:instrText>
      </w:r>
      <w:r w:rsidR="005115F7">
        <w:rPr>
          <w:rFonts w:ascii="Arial" w:hAnsi="Arial" w:cs="Arial"/>
          <w:lang w:val="en-US"/>
        </w:rPr>
        <w:fldChar w:fldCharType="separate"/>
      </w:r>
      <w:r w:rsidR="00AB3FF6" w:rsidRPr="00AB3FF6">
        <w:rPr>
          <w:rFonts w:ascii="Arial" w:hAnsi="Arial" w:cs="Arial"/>
          <w:noProof/>
          <w:vertAlign w:val="superscript"/>
          <w:lang w:val="en-US"/>
        </w:rPr>
        <w:t>2</w:t>
      </w:r>
      <w:r w:rsidR="005115F7">
        <w:rPr>
          <w:rFonts w:ascii="Arial" w:hAnsi="Arial" w:cs="Arial"/>
          <w:lang w:val="en-US"/>
        </w:rPr>
        <w:fldChar w:fldCharType="end"/>
      </w:r>
      <w:r w:rsidR="00491CB6">
        <w:rPr>
          <w:rFonts w:ascii="Arial" w:hAnsi="Arial" w:cs="Arial"/>
          <w:lang w:val="en-US"/>
        </w:rPr>
        <w:t xml:space="preserve"> </w:t>
      </w:r>
      <w:r w:rsidR="00D02FC7">
        <w:rPr>
          <w:rFonts w:ascii="Arial" w:hAnsi="Arial" w:cs="Arial"/>
          <w:lang w:val="en-US"/>
        </w:rPr>
        <w:t>Rapid a</w:t>
      </w:r>
      <w:r w:rsidR="007204C1">
        <w:rPr>
          <w:rFonts w:ascii="Arial" w:hAnsi="Arial" w:cs="Arial"/>
          <w:lang w:val="en-US"/>
        </w:rPr>
        <w:t xml:space="preserve">ntigen tests against </w:t>
      </w:r>
      <w:r w:rsidR="00D02FC7">
        <w:rPr>
          <w:rFonts w:ascii="Arial" w:hAnsi="Arial" w:cs="Arial"/>
          <w:lang w:val="en-US"/>
        </w:rPr>
        <w:t>SARS-CoV-2</w:t>
      </w:r>
      <w:r w:rsidR="007204C1">
        <w:rPr>
          <w:rFonts w:ascii="Arial" w:hAnsi="Arial" w:cs="Arial"/>
          <w:lang w:val="en-US"/>
        </w:rPr>
        <w:t xml:space="preserve"> were not </w:t>
      </w:r>
      <w:r w:rsidR="00D02FC7">
        <w:rPr>
          <w:rFonts w:ascii="Arial" w:hAnsi="Arial" w:cs="Arial"/>
          <w:lang w:val="en-US"/>
        </w:rPr>
        <w:t xml:space="preserve">yet </w:t>
      </w:r>
      <w:r w:rsidR="007204C1">
        <w:rPr>
          <w:rFonts w:ascii="Arial" w:hAnsi="Arial" w:cs="Arial"/>
          <w:lang w:val="en-US"/>
        </w:rPr>
        <w:t>available in Mexico</w:t>
      </w:r>
      <w:r w:rsidR="00DF2AB1">
        <w:rPr>
          <w:rFonts w:ascii="Arial" w:hAnsi="Arial" w:cs="Arial"/>
          <w:lang w:val="en-US"/>
        </w:rPr>
        <w:fldChar w:fldCharType="begin" w:fldLock="1"/>
      </w:r>
      <w:r w:rsidR="000C1853">
        <w:rPr>
          <w:rFonts w:ascii="Arial" w:hAnsi="Arial" w:cs="Arial"/>
          <w:lang w:val="en-US"/>
        </w:rPr>
        <w:instrText>ADDIN CSL_CITATION {"citationItems":[{"id":"ITEM-1","itemData":{"DOI":"10.1017/S095026882100234X","ISSN":"0950-2688","abstract":"We conducted a retrospective observational study in patients with laboratory-confirmed coronavirus disease (COVID-19) who received medical care in 688 COVID-19 ambulatory units and hospitals in Mexico City between 24 February 2020 and 24 December 2020, to study if the elderly seek medical care later than younger patients and their severity of symptoms at initial medical evaluation. Patients were categorised into eight groups (&lt;20, 20–29, 30–39, 40–49, 50–59, 60–69, 70–79 and ≥80 years). Symptoms at initial evaluation were classified according to a previously validated classification into respiratory and non-respiratory symptoms. Comparisons between time from symptom onset to medical care for every age category were performed through variance analyses. Logistic regression models were applied to determine the risk of presenting symptoms of severity according to age, and mortality risk according to delays in medical care. In total, 286 020 patients were included (mean age: 42.8, s.d. : 16.8 years; 50.4% were women). Mean time from symptom onset to medical care was 4.04 ( s.d. : 3.6) days and increased with older age categories ( P &lt; 0.0001). Mortality risk increased by 6.4% for each day of delay in medical care from symptom onset. The risk of presenting with the symptoms of severity was greater with increasing age categories. In conclusion, COVID-19 patients with increasing ages tend to seek medical care later, with higher rates of symptoms of severity at initial presentation in both ambulatory units and hospitals.","author":[{"dropping-particle":"","family":"Mancilla-Galindo","given":"J.","non-dropping-particle":"","parse-names":false,"suffix":""},{"dropping-particle":"","family":"Kammar-García","given":"A.","non-dropping-particle":"","parse-names":false,"suffix":""},{"dropping-particle":"","family":"Martínez-Esteban","given":"A.","non-dropping-particle":"","parse-names":false,"suffix":""},{"dropping-particle":"","family":"Meza-Comparán","given":"H. D.","non-dropping-particle":"","parse-names":false,"suffix":""},{"dropping-particle":"","family":"Mancilla-Ramírez","given":"J.","non-dropping-particle":"","parse-names":false,"suffix":""},{"dropping-particle":"","family":"Galindo-Sevilla","given":"N.","non-dropping-particle":"","parse-names":false,"suffix":""}],"container-title":"Epidemiology and Infection","id":"ITEM-1","issued":{"date-parts":[["2021","10","22"]]},"page":"e230","title":"COVID-19 patients with increasing age experience differential time to initial medical care and severity of symptoms","type":"article-journal","volume":"149"},"uris":["http://www.mendeley.com/documents/?uuid=caac370f-5ffa-4a84-ae7c-0203564f20a7"]}],"mendeley":{"formattedCitation":"&lt;sup&gt;3&lt;/sup&gt;","plainTextFormattedCitation":"3","previouslyFormattedCitation":"&lt;sup&gt;3&lt;/sup&gt;"},"properties":{"noteIndex":0},"schema":"https://github.com/citation-style-language/schema/raw/master/csl-citation.json"}</w:instrText>
      </w:r>
      <w:r w:rsidR="00DF2AB1">
        <w:rPr>
          <w:rFonts w:ascii="Arial" w:hAnsi="Arial" w:cs="Arial"/>
          <w:lang w:val="en-US"/>
        </w:rPr>
        <w:fldChar w:fldCharType="separate"/>
      </w:r>
      <w:r w:rsidR="00AB3FF6" w:rsidRPr="00AB3FF6">
        <w:rPr>
          <w:rFonts w:ascii="Arial" w:hAnsi="Arial" w:cs="Arial"/>
          <w:noProof/>
          <w:vertAlign w:val="superscript"/>
          <w:lang w:val="en-US"/>
        </w:rPr>
        <w:t>3</w:t>
      </w:r>
      <w:r w:rsidR="00DF2AB1">
        <w:rPr>
          <w:rFonts w:ascii="Arial" w:hAnsi="Arial" w:cs="Arial"/>
          <w:lang w:val="en-US"/>
        </w:rPr>
        <w:fldChar w:fldCharType="end"/>
      </w:r>
      <w:r w:rsidR="00DF2AB1">
        <w:rPr>
          <w:rFonts w:ascii="Arial" w:hAnsi="Arial" w:cs="Arial"/>
          <w:lang w:val="en-US"/>
        </w:rPr>
        <w:t xml:space="preserve"> </w:t>
      </w:r>
      <w:r w:rsidR="007204C1">
        <w:rPr>
          <w:rFonts w:ascii="Arial" w:hAnsi="Arial" w:cs="Arial"/>
          <w:lang w:val="en-US"/>
        </w:rPr>
        <w:t xml:space="preserve">and </w:t>
      </w:r>
      <w:r w:rsidR="00DC32FC">
        <w:rPr>
          <w:rFonts w:ascii="Arial" w:hAnsi="Arial" w:cs="Arial"/>
          <w:lang w:val="en-US"/>
        </w:rPr>
        <w:t>it was not feasible to perform RT-PCR on patients before surgery due to long</w:t>
      </w:r>
      <w:r w:rsidR="00C924B7">
        <w:rPr>
          <w:rFonts w:ascii="Arial" w:hAnsi="Arial" w:cs="Arial"/>
          <w:lang w:val="en-US"/>
        </w:rPr>
        <w:t xml:space="preserve"> waiting times </w:t>
      </w:r>
      <w:r w:rsidR="008D531E">
        <w:rPr>
          <w:rFonts w:ascii="Arial" w:hAnsi="Arial" w:cs="Arial"/>
          <w:lang w:val="en-US"/>
        </w:rPr>
        <w:t xml:space="preserve">until the result was available. Thus, the hospital committee decided that patients were screened for COVID-19 </w:t>
      </w:r>
      <w:r w:rsidR="005115F7">
        <w:rPr>
          <w:rFonts w:ascii="Arial" w:hAnsi="Arial" w:cs="Arial"/>
          <w:lang w:val="en-US"/>
        </w:rPr>
        <w:t xml:space="preserve">by a </w:t>
      </w:r>
      <w:r w:rsidR="008349D7">
        <w:rPr>
          <w:rFonts w:ascii="Arial" w:hAnsi="Arial" w:cs="Arial"/>
          <w:lang w:val="en-US"/>
        </w:rPr>
        <w:t>sequential</w:t>
      </w:r>
      <w:r w:rsidR="005115F7">
        <w:rPr>
          <w:rFonts w:ascii="Arial" w:hAnsi="Arial" w:cs="Arial"/>
          <w:lang w:val="en-US"/>
        </w:rPr>
        <w:t xml:space="preserve"> approach </w:t>
      </w:r>
      <w:r w:rsidR="001E4371">
        <w:rPr>
          <w:rFonts w:ascii="Arial" w:hAnsi="Arial" w:cs="Arial"/>
          <w:lang w:val="en-US"/>
        </w:rPr>
        <w:t>consisting of 1</w:t>
      </w:r>
      <w:r w:rsidR="00F46E79">
        <w:rPr>
          <w:rFonts w:ascii="Arial" w:hAnsi="Arial" w:cs="Arial"/>
          <w:lang w:val="en-US"/>
        </w:rPr>
        <w:t>)</w:t>
      </w:r>
      <w:r w:rsidR="001E4371">
        <w:rPr>
          <w:rFonts w:ascii="Arial" w:hAnsi="Arial" w:cs="Arial"/>
          <w:lang w:val="en-US"/>
        </w:rPr>
        <w:t xml:space="preserve"> </w:t>
      </w:r>
      <w:r w:rsidR="00514FFA">
        <w:rPr>
          <w:rFonts w:ascii="Arial" w:hAnsi="Arial" w:cs="Arial"/>
          <w:lang w:val="en-US"/>
        </w:rPr>
        <w:t xml:space="preserve">patients were </w:t>
      </w:r>
      <w:r w:rsidR="002929EF">
        <w:rPr>
          <w:rFonts w:ascii="Arial" w:hAnsi="Arial" w:cs="Arial"/>
          <w:lang w:val="en-US"/>
        </w:rPr>
        <w:t>asked</w:t>
      </w:r>
      <w:r w:rsidR="00514FFA">
        <w:rPr>
          <w:rFonts w:ascii="Arial" w:hAnsi="Arial" w:cs="Arial"/>
          <w:lang w:val="en-US"/>
        </w:rPr>
        <w:t xml:space="preserve"> for</w:t>
      </w:r>
      <w:r w:rsidR="00F46E79">
        <w:rPr>
          <w:rFonts w:ascii="Arial" w:hAnsi="Arial" w:cs="Arial"/>
          <w:lang w:val="en-US"/>
        </w:rPr>
        <w:t xml:space="preserve"> sign and</w:t>
      </w:r>
      <w:r w:rsidR="00C84569">
        <w:rPr>
          <w:rFonts w:ascii="Arial" w:hAnsi="Arial" w:cs="Arial"/>
          <w:lang w:val="en-US"/>
        </w:rPr>
        <w:t xml:space="preserve"> symptoms of COVID-19</w:t>
      </w:r>
      <w:r w:rsidR="00146947">
        <w:rPr>
          <w:rFonts w:ascii="Arial" w:hAnsi="Arial" w:cs="Arial"/>
          <w:lang w:val="en-US"/>
        </w:rPr>
        <w:t xml:space="preserve"> prior to arriving to the hospital and</w:t>
      </w:r>
      <w:r w:rsidR="006D7045">
        <w:rPr>
          <w:rFonts w:ascii="Arial" w:hAnsi="Arial" w:cs="Arial"/>
          <w:lang w:val="en-US"/>
        </w:rPr>
        <w:t xml:space="preserve"> advised not to </w:t>
      </w:r>
      <w:r w:rsidR="00435C30">
        <w:rPr>
          <w:rFonts w:ascii="Arial" w:hAnsi="Arial" w:cs="Arial"/>
          <w:lang w:val="en-US"/>
        </w:rPr>
        <w:t>present for surgery</w:t>
      </w:r>
      <w:r w:rsidR="002929EF">
        <w:rPr>
          <w:rFonts w:ascii="Arial" w:hAnsi="Arial" w:cs="Arial"/>
          <w:lang w:val="en-US"/>
        </w:rPr>
        <w:t xml:space="preserve"> if these were present</w:t>
      </w:r>
      <w:r w:rsidR="00C84569">
        <w:rPr>
          <w:rFonts w:ascii="Arial" w:hAnsi="Arial" w:cs="Arial"/>
          <w:lang w:val="en-US"/>
        </w:rPr>
        <w:t xml:space="preserve">, </w:t>
      </w:r>
      <w:r w:rsidR="002929EF">
        <w:rPr>
          <w:rFonts w:ascii="Arial" w:hAnsi="Arial" w:cs="Arial"/>
          <w:lang w:val="en-US"/>
        </w:rPr>
        <w:t xml:space="preserve">2) upon arrival at the hospital, a rapid </w:t>
      </w:r>
      <w:r w:rsidR="005115F7">
        <w:rPr>
          <w:rFonts w:ascii="Arial" w:hAnsi="Arial" w:cs="Arial"/>
          <w:lang w:val="en-US"/>
        </w:rPr>
        <w:t>SARS-CoV-2 antibody testing</w:t>
      </w:r>
      <w:r w:rsidR="002929EF">
        <w:rPr>
          <w:rFonts w:ascii="Arial" w:hAnsi="Arial" w:cs="Arial"/>
          <w:lang w:val="en-US"/>
        </w:rPr>
        <w:t xml:space="preserve"> was performed. If IgM against SARS-</w:t>
      </w:r>
      <w:r w:rsidR="002929EF">
        <w:rPr>
          <w:rFonts w:ascii="Arial" w:hAnsi="Arial" w:cs="Arial"/>
          <w:lang w:val="en-US"/>
        </w:rPr>
        <w:lastRenderedPageBreak/>
        <w:t>CoV-2 was positive, the surgery was postponed. 3)</w:t>
      </w:r>
      <w:r w:rsidR="00DF220C">
        <w:rPr>
          <w:rFonts w:ascii="Arial" w:hAnsi="Arial" w:cs="Arial"/>
          <w:lang w:val="en-US"/>
        </w:rPr>
        <w:t xml:space="preserve"> If the antibody test was negative,</w:t>
      </w:r>
      <w:r w:rsidR="005115F7">
        <w:rPr>
          <w:rFonts w:ascii="Arial" w:hAnsi="Arial" w:cs="Arial"/>
          <w:lang w:val="en-US"/>
        </w:rPr>
        <w:t xml:space="preserve"> </w:t>
      </w:r>
      <w:r w:rsidR="00DF220C">
        <w:rPr>
          <w:rFonts w:ascii="Arial" w:hAnsi="Arial" w:cs="Arial"/>
          <w:lang w:val="en-US"/>
        </w:rPr>
        <w:t xml:space="preserve">a chest computed tomography (CT) was performed and </w:t>
      </w:r>
      <w:r w:rsidR="0080201D">
        <w:rPr>
          <w:rFonts w:ascii="Arial" w:hAnsi="Arial" w:cs="Arial"/>
          <w:lang w:val="en-US"/>
        </w:rPr>
        <w:t xml:space="preserve">a </w:t>
      </w:r>
      <w:r w:rsidR="00BB68C3">
        <w:rPr>
          <w:rFonts w:ascii="Arial" w:hAnsi="Arial" w:cs="Arial"/>
          <w:lang w:val="en-US"/>
        </w:rPr>
        <w:t>CO-RADS</w:t>
      </w:r>
      <w:r w:rsidR="0080201D">
        <w:rPr>
          <w:rFonts w:ascii="Arial" w:hAnsi="Arial" w:cs="Arial"/>
          <w:lang w:val="en-US"/>
        </w:rPr>
        <w:fldChar w:fldCharType="begin" w:fldLock="1"/>
      </w:r>
      <w:r w:rsidR="0080201D">
        <w:rPr>
          <w:rFonts w:ascii="Arial" w:hAnsi="Arial" w:cs="Arial"/>
          <w:lang w:val="en-US"/>
        </w:rPr>
        <w:instrText>ADDIN CSL_CITATION {"citationItems":[{"id":"ITEM-1","itemData":{"DOI":"10.1148/radiol.2020201473","ISSN":"1527-1315","PMID":"32339082","abstract":"Background A categorical CT assessment scheme for suspicion of pulmonary involvement of coronavirus disease 2019 (COVID-19 provides a basis for gathering scientific evidence and improved communication with referring physicians. Purpose To introduce the COVID-19 Reporting and Data System (CO-RADS) for use in the standardized assessment of pulmonary involvement of COVID-19 on unenhanced chest CT images and to report its initial interobserver agreement and performance. Materials and Methods The Dutch Radiological Society developed CO-RADS based on other efforts for standardization, such as the Lung Imaging Reporting and Data System or Breast Imaging Reporting and Data System. CO-RADS assesses the suspicion for pulmonary involvement of COVID-19 on a scale from 1 (very low) to 5 (very high). The system is meant to be used in patients with moderate to severe symptoms of COVID-19. The system was evaluated by using 105 chest CT scans of patients admitted to the hospital with clinical suspicion of COVID-19 and in whom reverse transcription-polymerase chain reaction (RT-PCR) was performed (mean, 62 years ± 16 [standard deviation]; 61 men, 53 with positive RT-PCR results). Eight observers used CO-RADS to assess the scans. Fleiss κ value was calculated, and scores of individual observers were compared with the median of the remaining seven observers. The resulting area under the receiver operating characteristics curve (AUC) was compared with results from RT-PCR and clinical diagnosis of COVID-19. Results There was absolute agreement among observers in 573 (68.2%) of 840 observations. Fleiss κ value was 0.47 (95% confidence interval [CI]: 0.45, 0.47), with the highest κ value for CO-RADS categories 1 (0.58, 95% CI: 0.54, 0.62) and 5 (0.68, 95% CI: 0.65, 0.72). The average AUC was 0.91 (95% CI: 0.85, 0.97) for predicting RT-PCR outcome and 0.95 (95% CI: 0.91, 0.99) for clinical diagnosis. The false-negative rate for CO-RADS 1 was nine of 161 cases (5.6%; 95% CI: 1.0%, 10%), and the false-positive rate for CO-RADS category 5 was one of 286 (0.3%; 95% CI: 0%, 1.0%). Conclusion The coronavirus disease 2019 (COVID-19) Reporting and Data System (CO-RADS) is a categorical assessment scheme for pulmonary involvement of COVID-19 at unenhanced chest CT that performs very well in predicting COVID-19 in patients with moderate to severe symptoms and has substantial interobserver agreement, especially for categories 1 and 5. © RSNA, 2020 Online supplemental material is available…","author":[{"dropping-particle":"","family":"Prokop","given":"Mathias","non-dropping-particle":"","parse-names":false,"suffix":""},{"dropping-particle":"","family":"Everdingen","given":"Wouter","non-dropping-particle":"van","parse-names":false,"suffix":""},{"dropping-particle":"","family":"Rees Vellinga","given":"Tjalco","non-dropping-particle":"van","parse-names":false,"suffix":""},{"dropping-particle":"","family":"Quarles van Ufford","given":"Henriëtte","non-dropping-particle":"","parse-names":false,"suffix":""},{"dropping-particle":"","family":"Stöger","given":"Lauran","non-dropping-particle":"","parse-names":false,"suffix":""},{"dropping-particle":"","family":"Beenen","given":"Ludo","non-dropping-particle":"","parse-names":false,"suffix":""},{"dropping-particle":"","family":"Geurts","given":"Bram","non-dropping-particle":"","parse-names":false,"suffix":""},{"dropping-particle":"","family":"Gietema","given":"Hester","non-dropping-particle":"","parse-names":false,"suffix":""},{"dropping-particle":"","family":"Krdzalic","given":"Jasenko","non-dropping-particle":"","parse-names":false,"suffix":""},{"dropping-particle":"","family":"Schaefer-Prokop","given":"Cornelia","non-dropping-particle":"","parse-names":false,"suffix":""},{"dropping-particle":"","family":"Ginneken","given":"Bram","non-dropping-particle":"van","parse-names":false,"suffix":""},{"dropping-particle":"","family":"Brink","given":"Monique","non-dropping-particle":"","parse-names":false,"suffix":""},{"dropping-particle":"","family":"COVID-19 Standardized Reporting Working Group of the Dutch Radiological Society","given":"","non-dropping-particle":"","parse-names":false,"suffix":""}],"container-title":"Radiology","id":"ITEM-1","issue":"2","issued":{"date-parts":[["2020"]]},"page":"E97-E104","title":"CO-RADS: A Categorical CT Assessment Scheme for Patients Suspected of Having COVID-19-Definition and Evaluation.","type":"article-journal","volume":"296"},"uris":["http://www.mendeley.com/documents/?uuid=c50274bd-11fe-44ab-b3f1-8da00a4f95f6"]}],"mendeley":{"formattedCitation":"&lt;sup&gt;4&lt;/sup&gt;","plainTextFormattedCitation":"4","previouslyFormattedCitation":"&lt;sup&gt;4&lt;/sup&gt;"},"properties":{"noteIndex":0},"schema":"https://github.com/citation-style-language/schema/raw/master/csl-citation.json"}</w:instrText>
      </w:r>
      <w:r w:rsidR="0080201D">
        <w:rPr>
          <w:rFonts w:ascii="Arial" w:hAnsi="Arial" w:cs="Arial"/>
          <w:lang w:val="en-US"/>
        </w:rPr>
        <w:fldChar w:fldCharType="separate"/>
      </w:r>
      <w:r w:rsidR="0080201D" w:rsidRPr="00AB3FF6">
        <w:rPr>
          <w:rFonts w:ascii="Arial" w:hAnsi="Arial" w:cs="Arial"/>
          <w:noProof/>
          <w:vertAlign w:val="superscript"/>
          <w:lang w:val="en-US"/>
        </w:rPr>
        <w:t>4</w:t>
      </w:r>
      <w:r w:rsidR="0080201D">
        <w:rPr>
          <w:rFonts w:ascii="Arial" w:hAnsi="Arial" w:cs="Arial"/>
          <w:lang w:val="en-US"/>
        </w:rPr>
        <w:fldChar w:fldCharType="end"/>
      </w:r>
      <w:r w:rsidR="00BB68C3">
        <w:rPr>
          <w:rFonts w:ascii="Arial" w:hAnsi="Arial" w:cs="Arial"/>
          <w:lang w:val="en-US"/>
        </w:rPr>
        <w:t xml:space="preserve"> score </w:t>
      </w:r>
      <w:r w:rsidR="00B16B8C">
        <w:rPr>
          <w:rFonts w:ascii="Arial" w:hAnsi="Arial" w:cs="Arial"/>
          <w:lang w:val="en-US"/>
        </w:rPr>
        <w:t xml:space="preserve">≥3 </w:t>
      </w:r>
      <w:r w:rsidR="0080201D">
        <w:rPr>
          <w:rFonts w:ascii="Arial" w:hAnsi="Arial" w:cs="Arial"/>
          <w:lang w:val="en-US"/>
        </w:rPr>
        <w:t>was</w:t>
      </w:r>
      <w:r w:rsidR="00B16B8C">
        <w:rPr>
          <w:rFonts w:ascii="Arial" w:hAnsi="Arial" w:cs="Arial"/>
          <w:lang w:val="en-US"/>
        </w:rPr>
        <w:t xml:space="preserve"> considered </w:t>
      </w:r>
      <w:r w:rsidR="00A16B69">
        <w:rPr>
          <w:rFonts w:ascii="Arial" w:hAnsi="Arial" w:cs="Arial"/>
          <w:lang w:val="en-US"/>
        </w:rPr>
        <w:t>suggestive</w:t>
      </w:r>
      <w:r w:rsidR="00F345A5">
        <w:rPr>
          <w:rFonts w:ascii="Arial" w:hAnsi="Arial" w:cs="Arial"/>
          <w:lang w:val="en-US"/>
        </w:rPr>
        <w:t xml:space="preserve"> of </w:t>
      </w:r>
      <w:r w:rsidR="00C91479">
        <w:rPr>
          <w:rFonts w:ascii="Arial" w:hAnsi="Arial" w:cs="Arial"/>
          <w:lang w:val="en-US"/>
        </w:rPr>
        <w:t>COVID-19, leading to</w:t>
      </w:r>
      <w:r w:rsidR="00F43803">
        <w:rPr>
          <w:rFonts w:ascii="Arial" w:hAnsi="Arial" w:cs="Arial"/>
          <w:lang w:val="en-US"/>
        </w:rPr>
        <w:t xml:space="preserve"> cancellation of the surgery</w:t>
      </w:r>
      <w:r w:rsidR="001F3D18">
        <w:rPr>
          <w:rFonts w:ascii="Arial" w:hAnsi="Arial" w:cs="Arial"/>
          <w:lang w:val="en-US"/>
        </w:rPr>
        <w:t>.</w:t>
      </w:r>
    </w:p>
    <w:p w14:paraId="182BEC17" w14:textId="0A15CE1C" w:rsidR="00DC2958" w:rsidRDefault="0047581D" w:rsidP="00B5060E">
      <w:pPr>
        <w:spacing w:line="480" w:lineRule="auto"/>
        <w:jc w:val="both"/>
        <w:rPr>
          <w:rFonts w:ascii="Arial" w:hAnsi="Arial" w:cs="Arial"/>
          <w:lang w:val="en-US"/>
        </w:rPr>
      </w:pPr>
      <w:r>
        <w:rPr>
          <w:rFonts w:ascii="Arial" w:hAnsi="Arial" w:cs="Arial"/>
          <w:lang w:val="en-US"/>
        </w:rPr>
        <w:t xml:space="preserve">Since chest CT </w:t>
      </w:r>
      <w:r w:rsidR="00481A0C">
        <w:rPr>
          <w:rFonts w:ascii="Arial" w:hAnsi="Arial" w:cs="Arial"/>
          <w:lang w:val="en-US"/>
        </w:rPr>
        <w:t xml:space="preserve">images were available as part of this screening process, we </w:t>
      </w:r>
      <w:r w:rsidR="00E336DE">
        <w:rPr>
          <w:rFonts w:ascii="Arial" w:hAnsi="Arial" w:cs="Arial"/>
          <w:lang w:val="en-US"/>
        </w:rPr>
        <w:t xml:space="preserve">considered this a unique opportunity to study the prevalence </w:t>
      </w:r>
      <w:r w:rsidR="005C1CC8">
        <w:rPr>
          <w:rFonts w:ascii="Arial" w:hAnsi="Arial" w:cs="Arial"/>
          <w:lang w:val="en-US"/>
        </w:rPr>
        <w:t xml:space="preserve">and extent </w:t>
      </w:r>
      <w:r w:rsidR="00E336DE">
        <w:rPr>
          <w:rFonts w:ascii="Arial" w:hAnsi="Arial" w:cs="Arial"/>
          <w:lang w:val="en-US"/>
        </w:rPr>
        <w:t xml:space="preserve">of preoperative atelectasis in patients with obesity undergoing bariatric surgery. </w:t>
      </w:r>
      <w:r w:rsidR="00932471">
        <w:rPr>
          <w:rFonts w:ascii="Arial" w:hAnsi="Arial" w:cs="Arial"/>
          <w:lang w:val="en-US"/>
        </w:rPr>
        <w:t xml:space="preserve">Adult patients who presented for </w:t>
      </w:r>
      <w:r w:rsidR="00C55F74">
        <w:rPr>
          <w:rFonts w:ascii="Arial" w:hAnsi="Arial" w:cs="Arial"/>
          <w:lang w:val="en-US"/>
        </w:rPr>
        <w:t>elective bariatric</w:t>
      </w:r>
      <w:r w:rsidR="00932471">
        <w:rPr>
          <w:rFonts w:ascii="Arial" w:hAnsi="Arial" w:cs="Arial"/>
          <w:lang w:val="en-US"/>
        </w:rPr>
        <w:t xml:space="preserve"> surgery</w:t>
      </w:r>
      <w:r w:rsidR="00146F7F">
        <w:rPr>
          <w:rFonts w:ascii="Arial" w:hAnsi="Arial" w:cs="Arial"/>
          <w:lang w:val="en-US"/>
        </w:rPr>
        <w:t xml:space="preserve"> </w:t>
      </w:r>
      <w:r w:rsidR="00DC2958">
        <w:rPr>
          <w:rFonts w:ascii="Arial" w:hAnsi="Arial" w:cs="Arial"/>
          <w:lang w:val="en-US"/>
        </w:rPr>
        <w:t>who</w:t>
      </w:r>
      <w:r w:rsidR="00146F7F">
        <w:rPr>
          <w:rFonts w:ascii="Arial" w:hAnsi="Arial" w:cs="Arial"/>
          <w:lang w:val="en-US"/>
        </w:rPr>
        <w:t xml:space="preserve"> underwent chest CT scan screening for COVID-19 were eligible</w:t>
      </w:r>
      <w:r w:rsidR="00B5060E" w:rsidRPr="005865D6">
        <w:rPr>
          <w:rFonts w:ascii="Arial" w:hAnsi="Arial" w:cs="Arial"/>
          <w:lang w:val="en-US"/>
        </w:rPr>
        <w:t>.</w:t>
      </w:r>
      <w:r w:rsidR="00146F7F">
        <w:rPr>
          <w:rFonts w:ascii="Arial" w:hAnsi="Arial" w:cs="Arial"/>
          <w:lang w:val="en-US"/>
        </w:rPr>
        <w:t xml:space="preserve"> </w:t>
      </w:r>
      <w:r w:rsidR="002F5245">
        <w:rPr>
          <w:rFonts w:ascii="Arial" w:hAnsi="Arial" w:cs="Arial"/>
          <w:lang w:val="en-US"/>
        </w:rPr>
        <w:t xml:space="preserve">Exclusion criteria were a </w:t>
      </w:r>
      <w:r w:rsidR="002B00C8">
        <w:rPr>
          <w:rFonts w:ascii="Arial" w:hAnsi="Arial" w:cs="Arial"/>
          <w:lang w:val="en-US"/>
        </w:rPr>
        <w:t xml:space="preserve">CO-RADS score ≥3, positive </w:t>
      </w:r>
      <w:r w:rsidR="00CC26D6">
        <w:rPr>
          <w:rFonts w:ascii="Arial" w:hAnsi="Arial" w:cs="Arial"/>
          <w:lang w:val="en-US"/>
        </w:rPr>
        <w:t>antibody test aga</w:t>
      </w:r>
      <w:r w:rsidR="007003DB">
        <w:rPr>
          <w:rFonts w:ascii="Arial" w:hAnsi="Arial" w:cs="Arial"/>
          <w:lang w:val="en-US"/>
        </w:rPr>
        <w:t>inst SARS-CoV-2</w:t>
      </w:r>
      <w:r w:rsidR="001C5AB3">
        <w:rPr>
          <w:rFonts w:ascii="Arial" w:hAnsi="Arial" w:cs="Arial"/>
          <w:lang w:val="en-US"/>
        </w:rPr>
        <w:t>,</w:t>
      </w:r>
      <w:r w:rsidR="009E420E">
        <w:rPr>
          <w:rFonts w:ascii="Arial" w:hAnsi="Arial" w:cs="Arial"/>
          <w:lang w:val="en-US"/>
        </w:rPr>
        <w:t xml:space="preserve"> a</w:t>
      </w:r>
      <w:r w:rsidR="00E64857">
        <w:rPr>
          <w:rFonts w:ascii="Arial" w:hAnsi="Arial" w:cs="Arial"/>
          <w:lang w:val="en-US"/>
        </w:rPr>
        <w:t>nd</w:t>
      </w:r>
      <w:r w:rsidR="009E420E">
        <w:rPr>
          <w:rFonts w:ascii="Arial" w:hAnsi="Arial" w:cs="Arial"/>
          <w:lang w:val="en-US"/>
        </w:rPr>
        <w:t xml:space="preserve"> </w:t>
      </w:r>
      <w:r w:rsidR="001C5AB3">
        <w:rPr>
          <w:rFonts w:ascii="Arial" w:hAnsi="Arial" w:cs="Arial"/>
          <w:lang w:val="en-US"/>
        </w:rPr>
        <w:t xml:space="preserve">a </w:t>
      </w:r>
      <w:r w:rsidR="00156246">
        <w:rPr>
          <w:rFonts w:ascii="Arial" w:hAnsi="Arial" w:cs="Arial"/>
          <w:lang w:val="en-US"/>
        </w:rPr>
        <w:t xml:space="preserve">prior </w:t>
      </w:r>
      <w:r w:rsidR="002A6510">
        <w:rPr>
          <w:rFonts w:ascii="Arial" w:hAnsi="Arial" w:cs="Arial"/>
          <w:lang w:val="en-US"/>
        </w:rPr>
        <w:t xml:space="preserve">history </w:t>
      </w:r>
      <w:r w:rsidR="009E420E">
        <w:rPr>
          <w:rFonts w:ascii="Arial" w:hAnsi="Arial" w:cs="Arial"/>
          <w:lang w:val="en-US"/>
        </w:rPr>
        <w:t xml:space="preserve">of </w:t>
      </w:r>
      <w:r w:rsidR="00156246">
        <w:rPr>
          <w:rFonts w:ascii="Arial" w:hAnsi="Arial" w:cs="Arial"/>
          <w:lang w:val="en-US"/>
        </w:rPr>
        <w:t>COVID-19</w:t>
      </w:r>
      <w:r w:rsidR="00E06E49">
        <w:rPr>
          <w:rFonts w:ascii="Arial" w:hAnsi="Arial" w:cs="Arial"/>
          <w:lang w:val="en-US"/>
        </w:rPr>
        <w:t>,</w:t>
      </w:r>
      <w:r w:rsidR="00E64857">
        <w:rPr>
          <w:rFonts w:ascii="Arial" w:hAnsi="Arial" w:cs="Arial"/>
          <w:lang w:val="en-US"/>
        </w:rPr>
        <w:t xml:space="preserve"> </w:t>
      </w:r>
      <w:r w:rsidR="007872B3">
        <w:rPr>
          <w:rFonts w:ascii="Arial" w:hAnsi="Arial" w:cs="Arial"/>
          <w:lang w:val="en-US"/>
        </w:rPr>
        <w:t>neuromuscular</w:t>
      </w:r>
      <w:r w:rsidR="00E64857">
        <w:rPr>
          <w:rFonts w:ascii="Arial" w:hAnsi="Arial" w:cs="Arial"/>
          <w:lang w:val="en-US"/>
        </w:rPr>
        <w:t xml:space="preserve"> disease</w:t>
      </w:r>
      <w:r w:rsidR="007872B3">
        <w:rPr>
          <w:rFonts w:ascii="Arial" w:hAnsi="Arial" w:cs="Arial"/>
          <w:lang w:val="en-US"/>
        </w:rPr>
        <w:t>,</w:t>
      </w:r>
      <w:r w:rsidR="00E64857">
        <w:rPr>
          <w:rFonts w:ascii="Arial" w:hAnsi="Arial" w:cs="Arial"/>
          <w:lang w:val="en-US"/>
        </w:rPr>
        <w:t xml:space="preserve"> or </w:t>
      </w:r>
      <w:r w:rsidR="007872B3">
        <w:rPr>
          <w:rFonts w:ascii="Arial" w:hAnsi="Arial" w:cs="Arial"/>
          <w:lang w:val="en-US"/>
        </w:rPr>
        <w:t>bronchiectasis</w:t>
      </w:r>
      <w:r w:rsidR="009E420E">
        <w:rPr>
          <w:rFonts w:ascii="Arial" w:hAnsi="Arial" w:cs="Arial"/>
          <w:lang w:val="en-US"/>
        </w:rPr>
        <w:t xml:space="preserve">. </w:t>
      </w:r>
    </w:p>
    <w:p w14:paraId="79C4D575" w14:textId="7ABF4E4D" w:rsidR="00B5060E" w:rsidRPr="005865D6" w:rsidRDefault="00DC2958" w:rsidP="00B5060E">
      <w:pPr>
        <w:spacing w:line="480" w:lineRule="auto"/>
        <w:jc w:val="both"/>
        <w:rPr>
          <w:rFonts w:ascii="Arial" w:hAnsi="Arial" w:cs="Arial"/>
          <w:lang w:val="en-US"/>
        </w:rPr>
      </w:pPr>
      <w:r>
        <w:rPr>
          <w:rFonts w:ascii="Arial" w:hAnsi="Arial" w:cs="Arial"/>
          <w:lang w:val="en-US"/>
        </w:rPr>
        <w:t>This study was reviewed and approved by the ethics committee of Hospital General de Tijuana (CONBIOÉTICA-02-CEI-001-20170526, approval no. 001771).</w:t>
      </w:r>
    </w:p>
    <w:p w14:paraId="0E5C1939" w14:textId="2C3A697A" w:rsidR="009D7536" w:rsidRPr="00C55F74" w:rsidRDefault="00912E0D" w:rsidP="009D7536">
      <w:pPr>
        <w:spacing w:line="480" w:lineRule="auto"/>
        <w:jc w:val="both"/>
        <w:rPr>
          <w:rFonts w:ascii="Arial" w:hAnsi="Arial" w:cs="Arial"/>
          <w:b/>
          <w:bCs/>
          <w:lang w:val="en-US"/>
        </w:rPr>
      </w:pPr>
      <w:r>
        <w:rPr>
          <w:rFonts w:ascii="Arial" w:hAnsi="Arial" w:cs="Arial"/>
          <w:b/>
          <w:bCs/>
          <w:lang w:val="en-US"/>
        </w:rPr>
        <w:t>Outcomes</w:t>
      </w:r>
    </w:p>
    <w:p w14:paraId="16F1F652" w14:textId="5DC9A7EF" w:rsidR="00A03359" w:rsidRDefault="00253F36" w:rsidP="009D7536">
      <w:pPr>
        <w:spacing w:line="480" w:lineRule="auto"/>
        <w:jc w:val="both"/>
        <w:rPr>
          <w:rFonts w:ascii="Arial" w:hAnsi="Arial" w:cs="Arial"/>
          <w:lang w:val="en-US"/>
        </w:rPr>
      </w:pPr>
      <w:r>
        <w:rPr>
          <w:rFonts w:ascii="Arial" w:hAnsi="Arial" w:cs="Arial"/>
          <w:lang w:val="en-US"/>
        </w:rPr>
        <w:t xml:space="preserve">The </w:t>
      </w:r>
      <w:r w:rsidR="00315579">
        <w:rPr>
          <w:rFonts w:ascii="Arial" w:hAnsi="Arial" w:cs="Arial"/>
          <w:lang w:val="en-US"/>
        </w:rPr>
        <w:t>main</w:t>
      </w:r>
      <w:r w:rsidR="00C35FD6">
        <w:rPr>
          <w:rFonts w:ascii="Arial" w:hAnsi="Arial" w:cs="Arial"/>
          <w:lang w:val="en-US"/>
        </w:rPr>
        <w:t xml:space="preserve"> outcome </w:t>
      </w:r>
      <w:r w:rsidR="00912E0D">
        <w:rPr>
          <w:rFonts w:ascii="Arial" w:hAnsi="Arial" w:cs="Arial"/>
          <w:lang w:val="en-US"/>
        </w:rPr>
        <w:t xml:space="preserve">of interest </w:t>
      </w:r>
      <w:r w:rsidR="00C35FD6">
        <w:rPr>
          <w:rFonts w:ascii="Arial" w:hAnsi="Arial" w:cs="Arial"/>
          <w:lang w:val="en-US"/>
        </w:rPr>
        <w:t>was the prevalence of atelectasis</w:t>
      </w:r>
      <w:r w:rsidR="00ED04CD">
        <w:rPr>
          <w:rFonts w:ascii="Arial" w:hAnsi="Arial" w:cs="Arial"/>
          <w:lang w:val="en-US"/>
        </w:rPr>
        <w:t>. The degree of</w:t>
      </w:r>
      <w:r w:rsidR="00315579">
        <w:rPr>
          <w:rFonts w:ascii="Arial" w:hAnsi="Arial" w:cs="Arial"/>
          <w:lang w:val="en-US"/>
        </w:rPr>
        <w:t xml:space="preserve"> atelectasis coverage </w:t>
      </w:r>
      <w:r w:rsidR="00DE473C">
        <w:rPr>
          <w:rFonts w:ascii="Arial" w:hAnsi="Arial" w:cs="Arial"/>
          <w:lang w:val="en-US"/>
        </w:rPr>
        <w:t xml:space="preserve">as a percentage of lung volume and </w:t>
      </w:r>
      <w:r w:rsidR="00912E0D">
        <w:rPr>
          <w:rFonts w:ascii="Arial" w:hAnsi="Arial" w:cs="Arial"/>
          <w:lang w:val="en-US"/>
        </w:rPr>
        <w:t xml:space="preserve">the </w:t>
      </w:r>
      <w:r w:rsidR="00912E0D" w:rsidRPr="005865D6">
        <w:rPr>
          <w:rFonts w:ascii="Arial" w:hAnsi="Arial" w:cs="Arial"/>
          <w:lang w:val="en-US"/>
        </w:rPr>
        <w:t>peripheral saturation of oxygen (SpO2)</w:t>
      </w:r>
      <w:r w:rsidR="00912E0D">
        <w:rPr>
          <w:rFonts w:ascii="Arial" w:hAnsi="Arial" w:cs="Arial"/>
          <w:lang w:val="en-US"/>
        </w:rPr>
        <w:t xml:space="preserve"> during the preanesthetic assessment were secondary outcomes. </w:t>
      </w:r>
    </w:p>
    <w:p w14:paraId="5516253E" w14:textId="043C2088" w:rsidR="00912E0D" w:rsidRDefault="00AB52EB" w:rsidP="009D7536">
      <w:pPr>
        <w:spacing w:line="480" w:lineRule="auto"/>
        <w:jc w:val="both"/>
        <w:rPr>
          <w:rFonts w:ascii="Arial" w:hAnsi="Arial" w:cs="Arial"/>
          <w:lang w:val="en-US"/>
        </w:rPr>
      </w:pPr>
      <w:r>
        <w:rPr>
          <w:rFonts w:ascii="Arial" w:hAnsi="Arial" w:cs="Arial"/>
          <w:lang w:val="en-US"/>
        </w:rPr>
        <w:t xml:space="preserve">High-resolution </w:t>
      </w:r>
      <w:r w:rsidR="004E6B3D">
        <w:rPr>
          <w:rFonts w:ascii="Arial" w:hAnsi="Arial" w:cs="Arial"/>
          <w:lang w:val="en-US"/>
        </w:rPr>
        <w:t>chest CT</w:t>
      </w:r>
      <w:r w:rsidR="00A321F4">
        <w:rPr>
          <w:rFonts w:ascii="Arial" w:hAnsi="Arial" w:cs="Arial"/>
          <w:lang w:val="en-US"/>
        </w:rPr>
        <w:t xml:space="preserve"> </w:t>
      </w:r>
      <w:r w:rsidR="00136057">
        <w:rPr>
          <w:rFonts w:ascii="Arial" w:hAnsi="Arial" w:cs="Arial"/>
          <w:lang w:val="en-US"/>
        </w:rPr>
        <w:t xml:space="preserve">images </w:t>
      </w:r>
      <w:r w:rsidR="004E6B3D">
        <w:rPr>
          <w:rFonts w:ascii="Arial" w:hAnsi="Arial" w:cs="Arial"/>
          <w:lang w:val="en-US"/>
        </w:rPr>
        <w:t xml:space="preserve">(1mm slices, </w:t>
      </w:r>
      <w:r w:rsidR="004E6B3D" w:rsidRPr="00960D64">
        <w:rPr>
          <w:rFonts w:ascii="Arial" w:hAnsi="Arial" w:cs="Arial"/>
          <w:lang w:val="en-US"/>
        </w:rPr>
        <w:t>120k</w:t>
      </w:r>
      <w:r w:rsidR="007B6E12">
        <w:rPr>
          <w:rFonts w:ascii="Arial" w:hAnsi="Arial" w:cs="Arial"/>
          <w:lang w:val="en-US"/>
        </w:rPr>
        <w:t>V</w:t>
      </w:r>
      <w:r w:rsidR="004E6B3D" w:rsidRPr="00960D64">
        <w:rPr>
          <w:rFonts w:ascii="Arial" w:hAnsi="Arial" w:cs="Arial"/>
          <w:lang w:val="en-US"/>
        </w:rPr>
        <w:t>, 50m</w:t>
      </w:r>
      <w:r w:rsidR="007B6E12">
        <w:rPr>
          <w:rFonts w:ascii="Arial" w:hAnsi="Arial" w:cs="Arial"/>
          <w:lang w:val="en-US"/>
        </w:rPr>
        <w:t>A</w:t>
      </w:r>
      <w:r w:rsidR="004E6B3D" w:rsidRPr="00960D64">
        <w:rPr>
          <w:rFonts w:ascii="Arial" w:hAnsi="Arial" w:cs="Arial"/>
          <w:lang w:val="en-US"/>
        </w:rPr>
        <w:t>, scan time: 0.5sec, FOV L</w:t>
      </w:r>
      <w:r w:rsidR="007B6E12">
        <w:rPr>
          <w:rFonts w:ascii="Arial" w:hAnsi="Arial" w:cs="Arial"/>
          <w:lang w:val="en-US"/>
        </w:rPr>
        <w:t>:</w:t>
      </w:r>
      <w:r w:rsidR="004E6B3D" w:rsidRPr="00960D64">
        <w:rPr>
          <w:rFonts w:ascii="Arial" w:hAnsi="Arial" w:cs="Arial"/>
          <w:lang w:val="en-US"/>
        </w:rPr>
        <w:t xml:space="preserve"> 240</w:t>
      </w:r>
      <w:r w:rsidR="004E6B3D">
        <w:rPr>
          <w:rFonts w:ascii="Arial" w:hAnsi="Arial" w:cs="Arial"/>
          <w:lang w:val="en-US"/>
        </w:rPr>
        <w:t xml:space="preserve">) </w:t>
      </w:r>
      <w:r w:rsidR="00136057">
        <w:rPr>
          <w:rFonts w:ascii="Arial" w:hAnsi="Arial" w:cs="Arial"/>
          <w:lang w:val="en-US"/>
        </w:rPr>
        <w:t>were obtained wit</w:t>
      </w:r>
      <w:r w:rsidR="00F41DE1">
        <w:rPr>
          <w:rFonts w:ascii="Arial" w:hAnsi="Arial" w:cs="Arial"/>
          <w:lang w:val="en-US"/>
        </w:rPr>
        <w:t xml:space="preserve">h a </w:t>
      </w:r>
      <w:r w:rsidR="00F41DE1" w:rsidRPr="00F41DE1">
        <w:rPr>
          <w:rFonts w:ascii="Arial" w:hAnsi="Arial" w:cs="Arial"/>
          <w:lang w:val="en-US"/>
        </w:rPr>
        <w:t>Toshiba</w:t>
      </w:r>
      <w:r w:rsidR="00EC5A66" w:rsidRPr="00EC5A66">
        <w:rPr>
          <w:rFonts w:ascii="Arial" w:hAnsi="Arial" w:cs="Arial"/>
          <w:vertAlign w:val="superscript"/>
          <w:lang w:val="en-US"/>
        </w:rPr>
        <w:t>©</w:t>
      </w:r>
      <w:r w:rsidR="00F41DE1" w:rsidRPr="00F41DE1">
        <w:rPr>
          <w:rFonts w:ascii="Arial" w:hAnsi="Arial" w:cs="Arial"/>
          <w:lang w:val="en-US"/>
        </w:rPr>
        <w:t xml:space="preserve"> </w:t>
      </w:r>
      <w:proofErr w:type="spellStart"/>
      <w:r w:rsidR="00F41DE1" w:rsidRPr="00F41DE1">
        <w:rPr>
          <w:rFonts w:ascii="Arial" w:hAnsi="Arial" w:cs="Arial"/>
          <w:lang w:val="en-US"/>
        </w:rPr>
        <w:t>Aquilion</w:t>
      </w:r>
      <w:proofErr w:type="spellEnd"/>
      <w:r w:rsidR="00F41DE1" w:rsidRPr="00F41DE1">
        <w:rPr>
          <w:rFonts w:ascii="Arial" w:hAnsi="Arial" w:cs="Arial"/>
          <w:lang w:val="en-US"/>
        </w:rPr>
        <w:t xml:space="preserve"> 16 Slice CT Scanner</w:t>
      </w:r>
      <w:r w:rsidR="00960D64">
        <w:rPr>
          <w:rFonts w:ascii="Arial" w:hAnsi="Arial" w:cs="Arial"/>
          <w:lang w:val="en-US"/>
        </w:rPr>
        <w:t xml:space="preserve"> </w:t>
      </w:r>
      <w:r w:rsidR="007E4CCD">
        <w:rPr>
          <w:rFonts w:ascii="Arial" w:hAnsi="Arial" w:cs="Arial"/>
          <w:lang w:val="en-US"/>
        </w:rPr>
        <w:t xml:space="preserve">and archived in </w:t>
      </w:r>
      <w:proofErr w:type="spellStart"/>
      <w:r w:rsidR="007E4CCD">
        <w:rPr>
          <w:rFonts w:ascii="Arial" w:hAnsi="Arial" w:cs="Arial"/>
          <w:lang w:val="en-US"/>
        </w:rPr>
        <w:t>E</w:t>
      </w:r>
      <w:r w:rsidR="00F560C1">
        <w:rPr>
          <w:rFonts w:ascii="Arial" w:hAnsi="Arial" w:cs="Arial"/>
          <w:lang w:val="en-US"/>
        </w:rPr>
        <w:t>voView</w:t>
      </w:r>
      <w:proofErr w:type="spellEnd"/>
      <w:r w:rsidR="00F560C1">
        <w:rPr>
          <w:rFonts w:ascii="Arial" w:hAnsi="Arial" w:cs="Arial"/>
          <w:lang w:val="en-US"/>
        </w:rPr>
        <w:t xml:space="preserve"> PACS (</w:t>
      </w:r>
      <w:r w:rsidR="00F560C1" w:rsidRPr="00F560C1">
        <w:rPr>
          <w:rFonts w:ascii="Arial" w:hAnsi="Arial" w:cs="Arial"/>
          <w:lang w:val="en-US"/>
        </w:rPr>
        <w:t>U.M.G. Inc.</w:t>
      </w:r>
      <w:r w:rsidR="00F560C1">
        <w:rPr>
          <w:rFonts w:ascii="Arial" w:hAnsi="Arial" w:cs="Arial"/>
          <w:lang w:val="en-US"/>
        </w:rPr>
        <w:t xml:space="preserve">). </w:t>
      </w:r>
      <w:r w:rsidR="00132A4C">
        <w:rPr>
          <w:rFonts w:ascii="Arial" w:hAnsi="Arial" w:cs="Arial"/>
          <w:lang w:val="en-US"/>
        </w:rPr>
        <w:t>A</w:t>
      </w:r>
      <w:r w:rsidR="00B06DCB">
        <w:rPr>
          <w:rFonts w:ascii="Arial" w:hAnsi="Arial" w:cs="Arial"/>
          <w:lang w:val="en-US"/>
        </w:rPr>
        <w:t xml:space="preserve"> senior</w:t>
      </w:r>
      <w:r w:rsidR="004B7351">
        <w:rPr>
          <w:rFonts w:ascii="Arial" w:hAnsi="Arial" w:cs="Arial"/>
          <w:lang w:val="en-US"/>
        </w:rPr>
        <w:t xml:space="preserve"> radiologist </w:t>
      </w:r>
      <w:r w:rsidR="00D03068">
        <w:rPr>
          <w:rFonts w:ascii="Arial" w:hAnsi="Arial" w:cs="Arial"/>
          <w:lang w:val="en-US"/>
        </w:rPr>
        <w:t>was blinded to</w:t>
      </w:r>
      <w:r w:rsidR="00F1472C">
        <w:rPr>
          <w:rFonts w:ascii="Arial" w:hAnsi="Arial" w:cs="Arial"/>
          <w:lang w:val="en-US"/>
        </w:rPr>
        <w:t xml:space="preserve"> the patient’s BMI and </w:t>
      </w:r>
      <w:r w:rsidR="00162F5B">
        <w:rPr>
          <w:rFonts w:ascii="Arial" w:hAnsi="Arial" w:cs="Arial"/>
          <w:lang w:val="en-US"/>
        </w:rPr>
        <w:t>analyzed</w:t>
      </w:r>
      <w:r w:rsidR="004B7351">
        <w:rPr>
          <w:rFonts w:ascii="Arial" w:hAnsi="Arial" w:cs="Arial"/>
          <w:lang w:val="en-US"/>
        </w:rPr>
        <w:t xml:space="preserve"> chest CT scans </w:t>
      </w:r>
      <w:r w:rsidR="00162F5B">
        <w:rPr>
          <w:rFonts w:ascii="Arial" w:hAnsi="Arial" w:cs="Arial"/>
          <w:lang w:val="en-US"/>
        </w:rPr>
        <w:t xml:space="preserve">in </w:t>
      </w:r>
      <w:proofErr w:type="spellStart"/>
      <w:r w:rsidR="00303078" w:rsidRPr="00303078">
        <w:rPr>
          <w:rFonts w:ascii="Arial" w:hAnsi="Arial" w:cs="Arial"/>
          <w:lang w:val="en-US"/>
        </w:rPr>
        <w:t>OsiriX</w:t>
      </w:r>
      <w:proofErr w:type="spellEnd"/>
      <w:r w:rsidR="00AA03E1" w:rsidRPr="00EC5A66">
        <w:rPr>
          <w:rFonts w:ascii="Arial" w:hAnsi="Arial" w:cs="Arial"/>
          <w:vertAlign w:val="superscript"/>
          <w:lang w:val="en-US"/>
        </w:rPr>
        <w:t>©</w:t>
      </w:r>
      <w:r w:rsidR="00303078" w:rsidRPr="00303078">
        <w:rPr>
          <w:rFonts w:ascii="Arial" w:hAnsi="Arial" w:cs="Arial"/>
          <w:lang w:val="en-US"/>
        </w:rPr>
        <w:t xml:space="preserve"> </w:t>
      </w:r>
      <w:r w:rsidR="00AA03E1">
        <w:rPr>
          <w:rFonts w:ascii="Arial" w:hAnsi="Arial" w:cs="Arial"/>
          <w:lang w:val="en-US"/>
        </w:rPr>
        <w:t xml:space="preserve">viewer </w:t>
      </w:r>
      <w:r w:rsidR="004B7351">
        <w:rPr>
          <w:rFonts w:ascii="Arial" w:hAnsi="Arial" w:cs="Arial"/>
          <w:lang w:val="en-US"/>
        </w:rPr>
        <w:t xml:space="preserve">to assess the </w:t>
      </w:r>
      <w:r w:rsidR="00B06DCB">
        <w:rPr>
          <w:rFonts w:ascii="Arial" w:hAnsi="Arial" w:cs="Arial"/>
          <w:lang w:val="en-US"/>
        </w:rPr>
        <w:t xml:space="preserve">presence </w:t>
      </w:r>
      <w:r w:rsidR="001B2CC4">
        <w:rPr>
          <w:rFonts w:ascii="Arial" w:hAnsi="Arial" w:cs="Arial"/>
          <w:lang w:val="en-US"/>
        </w:rPr>
        <w:t xml:space="preserve">and extent </w:t>
      </w:r>
      <w:r w:rsidR="00B06DCB">
        <w:rPr>
          <w:rFonts w:ascii="Arial" w:hAnsi="Arial" w:cs="Arial"/>
          <w:lang w:val="en-US"/>
        </w:rPr>
        <w:t>of atelectasis</w:t>
      </w:r>
      <w:r w:rsidR="006062F2">
        <w:rPr>
          <w:rFonts w:ascii="Arial" w:hAnsi="Arial" w:cs="Arial"/>
          <w:lang w:val="en-US"/>
        </w:rPr>
        <w:t xml:space="preserve"> by first measuring the </w:t>
      </w:r>
      <w:r w:rsidR="006062F2" w:rsidRPr="00EF3928">
        <w:rPr>
          <w:rFonts w:ascii="Arial" w:hAnsi="Arial" w:cs="Arial"/>
          <w:lang w:val="en-US"/>
        </w:rPr>
        <w:t>total area of the lung</w:t>
      </w:r>
      <w:r w:rsidR="00633F89">
        <w:rPr>
          <w:rFonts w:ascii="Arial" w:hAnsi="Arial" w:cs="Arial"/>
          <w:lang w:val="en-US"/>
        </w:rPr>
        <w:sym w:font="Symbol" w:char="F0BE"/>
      </w:r>
      <w:r w:rsidR="006062F2" w:rsidRPr="00EF3928">
        <w:rPr>
          <w:rFonts w:ascii="Arial" w:hAnsi="Arial" w:cs="Arial"/>
          <w:lang w:val="en-US"/>
        </w:rPr>
        <w:t>pixels with density values between –1000 and +100</w:t>
      </w:r>
      <w:r w:rsidR="006062F2" w:rsidRPr="00FA5BC3">
        <w:t xml:space="preserve"> </w:t>
      </w:r>
      <w:r w:rsidR="006062F2" w:rsidRPr="00FA5BC3">
        <w:rPr>
          <w:rFonts w:ascii="Arial" w:hAnsi="Arial" w:cs="Arial"/>
          <w:lang w:val="en-US"/>
        </w:rPr>
        <w:t>Hounsfield</w:t>
      </w:r>
      <w:r w:rsidR="006062F2">
        <w:rPr>
          <w:rFonts w:ascii="Arial" w:hAnsi="Arial" w:cs="Arial"/>
          <w:lang w:val="en-US"/>
        </w:rPr>
        <w:t xml:space="preserve"> Units</w:t>
      </w:r>
      <w:r w:rsidR="006062F2" w:rsidRPr="00EF3928">
        <w:rPr>
          <w:rFonts w:ascii="Arial" w:hAnsi="Arial" w:cs="Arial"/>
          <w:lang w:val="en-US"/>
        </w:rPr>
        <w:t xml:space="preserve"> </w:t>
      </w:r>
      <w:r w:rsidR="006062F2">
        <w:rPr>
          <w:rFonts w:ascii="Arial" w:hAnsi="Arial" w:cs="Arial"/>
          <w:lang w:val="en-US"/>
        </w:rPr>
        <w:t>(</w:t>
      </w:r>
      <w:r w:rsidR="006062F2" w:rsidRPr="00EF3928">
        <w:rPr>
          <w:rFonts w:ascii="Arial" w:hAnsi="Arial" w:cs="Arial"/>
          <w:lang w:val="en-US"/>
        </w:rPr>
        <w:t>HU</w:t>
      </w:r>
      <w:r w:rsidR="006062F2">
        <w:rPr>
          <w:rFonts w:ascii="Arial" w:hAnsi="Arial" w:cs="Arial"/>
          <w:lang w:val="en-US"/>
        </w:rPr>
        <w:t>)</w:t>
      </w:r>
      <w:r w:rsidR="00633F89">
        <w:rPr>
          <w:rFonts w:ascii="Arial" w:hAnsi="Arial" w:cs="Arial"/>
          <w:lang w:val="en-US"/>
        </w:rPr>
        <w:sym w:font="Symbol" w:char="F0BE"/>
      </w:r>
      <w:r w:rsidR="006062F2">
        <w:rPr>
          <w:rFonts w:ascii="Arial" w:hAnsi="Arial" w:cs="Arial"/>
          <w:lang w:val="en-US"/>
        </w:rPr>
        <w:t xml:space="preserve">. </w:t>
      </w:r>
      <w:r w:rsidR="00EF3928" w:rsidRPr="00EF3928">
        <w:rPr>
          <w:rFonts w:ascii="Arial" w:hAnsi="Arial" w:cs="Arial"/>
          <w:lang w:val="en-US"/>
        </w:rPr>
        <w:t xml:space="preserve">Densities considered to indicate atelectasis </w:t>
      </w:r>
      <w:r w:rsidR="00FA5BC3">
        <w:rPr>
          <w:rFonts w:ascii="Arial" w:hAnsi="Arial" w:cs="Arial"/>
          <w:lang w:val="en-US"/>
        </w:rPr>
        <w:t>were</w:t>
      </w:r>
      <w:r w:rsidR="00EF3928" w:rsidRPr="00EF3928">
        <w:rPr>
          <w:rFonts w:ascii="Arial" w:hAnsi="Arial" w:cs="Arial"/>
          <w:lang w:val="en-US"/>
        </w:rPr>
        <w:t xml:space="preserve"> identified in dependent lung regions</w:t>
      </w:r>
      <w:r w:rsidR="00633F89">
        <w:rPr>
          <w:rFonts w:ascii="Arial" w:hAnsi="Arial" w:cs="Arial"/>
          <w:lang w:val="en-US"/>
        </w:rPr>
        <w:t xml:space="preserve"> and </w:t>
      </w:r>
      <w:r w:rsidR="00EF3928" w:rsidRPr="00EF3928">
        <w:rPr>
          <w:rFonts w:ascii="Arial" w:hAnsi="Arial" w:cs="Arial"/>
          <w:lang w:val="en-US"/>
        </w:rPr>
        <w:t>calculated by including all pixels within these regions</w:t>
      </w:r>
      <w:r w:rsidR="00B26A06">
        <w:rPr>
          <w:rFonts w:ascii="Arial" w:hAnsi="Arial" w:cs="Arial"/>
          <w:lang w:val="en-US"/>
        </w:rPr>
        <w:sym w:font="Symbol" w:char="F0BE"/>
      </w:r>
      <w:r w:rsidR="00EF3928" w:rsidRPr="00EF3928">
        <w:rPr>
          <w:rFonts w:ascii="Arial" w:hAnsi="Arial" w:cs="Arial"/>
          <w:lang w:val="en-US"/>
        </w:rPr>
        <w:t>HU between –100 and +100</w:t>
      </w:r>
      <w:r w:rsidR="00B26A06">
        <w:rPr>
          <w:rFonts w:ascii="Arial" w:hAnsi="Arial" w:cs="Arial"/>
          <w:lang w:val="en-US"/>
        </w:rPr>
        <w:sym w:font="Symbol" w:char="F0BE"/>
      </w:r>
      <w:r w:rsidR="001001FC">
        <w:rPr>
          <w:rFonts w:ascii="Arial" w:hAnsi="Arial" w:cs="Arial"/>
          <w:lang w:val="en-US"/>
        </w:rPr>
        <w:t>.</w:t>
      </w:r>
      <w:r w:rsidR="0034769A">
        <w:rPr>
          <w:rFonts w:ascii="Arial" w:hAnsi="Arial" w:cs="Arial"/>
          <w:lang w:val="en-US"/>
        </w:rPr>
        <w:fldChar w:fldCharType="begin" w:fldLock="1"/>
      </w:r>
      <w:r w:rsidR="003F68CC">
        <w:rPr>
          <w:rFonts w:ascii="Arial" w:hAnsi="Arial" w:cs="Arial"/>
          <w:lang w:val="en-US"/>
        </w:rPr>
        <w:instrText>ADDIN CSL_CITATION {"citationItems":[{"id":"ITEM-1","itemData":{"DOI":"10.1093/bja/aeg085","ISSN":"00070912","PMID":"12821566","author":[{"dropping-particle":"","family":"Magnusson","given":"L.","non-dropping-particle":"","parse-names":false,"suffix":""},{"dropping-particle":"","family":"Spahn","given":"D.R.","non-dropping-particle":"","parse-names":false,"suffix":""}],"container-title":"British Journal of Anaesthesia","id":"ITEM-1","issue":"1","issued":{"date-parts":[["2003","7"]]},"page":"61-72","publisher":"British Journal of Anaesthesia","title":"New concepts of atelectasis during general anaesthesia","type":"article-journal","volume":"91"},"uris":["http://www.mendeley.com/documents/?uuid=ad456b5c-228d-439a-9885-2626740f20f8"]}],"mendeley":{"formattedCitation":"&lt;sup&gt;5&lt;/sup&gt;","plainTextFormattedCitation":"5","previouslyFormattedCitation":"&lt;sup&gt;5&lt;/sup&gt;"},"properties":{"noteIndex":0},"schema":"https://github.com/citation-style-language/schema/raw/master/csl-citation.json"}</w:instrText>
      </w:r>
      <w:r w:rsidR="0034769A">
        <w:rPr>
          <w:rFonts w:ascii="Arial" w:hAnsi="Arial" w:cs="Arial"/>
          <w:lang w:val="en-US"/>
        </w:rPr>
        <w:fldChar w:fldCharType="separate"/>
      </w:r>
      <w:r w:rsidR="0034769A" w:rsidRPr="0034769A">
        <w:rPr>
          <w:rFonts w:ascii="Arial" w:hAnsi="Arial" w:cs="Arial"/>
          <w:noProof/>
          <w:vertAlign w:val="superscript"/>
          <w:lang w:val="en-US"/>
        </w:rPr>
        <w:t>5</w:t>
      </w:r>
      <w:r w:rsidR="0034769A">
        <w:rPr>
          <w:rFonts w:ascii="Arial" w:hAnsi="Arial" w:cs="Arial"/>
          <w:lang w:val="en-US"/>
        </w:rPr>
        <w:fldChar w:fldCharType="end"/>
      </w:r>
      <w:r w:rsidR="0012442B">
        <w:rPr>
          <w:rFonts w:ascii="Arial" w:hAnsi="Arial" w:cs="Arial"/>
          <w:lang w:val="en-US"/>
        </w:rPr>
        <w:t xml:space="preserve"> The location was expressed as unilateral or bilateral</w:t>
      </w:r>
      <w:r w:rsidR="00BF3984">
        <w:rPr>
          <w:rFonts w:ascii="Arial" w:hAnsi="Arial" w:cs="Arial"/>
          <w:lang w:val="en-US"/>
        </w:rPr>
        <w:t xml:space="preserve">, whereas the </w:t>
      </w:r>
      <w:r w:rsidR="002B332D">
        <w:rPr>
          <w:rFonts w:ascii="Arial" w:hAnsi="Arial" w:cs="Arial"/>
          <w:lang w:val="en-US"/>
        </w:rPr>
        <w:t>percentage</w:t>
      </w:r>
      <w:r w:rsidR="00BF3984">
        <w:rPr>
          <w:rFonts w:ascii="Arial" w:hAnsi="Arial" w:cs="Arial"/>
          <w:lang w:val="en-US"/>
        </w:rPr>
        <w:t xml:space="preserve"> of coverage was registered </w:t>
      </w:r>
      <w:r w:rsidR="009202D0">
        <w:rPr>
          <w:rFonts w:ascii="Arial" w:hAnsi="Arial" w:cs="Arial"/>
          <w:lang w:val="en-US"/>
        </w:rPr>
        <w:t xml:space="preserve">by rounding to the </w:t>
      </w:r>
      <w:r w:rsidR="00732EEE">
        <w:rPr>
          <w:rFonts w:ascii="Arial" w:hAnsi="Arial" w:cs="Arial"/>
          <w:lang w:val="en-US"/>
        </w:rPr>
        <w:t>lower</w:t>
      </w:r>
      <w:r w:rsidR="00BF3984">
        <w:rPr>
          <w:rFonts w:ascii="Arial" w:hAnsi="Arial" w:cs="Arial"/>
          <w:lang w:val="en-US"/>
        </w:rPr>
        <w:t xml:space="preserve"> 2.5%</w:t>
      </w:r>
      <w:r w:rsidR="002B332D">
        <w:rPr>
          <w:rFonts w:ascii="Arial" w:hAnsi="Arial" w:cs="Arial"/>
          <w:lang w:val="en-US"/>
        </w:rPr>
        <w:t xml:space="preserve"> category</w:t>
      </w:r>
      <w:r w:rsidR="00732EEE">
        <w:rPr>
          <w:rFonts w:ascii="Arial" w:hAnsi="Arial" w:cs="Arial"/>
          <w:lang w:val="en-US"/>
        </w:rPr>
        <w:t xml:space="preserve"> (i.e. </w:t>
      </w:r>
      <w:r w:rsidR="00732EEE">
        <w:rPr>
          <w:rFonts w:ascii="Arial" w:hAnsi="Arial" w:cs="Arial"/>
          <w:lang w:val="en-US"/>
        </w:rPr>
        <w:lastRenderedPageBreak/>
        <w:t xml:space="preserve">values </w:t>
      </w:r>
      <w:r w:rsidR="00AC163D">
        <w:rPr>
          <w:rFonts w:ascii="Arial" w:hAnsi="Arial" w:cs="Arial"/>
          <w:lang w:val="en-US"/>
        </w:rPr>
        <w:t>&lt;2.5% were rounded to 0%</w:t>
      </w:r>
      <w:r w:rsidR="00732EEE">
        <w:rPr>
          <w:rFonts w:ascii="Arial" w:hAnsi="Arial" w:cs="Arial"/>
          <w:lang w:val="en-US"/>
        </w:rPr>
        <w:t>).</w:t>
      </w:r>
      <w:r w:rsidR="00CC5355">
        <w:rPr>
          <w:rFonts w:ascii="Arial" w:hAnsi="Arial" w:cs="Arial"/>
          <w:lang w:val="en-US"/>
        </w:rPr>
        <w:t xml:space="preserve"> Thus, all patients with an atelectasis percentage </w:t>
      </w:r>
      <w:r w:rsidR="003D7C24">
        <w:rPr>
          <w:rFonts w:ascii="Arial" w:hAnsi="Arial" w:cs="Arial"/>
          <w:lang w:val="en-US"/>
        </w:rPr>
        <w:t>≥</w:t>
      </w:r>
      <w:r w:rsidR="00930377">
        <w:rPr>
          <w:rFonts w:ascii="Arial" w:hAnsi="Arial" w:cs="Arial"/>
          <w:lang w:val="en-US"/>
        </w:rPr>
        <w:t xml:space="preserve">2.5% were considered as having atelectasis. </w:t>
      </w:r>
    </w:p>
    <w:p w14:paraId="1001F684" w14:textId="1D0676A0" w:rsidR="007E1F1E" w:rsidRDefault="007E1F1E" w:rsidP="009D7536">
      <w:pPr>
        <w:spacing w:line="480" w:lineRule="auto"/>
        <w:jc w:val="both"/>
        <w:rPr>
          <w:rFonts w:ascii="Arial" w:hAnsi="Arial" w:cs="Arial"/>
          <w:lang w:val="en-US"/>
        </w:rPr>
      </w:pPr>
      <w:r>
        <w:rPr>
          <w:rFonts w:ascii="Arial" w:hAnsi="Arial" w:cs="Arial"/>
          <w:lang w:val="en-US"/>
        </w:rPr>
        <w:t xml:space="preserve">SpO2 was determined during the preanesthetic assessment </w:t>
      </w:r>
      <w:r w:rsidR="00E962E1">
        <w:rPr>
          <w:rFonts w:ascii="Arial" w:hAnsi="Arial" w:cs="Arial"/>
          <w:lang w:val="en-US"/>
        </w:rPr>
        <w:t xml:space="preserve">with the patient seating, at rest, and </w:t>
      </w:r>
      <w:r>
        <w:rPr>
          <w:rFonts w:ascii="Arial" w:hAnsi="Arial" w:cs="Arial"/>
          <w:lang w:val="en-US"/>
        </w:rPr>
        <w:t>at room air (</w:t>
      </w:r>
      <w:r w:rsidR="00A72CFD">
        <w:rPr>
          <w:rFonts w:ascii="Arial" w:hAnsi="Arial" w:cs="Arial"/>
          <w:lang w:val="en-US"/>
        </w:rPr>
        <w:t>FiO2: 21%</w:t>
      </w:r>
      <w:r>
        <w:rPr>
          <w:rFonts w:ascii="Arial" w:hAnsi="Arial" w:cs="Arial"/>
          <w:lang w:val="en-US"/>
        </w:rPr>
        <w:t>)</w:t>
      </w:r>
      <w:r w:rsidR="000826E6">
        <w:rPr>
          <w:rFonts w:ascii="Arial" w:hAnsi="Arial" w:cs="Arial"/>
          <w:lang w:val="en-US"/>
        </w:rPr>
        <w:t xml:space="preserve"> with a</w:t>
      </w:r>
      <w:r w:rsidR="00BF155C">
        <w:rPr>
          <w:rFonts w:ascii="Arial" w:hAnsi="Arial" w:cs="Arial"/>
          <w:lang w:val="en-US"/>
        </w:rPr>
        <w:t xml:space="preserve"> </w:t>
      </w:r>
      <w:r w:rsidR="000826E6">
        <w:rPr>
          <w:rFonts w:ascii="Arial" w:hAnsi="Arial" w:cs="Arial"/>
          <w:lang w:val="en-US"/>
        </w:rPr>
        <w:t>pulse oximeter</w:t>
      </w:r>
      <w:r w:rsidR="00F167EC" w:rsidRPr="00F167EC">
        <w:rPr>
          <w:rFonts w:ascii="Arial" w:hAnsi="Arial" w:cs="Arial"/>
          <w:lang w:val="en-US"/>
        </w:rPr>
        <w:t xml:space="preserve"> </w:t>
      </w:r>
      <w:r w:rsidR="00F167EC">
        <w:rPr>
          <w:rFonts w:ascii="Arial" w:hAnsi="Arial" w:cs="Arial"/>
          <w:lang w:val="en-US"/>
        </w:rPr>
        <w:t>(</w:t>
      </w:r>
      <w:r w:rsidR="00F167EC" w:rsidRPr="00BF155C">
        <w:rPr>
          <w:rFonts w:ascii="Arial" w:hAnsi="Arial" w:cs="Arial"/>
          <w:lang w:val="en-US"/>
        </w:rPr>
        <w:t>Masimo SET®</w:t>
      </w:r>
      <w:r w:rsidR="00F167EC">
        <w:rPr>
          <w:rFonts w:ascii="Arial" w:hAnsi="Arial" w:cs="Arial"/>
          <w:lang w:val="en-US"/>
        </w:rPr>
        <w:t>)</w:t>
      </w:r>
      <w:r w:rsidR="00BD14D5">
        <w:rPr>
          <w:rFonts w:ascii="Arial" w:hAnsi="Arial" w:cs="Arial"/>
          <w:lang w:val="en-US"/>
        </w:rPr>
        <w:t xml:space="preserve"> with precision of 2% at rest </w:t>
      </w:r>
      <w:r w:rsidR="00F277D2">
        <w:rPr>
          <w:rFonts w:ascii="Arial" w:hAnsi="Arial" w:cs="Arial"/>
          <w:lang w:val="en-US"/>
        </w:rPr>
        <w:t>in the range of</w:t>
      </w:r>
      <w:r w:rsidR="00312D3C">
        <w:rPr>
          <w:rFonts w:ascii="Arial" w:hAnsi="Arial" w:cs="Arial"/>
          <w:lang w:val="en-US"/>
        </w:rPr>
        <w:t xml:space="preserve"> </w:t>
      </w:r>
      <w:r w:rsidR="00F277D2">
        <w:rPr>
          <w:rFonts w:ascii="Arial" w:hAnsi="Arial" w:cs="Arial"/>
          <w:lang w:val="en-US"/>
        </w:rPr>
        <w:t>7</w:t>
      </w:r>
      <w:r w:rsidR="00312D3C">
        <w:rPr>
          <w:rFonts w:ascii="Arial" w:hAnsi="Arial" w:cs="Arial"/>
          <w:lang w:val="en-US"/>
        </w:rPr>
        <w:t>0</w:t>
      </w:r>
      <w:r w:rsidR="00F277D2">
        <w:rPr>
          <w:rFonts w:ascii="Arial" w:hAnsi="Arial" w:cs="Arial"/>
          <w:lang w:val="en-US"/>
        </w:rPr>
        <w:t>-</w:t>
      </w:r>
      <w:r w:rsidR="00312D3C">
        <w:rPr>
          <w:rFonts w:ascii="Arial" w:hAnsi="Arial" w:cs="Arial"/>
          <w:lang w:val="en-US"/>
        </w:rPr>
        <w:t>100%</w:t>
      </w:r>
      <w:r w:rsidR="000826E6">
        <w:rPr>
          <w:rFonts w:ascii="Arial" w:hAnsi="Arial" w:cs="Arial"/>
          <w:lang w:val="en-US"/>
        </w:rPr>
        <w:t xml:space="preserve">. </w:t>
      </w:r>
    </w:p>
    <w:p w14:paraId="64B54C0A" w14:textId="6859DC2C" w:rsidR="00912E0D" w:rsidRPr="005A2969" w:rsidRDefault="00912E0D" w:rsidP="009D7536">
      <w:pPr>
        <w:spacing w:line="480" w:lineRule="auto"/>
        <w:jc w:val="both"/>
        <w:rPr>
          <w:rFonts w:ascii="Arial" w:hAnsi="Arial" w:cs="Arial"/>
          <w:b/>
          <w:bCs/>
          <w:lang w:val="en-US"/>
        </w:rPr>
      </w:pPr>
      <w:r w:rsidRPr="005A2969">
        <w:rPr>
          <w:rFonts w:ascii="Arial" w:hAnsi="Arial" w:cs="Arial"/>
          <w:b/>
          <w:bCs/>
          <w:lang w:val="en-US"/>
        </w:rPr>
        <w:t>Exposure</w:t>
      </w:r>
    </w:p>
    <w:p w14:paraId="408B9BD7" w14:textId="302434DA" w:rsidR="00912E0D" w:rsidRDefault="00501D42" w:rsidP="004F380B">
      <w:pPr>
        <w:spacing w:line="480" w:lineRule="auto"/>
        <w:jc w:val="both"/>
        <w:rPr>
          <w:rFonts w:ascii="Arial" w:hAnsi="Arial" w:cs="Arial"/>
          <w:lang w:val="en-US"/>
        </w:rPr>
      </w:pPr>
      <w:r>
        <w:rPr>
          <w:rFonts w:ascii="Arial" w:hAnsi="Arial" w:cs="Arial"/>
          <w:lang w:val="en-US"/>
        </w:rPr>
        <w:t>Weight was measured in a 90x90 cm platform scale with a maximal capacity of 1,000 kg and a precision of 200 grams (Rhino</w:t>
      </w:r>
      <w:r w:rsidRPr="00EC5A66">
        <w:rPr>
          <w:rFonts w:ascii="Arial" w:hAnsi="Arial" w:cs="Arial"/>
          <w:vertAlign w:val="superscript"/>
          <w:lang w:val="en-US"/>
        </w:rPr>
        <w:t>©</w:t>
      </w:r>
      <w:r>
        <w:rPr>
          <w:rFonts w:ascii="Arial" w:hAnsi="Arial" w:cs="Arial"/>
          <w:lang w:val="en-US"/>
        </w:rPr>
        <w:t xml:space="preserve"> PLABA-9 model</w:t>
      </w:r>
      <w:r w:rsidR="004010AC">
        <w:rPr>
          <w:rFonts w:ascii="Arial" w:hAnsi="Arial" w:cs="Arial"/>
          <w:lang w:val="en-US"/>
        </w:rPr>
        <w:t>)</w:t>
      </w:r>
      <w:r>
        <w:rPr>
          <w:rFonts w:ascii="Arial" w:hAnsi="Arial" w:cs="Arial"/>
          <w:lang w:val="en-US"/>
        </w:rPr>
        <w:t xml:space="preserve">. </w:t>
      </w:r>
      <w:r w:rsidR="007C7495">
        <w:rPr>
          <w:rFonts w:ascii="Arial" w:hAnsi="Arial" w:cs="Arial"/>
          <w:lang w:val="en-US"/>
        </w:rPr>
        <w:t>For height determination</w:t>
      </w:r>
      <w:r w:rsidR="004F380B" w:rsidRPr="004F380B">
        <w:rPr>
          <w:rFonts w:ascii="Arial" w:hAnsi="Arial" w:cs="Arial"/>
          <w:lang w:val="en-US"/>
        </w:rPr>
        <w:t xml:space="preserve"> patient</w:t>
      </w:r>
      <w:r w:rsidR="007C7495">
        <w:rPr>
          <w:rFonts w:ascii="Arial" w:hAnsi="Arial" w:cs="Arial"/>
          <w:lang w:val="en-US"/>
        </w:rPr>
        <w:t>s are encouraged to</w:t>
      </w:r>
      <w:r w:rsidR="004F380B" w:rsidRPr="004F380B">
        <w:rPr>
          <w:rFonts w:ascii="Arial" w:hAnsi="Arial" w:cs="Arial"/>
          <w:lang w:val="en-US"/>
        </w:rPr>
        <w:t xml:space="preserve"> </w:t>
      </w:r>
      <w:r w:rsidR="007C7495">
        <w:rPr>
          <w:rFonts w:ascii="Arial" w:hAnsi="Arial" w:cs="Arial"/>
          <w:lang w:val="en-US"/>
        </w:rPr>
        <w:t>stand</w:t>
      </w:r>
      <w:r w:rsidR="004F380B" w:rsidRPr="004F380B">
        <w:rPr>
          <w:rFonts w:ascii="Arial" w:hAnsi="Arial" w:cs="Arial"/>
          <w:lang w:val="en-US"/>
        </w:rPr>
        <w:t xml:space="preserve"> with the heels together and buttocks, shoulders, and head in contact with </w:t>
      </w:r>
      <w:r w:rsidR="007C7495">
        <w:rPr>
          <w:rFonts w:ascii="Arial" w:hAnsi="Arial" w:cs="Arial"/>
          <w:lang w:val="en-US"/>
        </w:rPr>
        <w:t xml:space="preserve">a stadiometer (precision </w:t>
      </w:r>
      <w:r w:rsidR="007D2179">
        <w:rPr>
          <w:rFonts w:ascii="Arial" w:hAnsi="Arial" w:cs="Arial"/>
          <w:lang w:val="en-US"/>
        </w:rPr>
        <w:t>0.1 mm)</w:t>
      </w:r>
      <w:r w:rsidR="004F380B" w:rsidRPr="004F380B">
        <w:rPr>
          <w:rFonts w:ascii="Arial" w:hAnsi="Arial" w:cs="Arial"/>
          <w:lang w:val="en-US"/>
        </w:rPr>
        <w:t>.</w:t>
      </w:r>
      <w:r w:rsidR="004F380B">
        <w:rPr>
          <w:rFonts w:ascii="Arial" w:hAnsi="Arial" w:cs="Arial"/>
          <w:lang w:val="en-US"/>
        </w:rPr>
        <w:t xml:space="preserve"> </w:t>
      </w:r>
      <w:r w:rsidR="000C5FD4">
        <w:rPr>
          <w:rFonts w:ascii="Arial" w:hAnsi="Arial" w:cs="Arial"/>
          <w:lang w:val="en-US"/>
        </w:rPr>
        <w:t xml:space="preserve">Body-mass index </w:t>
      </w:r>
      <w:r w:rsidR="00C628A9">
        <w:rPr>
          <w:rFonts w:ascii="Arial" w:hAnsi="Arial" w:cs="Arial"/>
          <w:lang w:val="en-US"/>
        </w:rPr>
        <w:t>(kg/m</w:t>
      </w:r>
      <w:r w:rsidR="00C628A9" w:rsidRPr="00C628A9">
        <w:rPr>
          <w:rFonts w:ascii="Arial" w:hAnsi="Arial" w:cs="Arial"/>
          <w:vertAlign w:val="superscript"/>
          <w:lang w:val="en-US"/>
        </w:rPr>
        <w:t>2</w:t>
      </w:r>
      <w:r w:rsidR="00C628A9">
        <w:rPr>
          <w:rFonts w:ascii="Arial" w:hAnsi="Arial" w:cs="Arial"/>
          <w:lang w:val="en-US"/>
        </w:rPr>
        <w:t xml:space="preserve">) </w:t>
      </w:r>
      <w:r w:rsidR="000C5FD4">
        <w:rPr>
          <w:rFonts w:ascii="Arial" w:hAnsi="Arial" w:cs="Arial"/>
          <w:lang w:val="en-US"/>
        </w:rPr>
        <w:t xml:space="preserve">was determined as the ratio of weight (kilograms) and </w:t>
      </w:r>
      <w:r w:rsidR="00B708FC">
        <w:rPr>
          <w:rFonts w:ascii="Arial" w:hAnsi="Arial" w:cs="Arial"/>
          <w:lang w:val="en-US"/>
        </w:rPr>
        <w:t>squared height (meters</w:t>
      </w:r>
      <w:r w:rsidR="00B708FC">
        <w:rPr>
          <w:rFonts w:ascii="Arial" w:hAnsi="Arial" w:cs="Arial"/>
          <w:vertAlign w:val="superscript"/>
          <w:lang w:val="en-US"/>
        </w:rPr>
        <w:t>2</w:t>
      </w:r>
      <w:r w:rsidR="00B708FC">
        <w:rPr>
          <w:rFonts w:ascii="Arial" w:hAnsi="Arial" w:cs="Arial"/>
          <w:lang w:val="en-US"/>
        </w:rPr>
        <w:t xml:space="preserve">). </w:t>
      </w:r>
      <w:r w:rsidR="00DF160B">
        <w:rPr>
          <w:rFonts w:ascii="Arial" w:hAnsi="Arial" w:cs="Arial"/>
          <w:lang w:val="en-US"/>
        </w:rPr>
        <w:t>Obesity class categories were created according to WHO criteria</w:t>
      </w:r>
      <w:r w:rsidR="003F68CC">
        <w:rPr>
          <w:rFonts w:ascii="Arial" w:hAnsi="Arial" w:cs="Arial"/>
          <w:lang w:val="en-US"/>
        </w:rPr>
        <w:fldChar w:fldCharType="begin" w:fldLock="1"/>
      </w:r>
      <w:r w:rsidR="00DC1A9B">
        <w:rPr>
          <w:rFonts w:ascii="Arial" w:hAnsi="Arial" w:cs="Arial"/>
          <w:lang w:val="en-US"/>
        </w:rPr>
        <w:instrText>ADDIN CSL_CITATION {"citationItems":[{"id":"ITEM-1","itemData":{"URL":"https://www.who.int/europe/news-room/fact-sheets/item/a-healthy-lifestyle---who-recommendations","accessed":{"date-parts":[["2023","11","20"]]},"author":[{"dropping-particle":"","family":"World Health Organization","given":"","non-dropping-particle":"","parse-names":false,"suffix":""}],"container-title":"Fact Sheets","id":"ITEM-1","issued":{"date-parts":[["2010"]]},"title":"A healthy lifestyle - WHO recommendations","type":"webpage"},"uris":["http://www.mendeley.com/documents/?uuid=76addecc-7531-4718-a2c5-c103f4235e01"]}],"mendeley":{"formattedCitation":"&lt;sup&gt;6&lt;/sup&gt;","plainTextFormattedCitation":"6","previouslyFormattedCitation":"&lt;sup&gt;6&lt;/sup&gt;"},"properties":{"noteIndex":0},"schema":"https://github.com/citation-style-language/schema/raw/master/csl-citation.json"}</w:instrText>
      </w:r>
      <w:r w:rsidR="003F68CC">
        <w:rPr>
          <w:rFonts w:ascii="Arial" w:hAnsi="Arial" w:cs="Arial"/>
          <w:lang w:val="en-US"/>
        </w:rPr>
        <w:fldChar w:fldCharType="separate"/>
      </w:r>
      <w:r w:rsidR="003F68CC" w:rsidRPr="003F68CC">
        <w:rPr>
          <w:rFonts w:ascii="Arial" w:hAnsi="Arial" w:cs="Arial"/>
          <w:noProof/>
          <w:vertAlign w:val="superscript"/>
          <w:lang w:val="en-US"/>
        </w:rPr>
        <w:t>6</w:t>
      </w:r>
      <w:r w:rsidR="003F68CC">
        <w:rPr>
          <w:rFonts w:ascii="Arial" w:hAnsi="Arial" w:cs="Arial"/>
          <w:lang w:val="en-US"/>
        </w:rPr>
        <w:fldChar w:fldCharType="end"/>
      </w:r>
      <w:r w:rsidR="004010AC">
        <w:rPr>
          <w:rFonts w:ascii="Arial" w:hAnsi="Arial" w:cs="Arial"/>
          <w:lang w:val="en-US"/>
        </w:rPr>
        <w:t xml:space="preserve"> by classifying BMI values into</w:t>
      </w:r>
      <w:r w:rsidR="00DF160B">
        <w:rPr>
          <w:rFonts w:ascii="Arial" w:hAnsi="Arial" w:cs="Arial"/>
          <w:lang w:val="en-US"/>
        </w:rPr>
        <w:t xml:space="preserve"> </w:t>
      </w:r>
      <w:r w:rsidR="00C628A9">
        <w:rPr>
          <w:rFonts w:ascii="Arial" w:hAnsi="Arial" w:cs="Arial"/>
          <w:lang w:val="en-US"/>
        </w:rPr>
        <w:t xml:space="preserve">class 1 </w:t>
      </w:r>
      <w:r w:rsidR="00C628A9" w:rsidRPr="00C628A9">
        <w:rPr>
          <w:rFonts w:ascii="Arial" w:hAnsi="Arial" w:cs="Arial"/>
          <w:lang w:val="en-US"/>
        </w:rPr>
        <w:t>[30,35)</w:t>
      </w:r>
      <w:r w:rsidR="0076281D">
        <w:rPr>
          <w:rFonts w:ascii="Arial" w:hAnsi="Arial" w:cs="Arial"/>
          <w:lang w:val="en-US"/>
        </w:rPr>
        <w:t xml:space="preserve">, 2 </w:t>
      </w:r>
      <w:r w:rsidR="0076281D" w:rsidRPr="0076281D">
        <w:rPr>
          <w:rFonts w:ascii="Arial" w:hAnsi="Arial" w:cs="Arial"/>
          <w:lang w:val="en-US"/>
        </w:rPr>
        <w:t>[35,40)</w:t>
      </w:r>
      <w:r w:rsidR="0076281D">
        <w:rPr>
          <w:rFonts w:ascii="Arial" w:hAnsi="Arial" w:cs="Arial"/>
          <w:lang w:val="en-US"/>
        </w:rPr>
        <w:t>, and 3</w:t>
      </w:r>
      <w:r w:rsidR="0076281D" w:rsidRPr="0076281D">
        <w:t xml:space="preserve"> </w:t>
      </w:r>
      <w:r w:rsidR="005A603B">
        <w:rPr>
          <w:rFonts w:ascii="Arial" w:hAnsi="Arial" w:cs="Arial"/>
          <w:lang w:val="en-US"/>
        </w:rPr>
        <w:t>(</w:t>
      </w:r>
      <w:r w:rsidR="00926B27" w:rsidRPr="008E319F">
        <w:rPr>
          <w:rFonts w:ascii="Arial" w:hAnsi="Arial" w:cs="Arial"/>
          <w:lang w:val="en-US"/>
        </w:rPr>
        <w:t>≥</w:t>
      </w:r>
      <w:r w:rsidR="00926B27">
        <w:rPr>
          <w:rFonts w:ascii="Arial" w:hAnsi="Arial" w:cs="Arial"/>
          <w:lang w:val="en-US"/>
        </w:rPr>
        <w:t>40</w:t>
      </w:r>
      <w:r w:rsidR="0076281D" w:rsidRPr="0076281D">
        <w:rPr>
          <w:rFonts w:ascii="Arial" w:hAnsi="Arial" w:cs="Arial"/>
          <w:lang w:val="en-US"/>
        </w:rPr>
        <w:t>)</w:t>
      </w:r>
      <w:r w:rsidR="0076281D">
        <w:rPr>
          <w:rFonts w:ascii="Arial" w:hAnsi="Arial" w:cs="Arial"/>
          <w:lang w:val="en-US"/>
        </w:rPr>
        <w:t xml:space="preserve">. </w:t>
      </w:r>
      <w:r w:rsidR="00926B27">
        <w:rPr>
          <w:rFonts w:ascii="Arial" w:hAnsi="Arial" w:cs="Arial"/>
          <w:lang w:val="en-US"/>
        </w:rPr>
        <w:t>Class 3 obesity subgroups were further defined as: [</w:t>
      </w:r>
      <w:r w:rsidR="00926B27" w:rsidRPr="00ED460D">
        <w:rPr>
          <w:rFonts w:ascii="Arial" w:hAnsi="Arial" w:cs="Arial"/>
          <w:lang w:val="en-US"/>
        </w:rPr>
        <w:t>40</w:t>
      </w:r>
      <w:r w:rsidR="00926B27">
        <w:rPr>
          <w:rFonts w:ascii="Arial" w:hAnsi="Arial" w:cs="Arial"/>
          <w:lang w:val="en-US"/>
        </w:rPr>
        <w:t>,</w:t>
      </w:r>
      <w:r w:rsidR="00926B27" w:rsidRPr="00ED460D">
        <w:rPr>
          <w:rFonts w:ascii="Arial" w:hAnsi="Arial" w:cs="Arial"/>
          <w:lang w:val="en-US"/>
        </w:rPr>
        <w:t>45</w:t>
      </w:r>
      <w:r w:rsidR="00926B27">
        <w:rPr>
          <w:rFonts w:ascii="Arial" w:hAnsi="Arial" w:cs="Arial"/>
          <w:lang w:val="en-US"/>
        </w:rPr>
        <w:t>)</w:t>
      </w:r>
      <w:r w:rsidR="00926B27">
        <w:rPr>
          <w:rFonts w:ascii="Arial" w:hAnsi="Arial" w:cs="Arial"/>
          <w:lang w:val="en-US"/>
        </w:rPr>
        <w:t xml:space="preserve">, </w:t>
      </w:r>
      <w:r w:rsidR="00926B27">
        <w:rPr>
          <w:rFonts w:ascii="Arial" w:hAnsi="Arial" w:cs="Arial"/>
          <w:lang w:val="en-US"/>
        </w:rPr>
        <w:t>[</w:t>
      </w:r>
      <w:r w:rsidR="00926B27" w:rsidRPr="008E319F">
        <w:rPr>
          <w:rFonts w:ascii="Arial" w:hAnsi="Arial" w:cs="Arial"/>
          <w:lang w:val="en-US"/>
        </w:rPr>
        <w:t>45</w:t>
      </w:r>
      <w:r w:rsidR="00926B27">
        <w:rPr>
          <w:rFonts w:ascii="Arial" w:hAnsi="Arial" w:cs="Arial"/>
          <w:lang w:val="en-US"/>
        </w:rPr>
        <w:sym w:font="Symbol" w:char="F02D"/>
      </w:r>
      <w:r w:rsidR="00926B27" w:rsidRPr="008E319F">
        <w:rPr>
          <w:rFonts w:ascii="Arial" w:hAnsi="Arial" w:cs="Arial"/>
          <w:lang w:val="en-US"/>
        </w:rPr>
        <w:t>50</w:t>
      </w:r>
      <w:r w:rsidR="00926B27">
        <w:rPr>
          <w:rFonts w:ascii="Arial" w:hAnsi="Arial" w:cs="Arial"/>
          <w:lang w:val="en-US"/>
        </w:rPr>
        <w:t>)</w:t>
      </w:r>
      <w:r w:rsidR="00926B27">
        <w:rPr>
          <w:rFonts w:ascii="Arial" w:hAnsi="Arial" w:cs="Arial"/>
          <w:lang w:val="en-US"/>
        </w:rPr>
        <w:t xml:space="preserve">, and </w:t>
      </w:r>
      <w:r w:rsidR="00926B27" w:rsidRPr="008E319F">
        <w:rPr>
          <w:rFonts w:ascii="Arial" w:hAnsi="Arial" w:cs="Arial"/>
          <w:lang w:val="en-US"/>
        </w:rPr>
        <w:t>≥50</w:t>
      </w:r>
      <w:r w:rsidR="00926B27">
        <w:rPr>
          <w:rFonts w:ascii="Arial" w:hAnsi="Arial" w:cs="Arial"/>
          <w:lang w:val="en-US"/>
        </w:rPr>
        <w:t xml:space="preserve"> kg/m</w:t>
      </w:r>
      <w:r w:rsidR="00926B27" w:rsidRPr="008E319F">
        <w:rPr>
          <w:rFonts w:ascii="Arial" w:hAnsi="Arial" w:cs="Arial"/>
          <w:vertAlign w:val="superscript"/>
          <w:lang w:val="en-US"/>
        </w:rPr>
        <w:t>2</w:t>
      </w:r>
      <w:r w:rsidR="00926B27">
        <w:rPr>
          <w:rFonts w:ascii="Arial" w:hAnsi="Arial" w:cs="Arial"/>
          <w:lang w:val="en-US"/>
        </w:rPr>
        <w:t>.</w:t>
      </w:r>
    </w:p>
    <w:p w14:paraId="3A49EE99" w14:textId="24685A47" w:rsidR="005A2969" w:rsidRPr="005A2969" w:rsidRDefault="005A2969" w:rsidP="009D7536">
      <w:pPr>
        <w:spacing w:line="480" w:lineRule="auto"/>
        <w:jc w:val="both"/>
        <w:rPr>
          <w:rFonts w:ascii="Arial" w:hAnsi="Arial" w:cs="Arial"/>
          <w:b/>
          <w:bCs/>
          <w:lang w:val="en-US"/>
        </w:rPr>
      </w:pPr>
      <w:r w:rsidRPr="005A2969">
        <w:rPr>
          <w:rFonts w:ascii="Arial" w:hAnsi="Arial" w:cs="Arial"/>
          <w:b/>
          <w:bCs/>
          <w:lang w:val="en-US"/>
        </w:rPr>
        <w:t>Confounders</w:t>
      </w:r>
    </w:p>
    <w:p w14:paraId="63AC7BBD" w14:textId="25958E0B" w:rsidR="007F1F97" w:rsidRDefault="00754F49" w:rsidP="009D7536">
      <w:pPr>
        <w:spacing w:line="480" w:lineRule="auto"/>
        <w:jc w:val="both"/>
        <w:rPr>
          <w:rFonts w:ascii="Arial" w:hAnsi="Arial" w:cs="Arial"/>
          <w:lang w:val="en-US"/>
        </w:rPr>
      </w:pPr>
      <w:r>
        <w:rPr>
          <w:rFonts w:ascii="Arial" w:hAnsi="Arial" w:cs="Arial"/>
          <w:lang w:val="en-US"/>
        </w:rPr>
        <w:t xml:space="preserve">All hypothesized relationships between </w:t>
      </w:r>
      <w:r w:rsidR="000B28A1">
        <w:rPr>
          <w:rFonts w:ascii="Arial" w:hAnsi="Arial" w:cs="Arial"/>
          <w:lang w:val="en-US"/>
        </w:rPr>
        <w:t>the exposure, outcomes and confounders were defined a priori and drawn in a directed acyclic graph (DAG)</w:t>
      </w:r>
      <w:r w:rsidR="009F0698">
        <w:rPr>
          <w:rFonts w:ascii="Arial" w:hAnsi="Arial" w:cs="Arial"/>
          <w:lang w:val="en-US"/>
        </w:rPr>
        <w:fldChar w:fldCharType="begin" w:fldLock="1"/>
      </w:r>
      <w:r w:rsidR="005B58FB">
        <w:rPr>
          <w:rFonts w:ascii="Arial" w:hAnsi="Arial" w:cs="Arial"/>
          <w:lang w:val="en-US"/>
        </w:rPr>
        <w:instrText>ADDIN CSL_CITATION {"citationItems":[{"id":"ITEM-1","itemData":{"DOI":"10.1093/ije/dyw341","ISSN":"14643685","PMID":"28089956","abstract":"Directed acyclic graphs (DAGs), which offer systematic representations of causal relationships, have become an established framework for the analysis of causal inference in epidemiology, often being used to determine covariate adjustment sets for minimizing confounding bias. DAGitty is a popular web application for drawing and analysing DAGs. Here we introduce the R package 'dagitty', which provides access to all of the capabilities of the DAGitty web application within the R platform for statistical computing, and also offers several new functions. We describe how the R package 'dagitty' can be used to: evaluate whether a DAG is consistent with the dataset it is intended to represent; enumerate 'statistically equivalent' but causally different DAGs; and identify exposureoutcome adjustment sets that are valid for causally different but statistically equivalent DAGs. This functionality enables epidemiologists to detect causal misspecifications in DAGs and make robust inferences that remain valid for a range of different DAGs. The R package 'dagitty' is available through the comprehensive R archive network (CRAN) at [https://cran.r-project.org/web/packages/dagitty/]. The source code is available on github at [https://github.com/jtextor/dagitty]. The web application 'DAGitty' is free software, licensed under the GNU general public licence (GPL) version 2 and is available at [http:// dagitty.net/].","author":[{"dropping-particle":"","family":"Textor","given":"Johannes","non-dropping-particle":"","parse-names":false,"suffix":""},{"dropping-particle":"","family":"Zander","given":"Benito","non-dropping-particle":"van der","parse-names":false,"suffix":""},{"dropping-particle":"","family":"Gilthorpe","given":"Mark S.","non-dropping-particle":"","parse-names":false,"suffix":""},{"dropping-particle":"","family":"Liśkiewicz","given":"Maciej","non-dropping-particle":"","parse-names":false,"suffix":""},{"dropping-particle":"","family":"Ellison","given":"George TH","non-dropping-particle":"","parse-names":false,"suffix":""}],"container-title":"International Journal of Epidemiology","id":"ITEM-1","issue":"6","issued":{"date-parts":[["2016"]]},"page":"1887-1894","title":"Robust causal inference using directed acyclic graphs: The R package 'dagitty'","type":"article-journal","volume":"45"},"uris":["http://www.mendeley.com/documents/?uuid=1d637343-416b-4706-b934-264ac73758c1"]}],"mendeley":{"formattedCitation":"&lt;sup&gt;7&lt;/sup&gt;","plainTextFormattedCitation":"7","previouslyFormattedCitation":"&lt;sup&gt;7&lt;/sup&gt;"},"properties":{"noteIndex":0},"schema":"https://github.com/citation-style-language/schema/raw/master/csl-citation.json"}</w:instrText>
      </w:r>
      <w:r w:rsidR="009F0698">
        <w:rPr>
          <w:rFonts w:ascii="Arial" w:hAnsi="Arial" w:cs="Arial"/>
          <w:lang w:val="en-US"/>
        </w:rPr>
        <w:fldChar w:fldCharType="separate"/>
      </w:r>
      <w:r w:rsidR="009F0698" w:rsidRPr="009F0698">
        <w:rPr>
          <w:rFonts w:ascii="Arial" w:hAnsi="Arial" w:cs="Arial"/>
          <w:noProof/>
          <w:vertAlign w:val="superscript"/>
          <w:lang w:val="en-US"/>
        </w:rPr>
        <w:t>7</w:t>
      </w:r>
      <w:r w:rsidR="009F0698">
        <w:rPr>
          <w:rFonts w:ascii="Arial" w:hAnsi="Arial" w:cs="Arial"/>
          <w:lang w:val="en-US"/>
        </w:rPr>
        <w:fldChar w:fldCharType="end"/>
      </w:r>
      <w:r w:rsidR="009F0698">
        <w:rPr>
          <w:rFonts w:ascii="Arial" w:hAnsi="Arial" w:cs="Arial"/>
          <w:lang w:val="en-US"/>
        </w:rPr>
        <w:t xml:space="preserve"> </w:t>
      </w:r>
      <w:r w:rsidR="008174F9">
        <w:rPr>
          <w:rFonts w:ascii="Arial" w:hAnsi="Arial" w:cs="Arial"/>
          <w:lang w:val="en-US"/>
        </w:rPr>
        <w:t>(</w:t>
      </w:r>
      <w:r w:rsidR="008174F9" w:rsidRPr="001C1FED">
        <w:rPr>
          <w:rFonts w:ascii="Arial" w:hAnsi="Arial" w:cs="Arial"/>
          <w:b/>
          <w:bCs/>
          <w:lang w:val="en-US"/>
        </w:rPr>
        <w:t>Supplementary Figure 1</w:t>
      </w:r>
      <w:r w:rsidR="008174F9">
        <w:rPr>
          <w:rFonts w:ascii="Arial" w:hAnsi="Arial" w:cs="Arial"/>
          <w:lang w:val="en-US"/>
        </w:rPr>
        <w:t xml:space="preserve">). </w:t>
      </w:r>
      <w:r w:rsidR="005B58FB">
        <w:rPr>
          <w:rFonts w:ascii="Arial" w:hAnsi="Arial" w:cs="Arial"/>
          <w:lang w:val="en-US"/>
        </w:rPr>
        <w:t>The diagram was updated by testing implied c</w:t>
      </w:r>
      <w:r w:rsidR="001C1FED">
        <w:rPr>
          <w:rFonts w:ascii="Arial" w:hAnsi="Arial" w:cs="Arial"/>
          <w:lang w:val="en-US"/>
        </w:rPr>
        <w:t xml:space="preserve">onditional independencies as </w:t>
      </w:r>
      <w:r w:rsidR="003B3076">
        <w:rPr>
          <w:rFonts w:ascii="Arial" w:hAnsi="Arial" w:cs="Arial"/>
          <w:lang w:val="en-US"/>
        </w:rPr>
        <w:t>recommended by Ankan, et al.</w:t>
      </w:r>
      <w:r w:rsidR="005B58FB">
        <w:rPr>
          <w:rFonts w:ascii="Arial" w:hAnsi="Arial" w:cs="Arial"/>
          <w:lang w:val="en-US"/>
        </w:rPr>
        <w:fldChar w:fldCharType="begin" w:fldLock="1"/>
      </w:r>
      <w:r w:rsidR="00AC7695">
        <w:rPr>
          <w:rFonts w:ascii="Arial" w:hAnsi="Arial" w:cs="Arial"/>
          <w:lang w:val="en-US"/>
        </w:rPr>
        <w:instrText>ADDIN CSL_CITATION {"citationItems":[{"id":"ITEM-1","itemData":{"DOI":"10.1002/cpz1.45","ISSN":"26911299","PMID":"33592130","abstract":"Causal diagrams such as directed acyclic graphs (DAGs) are used in several scientific fields to help design and analyze studies that aim to infer causal effects from observational data; for example, DAGs can help identify suitable strategies to reduce confounding bias. However, DAGs can be difficult to design, and the validity of any DAG-derived strategy hinges on the validity of the postulated DAG itself. Researchers should therefore check whether the assumptions encoded in the DAG are consistent with the data before proceeding with the analysis. Here, we explain how the R package ‘dagitty’, based on the web tool dagitty.net, can be used to test the statistical implications of the assumptions encoded in a given DAG. We hope that this will help researchers discover model specification errors, avoid erroneous conclusions, and build better models. © 2021 The Authors. Basic Protocol 1: Constructing and importing DAG models from the dagitty web interface. Support Protocol 1: Installing R, RStudio, and the dagitty package. Basic Protocol 2: Testing DAGs against categorical data. Basic Protocol 3: Testing DAGs against continuous data. Support Protocol 2: Testing DAGs against continuous data with non-linearities. Basic Protocol 4: Testing DAGs against a combination of categorical and continuous data.","author":[{"dropping-particle":"","family":"Ankan","given":"Ankur","non-dropping-particle":"","parse-names":false,"suffix":""},{"dropping-particle":"","family":"Wortel","given":"Inge M.N.","non-dropping-particle":"","parse-names":false,"suffix":""},{"dropping-particle":"","family":"Textor","given":"Johannes","non-dropping-particle":"","parse-names":false,"suffix":""}],"container-title":"Current Protocols","id":"ITEM-1","issue":"2","issued":{"date-parts":[["2021"]]},"page":"1-22","title":"Testing Graphical Causal Models Using the R Package “dagitty”","type":"article-journal","volume":"1"},"uris":["http://www.mendeley.com/documents/?uuid=b74ccfe2-2bc0-4646-8075-d81494779422"]}],"mendeley":{"formattedCitation":"&lt;sup&gt;8&lt;/sup&gt;","plainTextFormattedCitation":"8","previouslyFormattedCitation":"&lt;sup&gt;8&lt;/sup&gt;"},"properties":{"noteIndex":0},"schema":"https://github.com/citation-style-language/schema/raw/master/csl-citation.json"}</w:instrText>
      </w:r>
      <w:r w:rsidR="005B58FB">
        <w:rPr>
          <w:rFonts w:ascii="Arial" w:hAnsi="Arial" w:cs="Arial"/>
          <w:lang w:val="en-US"/>
        </w:rPr>
        <w:fldChar w:fldCharType="separate"/>
      </w:r>
      <w:r w:rsidR="005B58FB" w:rsidRPr="005B58FB">
        <w:rPr>
          <w:rFonts w:ascii="Arial" w:hAnsi="Arial" w:cs="Arial"/>
          <w:noProof/>
          <w:vertAlign w:val="superscript"/>
          <w:lang w:val="en-US"/>
        </w:rPr>
        <w:t>8</w:t>
      </w:r>
      <w:r w:rsidR="005B58FB">
        <w:rPr>
          <w:rFonts w:ascii="Arial" w:hAnsi="Arial" w:cs="Arial"/>
          <w:lang w:val="en-US"/>
        </w:rPr>
        <w:fldChar w:fldCharType="end"/>
      </w:r>
      <w:r w:rsidR="007F1F97">
        <w:rPr>
          <w:rFonts w:ascii="Arial" w:hAnsi="Arial" w:cs="Arial"/>
          <w:lang w:val="en-US"/>
        </w:rPr>
        <w:t xml:space="preserve"> Age, sex and obstructive sleep apnea (OSA) constituted the minimal set of adjustment for the relationship between obesity class and atelectasis percentage. For the relationship between </w:t>
      </w:r>
      <w:r w:rsidR="003319AB">
        <w:rPr>
          <w:rFonts w:ascii="Arial" w:hAnsi="Arial" w:cs="Arial"/>
          <w:lang w:val="en-US"/>
        </w:rPr>
        <w:t xml:space="preserve">BMI and </w:t>
      </w:r>
      <w:r w:rsidR="000564FD">
        <w:rPr>
          <w:rFonts w:ascii="Arial" w:hAnsi="Arial" w:cs="Arial"/>
          <w:lang w:val="en-US"/>
        </w:rPr>
        <w:t xml:space="preserve">preoperative SpO2, atelectasis percentage was studied as the mediator of the effect, while </w:t>
      </w:r>
      <w:r w:rsidR="009C1586">
        <w:rPr>
          <w:rFonts w:ascii="Arial" w:hAnsi="Arial" w:cs="Arial"/>
          <w:lang w:val="en-US"/>
        </w:rPr>
        <w:t>the minimal set of confounders was the same</w:t>
      </w:r>
      <w:r w:rsidR="009A6212">
        <w:rPr>
          <w:rFonts w:ascii="Arial" w:hAnsi="Arial" w:cs="Arial"/>
          <w:lang w:val="en-US"/>
        </w:rPr>
        <w:t xml:space="preserve"> as above</w:t>
      </w:r>
      <w:r w:rsidR="009C1586">
        <w:rPr>
          <w:rFonts w:ascii="Arial" w:hAnsi="Arial" w:cs="Arial"/>
          <w:lang w:val="en-US"/>
        </w:rPr>
        <w:t xml:space="preserve">. Blood serum hemoglobin </w:t>
      </w:r>
      <w:r w:rsidR="00955C80">
        <w:rPr>
          <w:rFonts w:ascii="Arial" w:hAnsi="Arial" w:cs="Arial"/>
          <w:lang w:val="en-US"/>
        </w:rPr>
        <w:t>was considered as an ancestor of the outcome</w:t>
      </w:r>
      <w:r w:rsidR="001B07B1">
        <w:rPr>
          <w:rFonts w:ascii="Arial" w:hAnsi="Arial" w:cs="Arial"/>
          <w:lang w:val="en-US"/>
        </w:rPr>
        <w:t>. The</w:t>
      </w:r>
      <w:r w:rsidR="007443AC">
        <w:rPr>
          <w:rFonts w:ascii="Arial" w:hAnsi="Arial" w:cs="Arial"/>
          <w:lang w:val="en-US"/>
        </w:rPr>
        <w:t xml:space="preserve"> mean</w:t>
      </w:r>
      <w:r w:rsidR="009C1586">
        <w:rPr>
          <w:rFonts w:ascii="Arial" w:hAnsi="Arial" w:cs="Arial"/>
          <w:lang w:val="en-US"/>
        </w:rPr>
        <w:t xml:space="preserve"> </w:t>
      </w:r>
      <w:r w:rsidR="00955C80">
        <w:rPr>
          <w:rFonts w:ascii="Arial" w:hAnsi="Arial" w:cs="Arial"/>
          <w:lang w:val="en-US"/>
        </w:rPr>
        <w:t xml:space="preserve">altitude of the </w:t>
      </w:r>
      <w:r w:rsidR="007443AC">
        <w:rPr>
          <w:rFonts w:ascii="Arial" w:hAnsi="Arial" w:cs="Arial"/>
          <w:lang w:val="en-US"/>
        </w:rPr>
        <w:t>state</w:t>
      </w:r>
      <w:r w:rsidR="00955C80">
        <w:rPr>
          <w:rFonts w:ascii="Arial" w:hAnsi="Arial" w:cs="Arial"/>
          <w:lang w:val="en-US"/>
        </w:rPr>
        <w:t xml:space="preserve"> of residence </w:t>
      </w:r>
      <w:r w:rsidR="00FE684C">
        <w:rPr>
          <w:rFonts w:ascii="Arial" w:hAnsi="Arial" w:cs="Arial"/>
          <w:lang w:val="en-US"/>
        </w:rPr>
        <w:t>in meters above sea level (</w:t>
      </w:r>
      <w:proofErr w:type="spellStart"/>
      <w:r w:rsidR="00FE684C">
        <w:rPr>
          <w:rFonts w:ascii="Arial" w:hAnsi="Arial" w:cs="Arial"/>
          <w:lang w:val="en-US"/>
        </w:rPr>
        <w:t>m.a.s.l</w:t>
      </w:r>
      <w:proofErr w:type="spellEnd"/>
      <w:r w:rsidR="00FE684C">
        <w:rPr>
          <w:rFonts w:ascii="Arial" w:hAnsi="Arial" w:cs="Arial"/>
          <w:lang w:val="en-US"/>
        </w:rPr>
        <w:t xml:space="preserve">.) </w:t>
      </w:r>
      <w:r w:rsidR="001B07B1">
        <w:rPr>
          <w:rFonts w:ascii="Arial" w:hAnsi="Arial" w:cs="Arial"/>
          <w:lang w:val="en-US"/>
        </w:rPr>
        <w:t xml:space="preserve">was considered as </w:t>
      </w:r>
      <w:r w:rsidR="007B6D36">
        <w:rPr>
          <w:rFonts w:ascii="Arial" w:hAnsi="Arial" w:cs="Arial"/>
          <w:lang w:val="en-US"/>
        </w:rPr>
        <w:t xml:space="preserve">potentially </w:t>
      </w:r>
      <w:r w:rsidR="007B6D36">
        <w:rPr>
          <w:rFonts w:ascii="Arial" w:hAnsi="Arial" w:cs="Arial"/>
          <w:lang w:val="en-US"/>
        </w:rPr>
        <w:lastRenderedPageBreak/>
        <w:t>relevant</w:t>
      </w:r>
      <w:r w:rsidR="001B07B1">
        <w:rPr>
          <w:rFonts w:ascii="Arial" w:hAnsi="Arial" w:cs="Arial"/>
          <w:lang w:val="en-US"/>
        </w:rPr>
        <w:t xml:space="preserve"> determinant of SpO2</w:t>
      </w:r>
      <w:r w:rsidR="007B6D36">
        <w:rPr>
          <w:rFonts w:ascii="Arial" w:hAnsi="Arial" w:cs="Arial"/>
          <w:lang w:val="en-US"/>
        </w:rPr>
        <w:t xml:space="preserve">. </w:t>
      </w:r>
      <w:r w:rsidR="00BB4693">
        <w:rPr>
          <w:rFonts w:ascii="Arial" w:hAnsi="Arial" w:cs="Arial"/>
          <w:lang w:val="en-US"/>
        </w:rPr>
        <w:t xml:space="preserve">Due to overspread distribution and </w:t>
      </w:r>
      <w:r w:rsidR="00765152">
        <w:rPr>
          <w:rFonts w:ascii="Arial" w:hAnsi="Arial" w:cs="Arial"/>
          <w:lang w:val="en-US"/>
        </w:rPr>
        <w:t xml:space="preserve">inability to model as a non-linear term, this variable was categorized into low </w:t>
      </w:r>
      <w:r w:rsidR="006A62D2">
        <w:rPr>
          <w:rFonts w:ascii="Arial" w:hAnsi="Arial" w:cs="Arial"/>
          <w:lang w:val="en-US"/>
        </w:rPr>
        <w:t>(</w:t>
      </w:r>
      <w:r w:rsidR="00AC7695">
        <w:rPr>
          <w:rFonts w:ascii="Arial" w:hAnsi="Arial" w:cs="Arial"/>
          <w:lang w:val="en-US"/>
        </w:rPr>
        <w:t xml:space="preserve">0-1000 </w:t>
      </w:r>
      <w:proofErr w:type="spellStart"/>
      <w:r w:rsidR="00FE684C">
        <w:rPr>
          <w:rFonts w:ascii="Arial" w:hAnsi="Arial" w:cs="Arial"/>
          <w:lang w:val="en-US"/>
        </w:rPr>
        <w:t>m.a.s.l</w:t>
      </w:r>
      <w:proofErr w:type="spellEnd"/>
      <w:r w:rsidR="00FE684C">
        <w:rPr>
          <w:rFonts w:ascii="Arial" w:hAnsi="Arial" w:cs="Arial"/>
          <w:lang w:val="en-US"/>
        </w:rPr>
        <w:t>.</w:t>
      </w:r>
      <w:r w:rsidR="006A62D2">
        <w:rPr>
          <w:rFonts w:ascii="Arial" w:hAnsi="Arial" w:cs="Arial"/>
          <w:lang w:val="en-US"/>
        </w:rPr>
        <w:t xml:space="preserve">) </w:t>
      </w:r>
      <w:r w:rsidR="00765152">
        <w:rPr>
          <w:rFonts w:ascii="Arial" w:hAnsi="Arial" w:cs="Arial"/>
          <w:lang w:val="en-US"/>
        </w:rPr>
        <w:t>and moderate</w:t>
      </w:r>
      <w:r w:rsidR="00FE684C">
        <w:rPr>
          <w:rFonts w:ascii="Arial" w:hAnsi="Arial" w:cs="Arial"/>
          <w:lang w:val="en-US"/>
        </w:rPr>
        <w:t xml:space="preserve"> (</w:t>
      </w:r>
      <w:r w:rsidR="00AC7695">
        <w:rPr>
          <w:rFonts w:ascii="Arial" w:hAnsi="Arial" w:cs="Arial"/>
          <w:lang w:val="en-US"/>
        </w:rPr>
        <w:t xml:space="preserve">1000-2500 </w:t>
      </w:r>
      <w:proofErr w:type="spellStart"/>
      <w:r w:rsidR="00FE684C">
        <w:rPr>
          <w:rFonts w:ascii="Arial" w:hAnsi="Arial" w:cs="Arial"/>
          <w:lang w:val="en-US"/>
        </w:rPr>
        <w:t>m.a.s.l</w:t>
      </w:r>
      <w:proofErr w:type="spellEnd"/>
      <w:r w:rsidR="00FE684C">
        <w:rPr>
          <w:rFonts w:ascii="Arial" w:hAnsi="Arial" w:cs="Arial"/>
          <w:lang w:val="en-US"/>
        </w:rPr>
        <w:t>.</w:t>
      </w:r>
      <w:r w:rsidR="00FE684C">
        <w:rPr>
          <w:rFonts w:ascii="Arial" w:hAnsi="Arial" w:cs="Arial"/>
          <w:lang w:val="en-US"/>
        </w:rPr>
        <w:t>)</w:t>
      </w:r>
      <w:r w:rsidR="00765152">
        <w:rPr>
          <w:rFonts w:ascii="Arial" w:hAnsi="Arial" w:cs="Arial"/>
          <w:lang w:val="en-US"/>
        </w:rPr>
        <w:t xml:space="preserve"> altitude </w:t>
      </w:r>
      <w:r w:rsidR="006A62D2">
        <w:rPr>
          <w:rFonts w:ascii="Arial" w:hAnsi="Arial" w:cs="Arial"/>
          <w:lang w:val="en-US"/>
        </w:rPr>
        <w:t xml:space="preserve">as per </w:t>
      </w:r>
      <w:r w:rsidR="006A62D2" w:rsidRPr="006A62D2">
        <w:rPr>
          <w:rFonts w:ascii="Arial" w:hAnsi="Arial" w:cs="Arial"/>
          <w:lang w:val="en-US"/>
        </w:rPr>
        <w:t>Crocker ME, et al</w:t>
      </w:r>
      <w:r w:rsidR="006A62D2">
        <w:rPr>
          <w:rFonts w:ascii="Arial" w:hAnsi="Arial" w:cs="Arial"/>
          <w:lang w:val="en-US"/>
        </w:rPr>
        <w:t>.</w:t>
      </w:r>
      <w:r w:rsidR="00AC7695">
        <w:rPr>
          <w:rFonts w:ascii="Arial" w:hAnsi="Arial" w:cs="Arial"/>
          <w:lang w:val="en-US"/>
        </w:rPr>
        <w:fldChar w:fldCharType="begin" w:fldLock="1"/>
      </w:r>
      <w:r w:rsidR="00AC7695">
        <w:rPr>
          <w:rFonts w:ascii="Arial" w:hAnsi="Arial" w:cs="Arial"/>
          <w:lang w:val="en-US"/>
        </w:rPr>
        <w:instrText>ADDIN CSL_CITATION {"citationItems":[{"id":"ITEM-1","itemData":{"DOI":"10.1016/S2214-109X(19)30543-1","ISSN":"2214109X","author":[{"dropping-particle":"","family":"Crocker","given":"Mary E","non-dropping-particle":"","parse-names":false,"suffix":""},{"dropping-particle":"","family":"Hossen","given":"Shakir","non-dropping-particle":"","parse-names":false,"suffix":""},{"dropping-particle":"","family":"Goodman","given":"Dina","non-dropping-particle":"","parse-names":false,"suffix":""},{"dropping-particle":"","family":"Simkovich","given":"Suzanne M","non-dropping-particle":"","parse-names":false,"suffix":""},{"dropping-particle":"","family":"Kirby","given":"Miles","non-dropping-particle":"","parse-names":false,"suffix":""},{"dropping-particle":"","family":"Thompson","given":"Lisa M","non-dropping-particle":"","parse-names":false,"suffix":""},{"dropping-particle":"","family":"Rosa","given":"Ghislaine","non-dropping-particle":"","parse-names":false,"suffix":""},{"dropping-particle":"","family":"Garg","given":"Sarada S","non-dropping-particle":"","parse-names":false,"suffix":""},{"dropping-particle":"","family":"Thangavel","given":"Gurusamy","non-dropping-particle":"","parse-names":false,"suffix":""},{"dropping-particle":"","family":"McCollum","given":"Eric D","non-dropping-particle":"","parse-names":false,"suffix":""},{"dropping-particle":"","family":"Peel","given":"Jennifer","non-dropping-particle":"","parse-names":false,"suffix":""},{"dropping-particle":"","family":"Clasen","given":"Thomas","non-dropping-particle":"","parse-names":false,"suffix":""},{"dropping-particle":"","family":"Checkley","given":"William","non-dropping-particle":"","parse-names":false,"suffix":""}],"container-title":"The Lancet Global Health","id":"ITEM-1","issue":"3","issued":{"date-parts":[["2020","3"]]},"page":"e362-e373","title":"Effects of high altitude on respiratory rate and oxygen saturation reference values in healthy infants and children younger than 2 years in four countries: a cross-sectional study","type":"article-journal","volume":"8"},"uris":["http://www.mendeley.com/documents/?uuid=9f403af5-4ac5-4ac9-8a4e-68255ac8f821"]}],"mendeley":{"formattedCitation":"&lt;sup&gt;9&lt;/sup&gt;","plainTextFormattedCitation":"9"},"properties":{"noteIndex":0},"schema":"https://github.com/citation-style-language/schema/raw/master/csl-citation.json"}</w:instrText>
      </w:r>
      <w:r w:rsidR="00AC7695">
        <w:rPr>
          <w:rFonts w:ascii="Arial" w:hAnsi="Arial" w:cs="Arial"/>
          <w:lang w:val="en-US"/>
        </w:rPr>
        <w:fldChar w:fldCharType="separate"/>
      </w:r>
      <w:r w:rsidR="00AC7695" w:rsidRPr="00AC7695">
        <w:rPr>
          <w:rFonts w:ascii="Arial" w:hAnsi="Arial" w:cs="Arial"/>
          <w:noProof/>
          <w:vertAlign w:val="superscript"/>
          <w:lang w:val="en-US"/>
        </w:rPr>
        <w:t>9</w:t>
      </w:r>
      <w:r w:rsidR="00AC7695">
        <w:rPr>
          <w:rFonts w:ascii="Arial" w:hAnsi="Arial" w:cs="Arial"/>
          <w:lang w:val="en-US"/>
        </w:rPr>
        <w:fldChar w:fldCharType="end"/>
      </w:r>
    </w:p>
    <w:p w14:paraId="68901C3E" w14:textId="68D5BD6A" w:rsidR="003455DB" w:rsidRPr="005865D6" w:rsidRDefault="00E66F93" w:rsidP="009D7536">
      <w:pPr>
        <w:spacing w:line="480" w:lineRule="auto"/>
        <w:jc w:val="both"/>
        <w:rPr>
          <w:rFonts w:ascii="Arial" w:hAnsi="Arial" w:cs="Arial"/>
          <w:lang w:val="en-US"/>
        </w:rPr>
      </w:pPr>
      <w:r>
        <w:rPr>
          <w:rFonts w:ascii="Arial" w:hAnsi="Arial" w:cs="Arial"/>
          <w:lang w:val="en-US"/>
        </w:rPr>
        <w:t>Detailed descriptions of</w:t>
      </w:r>
      <w:r w:rsidR="00AC7695">
        <w:rPr>
          <w:rFonts w:ascii="Arial" w:hAnsi="Arial" w:cs="Arial"/>
          <w:lang w:val="en-US"/>
        </w:rPr>
        <w:t xml:space="preserve"> all</w:t>
      </w:r>
      <w:r>
        <w:rPr>
          <w:rFonts w:ascii="Arial" w:hAnsi="Arial" w:cs="Arial"/>
          <w:lang w:val="en-US"/>
        </w:rPr>
        <w:t xml:space="preserve"> other variables are provided</w:t>
      </w:r>
      <w:r w:rsidR="007F307F">
        <w:rPr>
          <w:rFonts w:ascii="Arial" w:hAnsi="Arial" w:cs="Arial"/>
          <w:lang w:val="en-US"/>
        </w:rPr>
        <w:t xml:space="preserve"> in the </w:t>
      </w:r>
      <w:r w:rsidR="00CD120C">
        <w:rPr>
          <w:rFonts w:ascii="Arial" w:hAnsi="Arial" w:cs="Arial"/>
          <w:lang w:val="en-US"/>
        </w:rPr>
        <w:t>supplementary dataset dictionary</w:t>
      </w:r>
      <w:r w:rsidR="003455DB">
        <w:rPr>
          <w:rFonts w:ascii="Arial" w:hAnsi="Arial" w:cs="Arial"/>
          <w:lang w:val="en-US"/>
        </w:rPr>
        <w:t>.</w:t>
      </w:r>
      <w:r>
        <w:rPr>
          <w:rFonts w:ascii="Arial" w:hAnsi="Arial" w:cs="Arial"/>
          <w:lang w:val="en-US"/>
        </w:rPr>
        <w:fldChar w:fldCharType="begin" w:fldLock="1"/>
      </w:r>
      <w:r w:rsidR="00AC7695">
        <w:rPr>
          <w:rFonts w:ascii="Arial" w:hAnsi="Arial" w:cs="Arial"/>
          <w:lang w:val="en-US"/>
        </w:rPr>
        <w:instrText>ADDIN CSL_CITATION {"citationItems":[{"id":"ITEM-1","itemData":{"DOI":"https://doi.org/10.7910/DVN/4JZZLB","author":[{"dropping-particle":"","family":"Mancilla-Galindo","given":"Javier","non-dropping-particle":"","parse-names":false,"suffix":""},{"dropping-particle":"","family":"Guerrero-Gutiérrez","given":"Manuel Alberto","non-dropping-particle":"","parse-names":false,"suffix":""}],"id":"ITEM-1","issued":{"date-parts":[["2023"]]},"publisher":"Harvard Dataverse","title":"Replication Data for: Preoperative atelectasis in patients with obesity undergoing bariatric surgery a cross-sectional study","type":"article"},"uris":["http://www.mendeley.com/documents/?uuid=3ce6631a-f344-40e2-8b98-ed09b9966147"]}],"mendeley":{"formattedCitation":"&lt;sup&gt;10&lt;/sup&gt;","plainTextFormattedCitation":"10","previouslyFormattedCitation":"&lt;sup&gt;9&lt;/sup&gt;"},"properties":{"noteIndex":0},"schema":"https://github.com/citation-style-language/schema/raw/master/csl-citation.json"}</w:instrText>
      </w:r>
      <w:r>
        <w:rPr>
          <w:rFonts w:ascii="Arial" w:hAnsi="Arial" w:cs="Arial"/>
          <w:lang w:val="en-US"/>
        </w:rPr>
        <w:fldChar w:fldCharType="separate"/>
      </w:r>
      <w:r w:rsidR="00AC7695" w:rsidRPr="00AC7695">
        <w:rPr>
          <w:rFonts w:ascii="Arial" w:hAnsi="Arial" w:cs="Arial"/>
          <w:noProof/>
          <w:vertAlign w:val="superscript"/>
          <w:lang w:val="en-US"/>
        </w:rPr>
        <w:t>10</w:t>
      </w:r>
      <w:r>
        <w:rPr>
          <w:rFonts w:ascii="Arial" w:hAnsi="Arial" w:cs="Arial"/>
          <w:lang w:val="en-US"/>
        </w:rPr>
        <w:fldChar w:fldCharType="end"/>
      </w:r>
      <w:r w:rsidR="003455DB">
        <w:rPr>
          <w:rFonts w:ascii="Arial" w:hAnsi="Arial" w:cs="Arial"/>
          <w:lang w:val="en-US"/>
        </w:rPr>
        <w:t xml:space="preserve"> </w:t>
      </w:r>
    </w:p>
    <w:p w14:paraId="05124365" w14:textId="25B62269" w:rsidR="00167E59" w:rsidRPr="005865D6" w:rsidRDefault="00167E59" w:rsidP="00167E59">
      <w:pPr>
        <w:spacing w:line="480" w:lineRule="auto"/>
        <w:jc w:val="both"/>
        <w:rPr>
          <w:rFonts w:ascii="Arial" w:hAnsi="Arial" w:cs="Arial"/>
          <w:b/>
          <w:bCs/>
          <w:lang w:val="en-US"/>
        </w:rPr>
      </w:pPr>
      <w:r>
        <w:rPr>
          <w:rFonts w:ascii="Arial" w:hAnsi="Arial" w:cs="Arial"/>
          <w:b/>
          <w:bCs/>
          <w:lang w:val="en-US"/>
        </w:rPr>
        <w:t>Sample Size</w:t>
      </w:r>
    </w:p>
    <w:p w14:paraId="430E0BF4" w14:textId="77777777" w:rsidR="00524027" w:rsidRDefault="00923D0D" w:rsidP="00167E59">
      <w:pPr>
        <w:spacing w:line="480" w:lineRule="auto"/>
        <w:jc w:val="both"/>
        <w:rPr>
          <w:rFonts w:ascii="Arial" w:hAnsi="Arial" w:cs="Arial"/>
          <w:lang w:val="en-US"/>
        </w:rPr>
      </w:pPr>
      <w:r>
        <w:rPr>
          <w:rFonts w:ascii="Arial" w:hAnsi="Arial" w:cs="Arial"/>
          <w:lang w:val="en-US"/>
        </w:rPr>
        <w:t xml:space="preserve">We did not identify any prior studies reporting the prevalence of preoperative atelectasis </w:t>
      </w:r>
      <w:r w:rsidR="006F76AC">
        <w:rPr>
          <w:rFonts w:ascii="Arial" w:hAnsi="Arial" w:cs="Arial"/>
          <w:lang w:val="en-US"/>
        </w:rPr>
        <w:t xml:space="preserve">in patients with obesity. Thus, we calculated the minimum sample size </w:t>
      </w:r>
      <w:r w:rsidR="00C85E1C">
        <w:rPr>
          <w:rFonts w:ascii="Arial" w:hAnsi="Arial" w:cs="Arial"/>
          <w:lang w:val="en-US"/>
        </w:rPr>
        <w:t>based on</w:t>
      </w:r>
      <w:r w:rsidR="006C5110">
        <w:rPr>
          <w:rFonts w:ascii="Arial" w:hAnsi="Arial" w:cs="Arial"/>
          <w:lang w:val="en-US"/>
        </w:rPr>
        <w:t xml:space="preserve"> the following assumptions: </w:t>
      </w:r>
    </w:p>
    <w:p w14:paraId="087D8621" w14:textId="0D3345A1" w:rsidR="00524027" w:rsidRDefault="00D85AE9" w:rsidP="00524027">
      <w:pPr>
        <w:pStyle w:val="Prrafodelista"/>
        <w:numPr>
          <w:ilvl w:val="0"/>
          <w:numId w:val="7"/>
        </w:numPr>
        <w:spacing w:line="480" w:lineRule="auto"/>
        <w:jc w:val="both"/>
        <w:rPr>
          <w:rFonts w:ascii="Arial" w:hAnsi="Arial" w:cs="Arial"/>
          <w:lang w:val="en-US"/>
        </w:rPr>
      </w:pPr>
      <w:r>
        <w:rPr>
          <w:rFonts w:ascii="Arial" w:hAnsi="Arial" w:cs="Arial"/>
          <w:lang w:val="en-US"/>
        </w:rPr>
        <w:t>T</w:t>
      </w:r>
      <w:r w:rsidR="006C5110" w:rsidRPr="00524027">
        <w:rPr>
          <w:rFonts w:ascii="Arial" w:hAnsi="Arial" w:cs="Arial"/>
          <w:lang w:val="en-US"/>
        </w:rPr>
        <w:t xml:space="preserve">he </w:t>
      </w:r>
      <w:r w:rsidR="00305AB9" w:rsidRPr="00524027">
        <w:rPr>
          <w:rFonts w:ascii="Arial" w:hAnsi="Arial" w:cs="Arial"/>
          <w:lang w:val="en-US"/>
        </w:rPr>
        <w:t xml:space="preserve">PROBESE trial reported that </w:t>
      </w:r>
      <w:r w:rsidR="0045747F" w:rsidRPr="00524027">
        <w:rPr>
          <w:rFonts w:ascii="Arial" w:hAnsi="Arial" w:cs="Arial"/>
          <w:lang w:val="en-US"/>
        </w:rPr>
        <w:t>5.6% of patients in the high PEEP group (</w:t>
      </w:r>
      <w:r w:rsidR="00216998" w:rsidRPr="00524027">
        <w:rPr>
          <w:rFonts w:ascii="Arial" w:hAnsi="Arial" w:cs="Arial"/>
          <w:lang w:val="en-US"/>
        </w:rPr>
        <w:t>12 cmH</w:t>
      </w:r>
      <w:r w:rsidR="00216998" w:rsidRPr="00524027">
        <w:rPr>
          <w:rFonts w:ascii="Arial" w:hAnsi="Arial" w:cs="Arial"/>
          <w:vertAlign w:val="subscript"/>
          <w:lang w:val="en-US"/>
        </w:rPr>
        <w:t>2</w:t>
      </w:r>
      <w:r w:rsidR="00216998" w:rsidRPr="00524027">
        <w:rPr>
          <w:rFonts w:ascii="Arial" w:hAnsi="Arial" w:cs="Arial"/>
          <w:lang w:val="en-US"/>
        </w:rPr>
        <w:t>O</w:t>
      </w:r>
      <w:r w:rsidR="0045747F" w:rsidRPr="00524027">
        <w:rPr>
          <w:rFonts w:ascii="Arial" w:hAnsi="Arial" w:cs="Arial"/>
          <w:lang w:val="en-US"/>
        </w:rPr>
        <w:t>)</w:t>
      </w:r>
      <w:r w:rsidR="00216998" w:rsidRPr="00524027">
        <w:rPr>
          <w:rFonts w:ascii="Arial" w:hAnsi="Arial" w:cs="Arial"/>
          <w:lang w:val="en-US"/>
        </w:rPr>
        <w:t xml:space="preserve"> and 4.4% in the low PEEP group (</w:t>
      </w:r>
      <w:r w:rsidR="00001E61" w:rsidRPr="00524027">
        <w:rPr>
          <w:rFonts w:ascii="Arial" w:hAnsi="Arial" w:cs="Arial"/>
          <w:lang w:val="en-US"/>
        </w:rPr>
        <w:t>4 cmH</w:t>
      </w:r>
      <w:r w:rsidR="00001E61" w:rsidRPr="00524027">
        <w:rPr>
          <w:rFonts w:ascii="Arial" w:hAnsi="Arial" w:cs="Arial"/>
          <w:vertAlign w:val="subscript"/>
          <w:lang w:val="en-US"/>
        </w:rPr>
        <w:t>2</w:t>
      </w:r>
      <w:r w:rsidR="00001E61" w:rsidRPr="00524027">
        <w:rPr>
          <w:rFonts w:ascii="Arial" w:hAnsi="Arial" w:cs="Arial"/>
          <w:lang w:val="en-US"/>
        </w:rPr>
        <w:t>O) had postoperative atelectasis.</w:t>
      </w:r>
      <w:r w:rsidR="00423E65">
        <w:rPr>
          <w:rFonts w:ascii="Arial" w:hAnsi="Arial" w:cs="Arial"/>
          <w:lang w:val="en-US"/>
        </w:rPr>
        <w:fldChar w:fldCharType="begin" w:fldLock="1"/>
      </w:r>
      <w:r w:rsidR="00AC7695">
        <w:rPr>
          <w:rFonts w:ascii="Arial" w:hAnsi="Arial" w:cs="Arial"/>
          <w:lang w:val="en-US"/>
        </w:rPr>
        <w:instrText>ADDIN CSL_CITATION {"citationItems":[{"id":"ITEM-1","itemData":{"DOI":"10.1001/jama.2019.7505","ISSN":"15383598","PMID":"31157366","abstract":"Importance: An intraoperative higher level of positive end-expiratory positive pressure (PEEP) with alveolar recruitment maneuvers improves respiratory function in obese patients undergoing surgery, but the effect on clinical outcomes is uncertain. Objective: To determine whether a higher level of PEEP with alveolar recruitment maneuvers decreases postoperative pulmonary complications in obese patients undergoing surgery compared with a lower level of PEEP. Design, Setting, and Participants: Randomized clinical trial of 2013 adults with body mass indices of 35 or greater and substantial risk for postoperative pulmonary complications who were undergoing noncardiac, nonneurological surgery under general anesthesia. The trial was conducted at 77 sites in 23 countries from July 2014-February 2018; final follow-up: May 2018. Interventions: Patients were randomized to the high level of PEEP group (n = 989), consisting of a PEEP level of 12 cm H2O with alveolar recruitment maneuvers (a stepwise increase of tidal volume and eventually PEEP) or to the low level of PEEP group (n = 987), consisting of a PEEP level of 4 cm H2O. All patients received volume-controlled ventilation with a tidal volume of 7 mL/kg of predicted body weight. Main Outcomes and Measures: The primary outcome was a composite of pulmonary complications within the first 5 postoperative days, including respiratory failure, acute respiratory distress syndrome, bronchospasm, new pulmonary infiltrates, pulmonary infection, aspiration pneumonitis, pleural effusion, atelectasis, cardiopulmonary edema, and pneumothorax. Among the 9 prespecified secondary outcomes, 3 were intraoperative complications, including hypoxemia (oxygen desaturation with Spo2 ≤92% for &gt;1 minute). Results: Among 2013 adults who were randomized, 1976 (98.2%) completed the trial (mean age, 48.8 years; 1381 [69.9%] women; 1778 [90.1%] underwent abdominal operations). In the intention-to-treat analysis, the primary outcome occurred in 211 of 989 patients (21.3%) in the high level of PEEP group compared with 233 of 987 patients (23.6%) in the low level of PEEP group (difference, -2.3% [95% CI, -5.9% to 1.4%]; risk ratio, 0.93 [95% CI, 0.83 to 1.04]; P =.23). Among the 9 prespecified secondary outcomes, 6 were not significantly different between the high and low level of PEEP groups, and 3 were significantly different, including fewer patients with hypoxemia (5.0% in the high level of PEEP group vs 13.6% in the low level of PEEP grou…","author":[{"dropping-particle":"","family":"Bluth","given":"Thomas","non-dropping-particle":"","parse-names":false,"suffix":""},{"dropping-particle":"","family":"Serpa Neto","given":"Ary","non-dropping-particle":"","parse-names":false,"suffix":""},{"dropping-particle":"","family":"Schultz","given":"Marcus J.","non-dropping-particle":"","parse-names":false,"suffix":""},{"dropping-particle":"","family":"Pelosi","given":"Paolo","non-dropping-particle":"","parse-names":false,"suffix":""},{"dropping-particle":"","family":"Gama de Abreu","given":"Marcelo","non-dropping-particle":"","parse-names":false,"suffix":""},{"dropping-particle":"","family":"Bobek","given":"Ilona","non-dropping-particle":"","parse-names":false,"suffix":""},{"dropping-particle":"","family":"Canet","given":"Jaume C.","non-dropping-particle":"","parse-names":false,"suffix":""},{"dropping-particle":"","family":"Cinella","given":"Gilda","non-dropping-particle":"","parse-names":false,"suffix":""},{"dropping-particle":"","family":"Baerdemaeker","given":"Luc","non-dropping-particle":"de","parse-names":false,"suffix":""},{"dropping-particle":"","family":"Gregoretti","given":"Cesare","non-dropping-particle":"","parse-names":false,"suffix":""},{"dropping-particle":"","family":"Hedenstierna","given":"Göran","non-dropping-particle":"","parse-names":false,"suffix":""},{"dropping-particle":"","family":"Hemmes","given":"Sabrine N.T.","non-dropping-particle":"","parse-names":false,"suffix":""},{"dropping-particle":"","family":"Hiesmayr","given":"Michael","non-dropping-particle":"","parse-names":false,"suffix":""},{"dropping-particle":"","family":"Hollmann","given":"Markus W.","non-dropping-particle":"","parse-names":false,"suffix":""},{"dropping-particle":"","family":"Jaber","given":"Samir","non-dropping-particle":"","parse-names":false,"suffix":""},{"dropping-particle":"","family":"Laffey","given":"John","non-dropping-particle":"","parse-names":false,"suffix":""},{"dropping-particle":"","family":"Licker","given":"Marc Joseph","non-dropping-particle":"","parse-names":false,"suffix":""},{"dropping-particle":"","family":"Markstaller","given":"Klaus","non-dropping-particle":"","parse-names":false,"suffix":""},{"dropping-particle":"","family":"Matot","given":"Idit","non-dropping-particle":"","parse-names":false,"suffix":""},{"dropping-particle":"","family":"Mills","given":"Gary H.","non-dropping-particle":"","parse-names":false,"suffix":""},{"dropping-particle":"","family":"Mulier","given":"Jan Paul","non-dropping-particle":"","parse-names":false,"suffix":""},{"dropping-particle":"","family":"Putensen","given":"Christian","non-dropping-particle":"","parse-names":false,"suffix":""},{"dropping-particle":"","family":"Rossaint","given":"Rolf","non-dropping-particle":"","parse-names":false,"suffix":""},{"dropping-particle":"","family":"Schmitt","given":"Jochen","non-dropping-particle":"","parse-names":false,"suffix":""},{"dropping-particle":"","family":"Senturk","given":"Mert","non-dropping-particle":"","parse-names":false,"suffix":""},{"dropping-particle":"","family":"Severgnini","given":"Paolo","non-dropping-particle":"","parse-names":false,"suffix":""},{"dropping-particle":"","family":"Sprung","given":"Juraj","non-dropping-particle":"","parse-names":false,"suffix":""},{"dropping-particle":"","family":"Vidal Melo","given":"Marcos Francisco","non-dropping-particle":"","parse-names":false,"suffix":""},{"dropping-particle":"","family":"Wrigge","given":"Hermann","non-dropping-particle":"","parse-names":false,"suffix":""},{"dropping-particle":"","family":"Abelha","given":"Fernando","non-dropping-particle":"","parse-names":false,"suffix":""},{"dropping-particle":"","family":"Abitagaoglu","given":"Sühayla","non-dropping-particle":"","parse-names":false,"suffix":""},{"dropping-particle":"","family":"Achilles","given":"Marc","non-dropping-particle":"","parse-names":false,"suffix":""},{"dropping-particle":"","family":"Adebesin","given":"Afeez","non-dropping-particle":"","parse-names":false,"suffix":""},{"dropping-particle":"","family":"Adriaensens","given":"Ine","non-dropping-particle":"","parse-names":false,"suffix":""},{"dropping-particle":"","family":"Ahene","given":"Charles","non-dropping-particle":"","parse-names":false,"suffix":""},{"dropping-particle":"","family":"Akbar","given":"Fatima","non-dropping-particle":"","parse-names":false,"suffix":""},{"dropping-particle":"Al","family":"Harbi","given":"Mohammed","non-dropping-particle":"","parse-names":false,"suffix":""},{"dropping-particle":"","family":"Kallab","given":"Rita Al Khoury","non-dropping-particle":"Al","parse-names":false,"suffix":""},{"dropping-particle":"","family":"Albanel","given":"Xavier","non-dropping-particle":"","parse-names":false,"suffix":""},{"dropping-particle":"","family":"Aldenkortt","given":"Florence","non-dropping-particle":"","parse-names":false,"suffix":""},{"dropping-particle":"","family":"Alfouzan","given":"Rawan Abdullah Saleh","non-dropping-particle":"","parse-names":false,"suffix":""},{"dropping-particle":"","family":"Alruqaie","given":"Reef","non-dropping-particle":"","parse-names":false,"suffix":""},{"dropping-particle":"","family":"Altermatt","given":"Fernando","non-dropping-particle":"","parse-names":false,"suffix":""},{"dropping-particle":"","family":"Castro Araujo","given":"Bruno Luís","non-dropping-particle":"de","parse-names":false,"suffix":""},{"dropping-particle":"","family":"Arbesú","given":"Genaro","non-dropping-particle":"","parse-names":false,"suffix":""},{"dropping-particle":"","family":"Artsi","given":"Hanna","non-dropping-particle":"","parse-names":false,"suffix":""},{"dropping-particle":"","family":"Aurilio","given":"Caterina","non-dropping-particle":"","parse-names":false,"suffix":""},{"dropping-particle":"","family":"Ayanoglu","given":"Omer Hilmi","non-dropping-particle":"","parse-names":false,"suffix":""},{"dropping-particle":"","family":"Bacuzzi","given":"Alessandro","non-dropping-particle":"","parse-names":false,"suffix":""},{"dropping-particle":"","family":"Baig","given":"Harris","non-dropping-particle":"","parse-names":false,"suffix":""},{"dropping-particle":"","family":"Baird","given":"Yolanda","non-dropping-particle":"","parse-names":false,"suffix":""},{"dropping-particle":"","family":"Balonov","given":"Konstantin","non-dropping-particle":"","parse-names":false,"suffix":""},{"dropping-particle":"","family":"Balust","given":"Jaume","non-dropping-particle":"","parse-names":false,"suffix":""},{"dropping-particle":"","family":"Banks","given":"Samantha","non-dropping-particle":"","parse-names":false,"suffix":""},{"dropping-particle":"","family":"Bao","given":"Xiaodong","non-dropping-particle":"","parse-names":false,"suffix":""},{"dropping-particle":"","family":"Baumgartner","given":"Mélanie","non-dropping-particle":"","parse-names":false,"suffix":""},{"dropping-particle":"","family":"Tortosa","given":"Isabel Belda","non-dropping-particle":"","parse-names":false,"suffix":""},{"dropping-particle":"","family":"Bergamaschi","given":"Alice","non-dropping-particle":"","parse-names":false,"suffix":""},{"dropping-particle":"","family":"Bergmann","given":"Lars","non-dropping-particle":"","parse-names":false,"suffix":""},{"dropping-particle":"","family":"Bigatello","given":"Luca","non-dropping-particle":"","parse-names":false,"suffix":""},{"dropping-particle":"","family":"Pérez","given":"Elena Biosca","non-dropping-particle":"","parse-names":false,"suffix":""},{"dropping-particle":"","family":"Birr","given":"Katja","non-dropping-particle":"","parse-names":false,"suffix":""},{"dropping-particle":"","family":"Bojaxhi","given":"Elird","non-dropping-particle":"","parse-names":false,"suffix":""},{"dropping-particle":"","family":"Bonenti","given":"Chiara","non-dropping-particle":"","parse-names":false,"suffix":""},{"dropping-particle":"","family":"Bonney","given":"Iwona","non-dropping-particle":"","parse-names":false,"suffix":""},{"dropping-particle":"","family":"Bos","given":"Elke M.E.","non-dropping-particle":"","parse-names":false,"suffix":""},{"dropping-particle":"","family":"Bowman","given":"Sara","non-dropping-particle":"","parse-names":false,"suffix":""},{"dropping-particle":"","family":"Braz","given":"Leandro Gobbo","non-dropping-particle":"","parse-names":false,"suffix":""},{"dropping-particle":"","family":"Brugnoni","given":"Elisa","non-dropping-particle":"","parse-names":false,"suffix":""},{"dropping-particle":"","family":"Brull","given":"Sorin J.","non-dropping-particle":"","parse-names":false,"suffix":""},{"dropping-particle":"","family":"Brunetti","given":"Iole","non-dropping-particle":"","parse-names":false,"suffix":""},{"dropping-particle":"","family":"Bruni","given":"Andrea","non-dropping-particle":"","parse-names":false,"suffix":""},{"dropping-particle":"","family":"Buenvenida","given":"Shonie L.","non-dropping-particle":"","parse-names":false,"suffix":""},{"dropping-particle":"","family":"Busch","given":"Cornelius Johannes","non-dropping-particle":"","parse-names":false,"suffix":""},{"dropping-particle":"","family":"Camerini","given":"Giovanni","non-dropping-particle":"","parse-names":false,"suffix":""},{"dropping-particle":"","family":"Capatti","given":"Beatrice","non-dropping-particle":"","parse-names":false,"suffix":""},{"dropping-particle":"","family":"Carmona","given":"Javiera","non-dropping-particle":"","parse-names":false,"suffix":""},{"dropping-particle":"","family":"Carungcong","given":"Jaime","non-dropping-particle":"","parse-names":false,"suffix":""},{"dropping-particle":"","family":"Carvalho","given":"Marta","non-dropping-particle":"","parse-names":false,"suffix":""},{"dropping-particle":"","family":"Cattan","given":"Anat","non-dropping-particle":"","parse-names":false,"suffix":""},{"dropping-particle":"","family":"Cavaleiro","given":"Carla","non-dropping-particle":"","parse-names":false,"suffix":""},{"dropping-particle":"","family":"Chiumello","given":"Davide","non-dropping-particle":"","parse-names":false,"suffix":""},{"dropping-particle":"","family":"Ciardo","given":"Stefano","non-dropping-particle":"","parse-names":false,"suffix":""},{"dropping-particle":"","family":"Coburn","given":"Mark","non-dropping-particle":"","parse-names":false,"suffix":""},{"dropping-particle":"","family":"Colella","given":"Umberto","non-dropping-particle":"","parse-names":false,"suffix":""},{"dropping-particle":"","family":"Contreras","given":"Victor","non-dropping-particle":"","parse-names":false,"suffix":""},{"dropping-particle":"","family":"Dincer","given":"Pelin Corman","non-dropping-particle":"","parse-names":false,"suffix":""},{"dropping-particle":"","family":"Cotter","given":"Elizabeth","non-dropping-particle":"","parse-names":false,"suffix":""},{"dropping-particle":"","family":"Crovetto","given":"Marcia","non-dropping-particle":"","parse-names":false,"suffix":""},{"dropping-particle":"","family":"Darrah","given":"William","non-dropping-particle":"","parse-names":false,"suffix":""},{"dropping-particle":"","family":"Davies","given":"Simon","non-dropping-particle":"","parse-names":false,"suffix":""},{"dropping-particle":"","family":"Hert","given":"Stefan","non-dropping-particle":"De","parse-names":false,"suffix":""},{"dropping-particle":"","family":"Peces","given":"Enrique Del Cojo","non-dropping-particle":"","parse-names":false,"suffix":""},{"dropping-particle":"","family":"Delphin","given":"Ellise","non-dropping-particle":"","parse-names":false,"suffix":""},{"dropping-particle":"","family":"Diaper","given":"John","non-dropping-particle":"","parse-names":false,"suffix":""},{"dropping-particle":"","family":"Nascimento Junior","given":"Paulo","non-dropping-particle":"Do","parse-names":false,"suffix":""},{"dropping-particle":"","family":"Donatiello","given":"Valerio","non-dropping-particle":"","parse-names":false,"suffix":""},{"dropping-particle":"","family":"Dong","given":"Jing","non-dropping-particle":"","parse-names":false,"suffix":""},{"dropping-particle":"","family":"Dourado","given":"Maria Do Socorro","non-dropping-particle":"","parse-names":false,"suffix":""},{"dropping-particle":"","family":"Dullenkopf","given":"Alexander","non-dropping-particle":"","parse-names":false,"suffix":""},{"dropping-particle":"","family":"Ebner","given":"Felix","non-dropping-particle":"","parse-names":false,"suffix":""},{"dropping-particle":"","family":"Elgendy","given":"Hamed","non-dropping-particle":"","parse-names":false,"suffix":""},{"dropping-particle":"","family":"Ellenberger","given":"Christoph","non-dropping-particle":"","parse-names":false,"suffix":""},{"dropping-particle":"","family":"Erdogan Ari","given":"Dilek","non-dropping-particle":"","parse-names":false,"suffix":""},{"dropping-particle":"","family":"Ermert","given":"Thomas","non-dropping-particle":"","parse-names":false,"suffix":""},{"dropping-particle":"","family":"Farah","given":"Fadi","non-dropping-particle":"","parse-names":false,"suffix":""},{"dropping-particle":"","family":"Fernandez-Bustamante","given":"Ana","non-dropping-particle":"","parse-names":false,"suffix":""},{"dropping-particle":"","family":"Ferreira","given":"Cristina","non-dropping-particle":"","parse-names":false,"suffix":""},{"dropping-particle":"","family":"Fiore","given":"Marco","non-dropping-particle":"","parse-names":false,"suffix":""},{"dropping-particle":"","family":"Fonte","given":"Ana","non-dropping-particle":"","parse-names":false,"suffix":""},{"dropping-particle":"","family":"Palahí","given":"Christina Fortià","non-dropping-particle":"","parse-names":false,"suffix":""},{"dropping-particle":"","family":"Galimberti","given":"Andrea","non-dropping-particle":"","parse-names":false,"suffix":""},{"dropping-particle":"","family":"Garofano","given":"Najia","non-dropping-particle":"","parse-names":false,"suffix":""},{"dropping-particle":"","family":"Giaccari","given":"Luca Gregorio","non-dropping-particle":"","parse-names":false,"suffix":""},{"dropping-particle":"","family":"Gilsanz","given":"Fernando","non-dropping-particle":"","parse-names":false,"suffix":""},{"dropping-particle":"","family":"Girrbach","given":"Felix","non-dropping-particle":"","parse-names":false,"suffix":""},{"dropping-particle":"","family":"Gobbi","given":"Luca","non-dropping-particle":"","parse-names":false,"suffix":""},{"dropping-particle":"","family":"Godfried","given":"Marc Bernard","non-dropping-particle":"","parse-names":false,"suffix":""},{"dropping-particle":"","family":"Goettel","given":"Nicolai","non-dropping-particle":"","parse-names":false,"suffix":""},{"dropping-particle":"","family":"Goldstein","given":"Peter A.","non-dropping-particle":"","parse-names":false,"suffix":""},{"dropping-particle":"","family":"Goren","given":"Or","non-dropping-particle":"","parse-names":false,"suffix":""},{"dropping-particle":"","family":"Gorlin","given":"Andrew","non-dropping-particle":"","parse-names":false,"suffix":""},{"dropping-particle":"","family":"Gil","given":"Manuel Granell","non-dropping-particle":"","parse-names":false,"suffix":""},{"dropping-particle":"","family":"Gratarola","given":"Angelo","non-dropping-particle":"","parse-names":false,"suffix":""},{"dropping-particle":"","family":"Graterol","given":"Juan","non-dropping-particle":"","parse-names":false,"suffix":""},{"dropping-particle":"","family":"Guyon","given":"Pierre","non-dropping-particle":"","parse-names":false,"suffix":""},{"dropping-particle":"","family":"Haire","given":"Kevin","non-dropping-particle":"","parse-names":false,"suffix":""},{"dropping-particle":"","family":"Harou","given":"Philippe","non-dropping-particle":"","parse-names":false,"suffix":""},{"dropping-particle":"","family":"Helf","given":"Antonia","non-dropping-particle":"","parse-names":false,"suffix":""},{"dropping-particle":"","family":"Hempel","given":"Gunther","non-dropping-particle":"","parse-names":false,"suffix":""},{"dropping-particle":"","family":"Cádiz","given":"María José Hernández","non-dropping-particle":"","parse-names":false,"suffix":""},{"dropping-particle":"","family":"Heyse","given":"Björn","non-dropping-particle":"","parse-names":false,"suffix":""},{"dropping-particle":"","family":"Huercio","given":"Ivan","non-dropping-particle":"","parse-names":false,"suffix":""},{"dropping-particle":"","family":"Ilievska","given":"Jasmina","non-dropping-particle":"","parse-names":false,"suffix":""},{"dropping-particle":"","family":"Jakus","given":"Lien","non-dropping-particle":"","parse-names":false,"suffix":""},{"dropping-particle":"","family":"Jeganath","given":"Vijay","non-dropping-particle":"","parse-names":false,"suffix":""},{"dropping-particle":"","family":"Jelting","given":"Yvonne","non-dropping-particle":"","parse-names":false,"suffix":""},{"dropping-particle":"","family":"Jung","given":"Minoa","non-dropping-particle":"","parse-names":false,"suffix":""},{"dropping-particle":"","family":"Kabon","given":"Barbara","non-dropping-particle":"","parse-names":false,"suffix":""},{"dropping-particle":"","family":"Kacha","given":"Aalok","non-dropping-particle":"","parse-names":false,"suffix":""},{"dropping-particle":"","family":"Ilic","given":"Maja Karaman","non-dropping-particle":"","parse-names":false,"suffix":""},{"dropping-particle":"","family":"Karuppiah","given":"Arunthevaraja","non-dropping-particle":"","parse-names":false,"suffix":""},{"dropping-particle":"","family":"Kavas","given":"Ayse Duygu","non-dropping-particle":"","parse-names":false,"suffix":""},{"dropping-particle":"","family":"Barcelos","given":"Gleicy Keli","non-dropping-particle":"","parse-names":false,"suffix":""},{"dropping-particle":"","family":"Kellogg","given":"Todd A.","non-dropping-particle":"","parse-names":false,"suffix":""},{"dropping-particle":"","family":"Kemper","given":"Johann","non-dropping-particle":"","parse-names":false,"suffix":""},{"dropping-particle":"","family":"Kerbrat","given":"Romain","non-dropping-particle":"","parse-names":false,"suffix":""},{"dropping-particle":"","family":"Khodr","given":"Suraya","non-dropping-particle":"","parse-names":false,"suffix":""},{"dropping-particle":"","family":"Kienbaum","given":"Peter","non-dropping-particle":"","parse-names":false,"suffix":""},{"dropping-particle":"","family":"Kir","given":"Bunyamin","non-dropping-particle":"","parse-names":false,"suffix":""},{"dropping-particle":"","family":"Kiss","given":"Thomas","non-dropping-particle":"","parse-names":false,"suffix":""},{"dropping-particle":"","family":"Kivrak","given":"Selin","non-dropping-particle":"","parse-names":false,"suffix":""},{"dropping-particle":"","family":"Klaric","given":"Vlasta","non-dropping-particle":"","parse-names":false,"suffix":""},{"dropping-particle":"","family":"Koch","given":"Thea","non-dropping-particle":"","parse-names":false,"suffix":""},{"dropping-particle":"","family":"Köksal","given":"Ceren","non-dropping-particle":"","parse-names":false,"suffix":""},{"dropping-particle":"","family":"Kowark","given":"Ana","non-dropping-particle":"","parse-names":false,"suffix":""},{"dropping-particle":"","family":"Kranke","given":"Peter","non-dropping-particle":"","parse-names":false,"suffix":""},{"dropping-particle":"","family":"Kuvaki","given":"Bahar","non-dropping-particle":"","parse-names":false,"suffix":""},{"dropping-particle":"","family":"Kuzmanovska","given":"Biljana","non-dropping-particle":"","parse-names":false,"suffix":""},{"dropping-particle":"","family":"Lange","given":"Mirko","non-dropping-particle":"","parse-names":false,"suffix":""},{"dropping-particle":"","family":"Lemos","given":"Marília Freitas","non-dropping-particle":"de","parse-names":false,"suffix":""},{"dropping-particle":"","family":"López-Baamonde","given":"Manuel","non-dropping-particle":"","parse-names":false,"suffix":""},{"dropping-particle":"","family":"López-Hernández","given":"Antonio","non-dropping-particle":"","parse-names":false,"suffix":""},{"dropping-particle":"","family":"Lopez-Martinez","given":"Mercedes","non-dropping-particle":"","parse-names":false,"suffix":""},{"dropping-particle":"","family":"Luise","given":"Stéphane","non-dropping-particle":"","parse-names":false,"suffix":""},{"dropping-particle":"","family":"Macgregor","given":"Mark","non-dropping-particle":"","parse-names":false,"suffix":""},{"dropping-particle":"","family":"Magalhães","given":"Danielle","non-dropping-particle":"","parse-names":false,"suffix":""},{"dropping-particle":"","family":"Maillard","given":"Julien","non-dropping-particle":"","parse-names":false,"suffix":""},{"dropping-particle":"","family":"Malerbi","given":"Patrizia","non-dropping-particle":"","parse-names":false,"suffix":""},{"dropping-particle":"","family":"Manimekalai","given":"Natesan","non-dropping-particle":"","parse-names":false,"suffix":""},{"dropping-particle":"","family":"Margarson","given":"Michael","non-dropping-particle":"","parse-names":false,"suffix":""},{"dropping-particle":"","family":"Martin","given":"Archer K.","non-dropping-particle":"","parse-names":false,"suffix":""},{"dropping-particle":"","family":"Martin","given":"David P.","non-dropping-particle":"","parse-names":false,"suffix":""},{"dropping-particle":"","family":"Martin","given":"Yvette N.","non-dropping-particle":"","parse-names":false,"suffix":""},{"dropping-particle":"","family":"Martínez-Ocon","given":"Julia","non-dropping-particle":"","parse-names":false,"suffix":""},{"dropping-particle":"","family":"Martin-Loeches","given":"Ignacio","non-dropping-particle":"","parse-names":false,"suffix":""},{"dropping-particle":"","family":"Maseda","given":"Emilio","non-dropping-particle":"","parse-names":false,"suffix":""},{"dropping-particle":"","family":"McAuliffe","given":"Niamh","non-dropping-particle":"","parse-names":false,"suffix":""},{"dropping-particle":"","family":"McKenzie","given":"Travis J.","non-dropping-particle":"","parse-names":false,"suffix":""},{"dropping-particle":"","family":"Medina","given":"Paulina","non-dropping-particle":"","parse-names":false,"suffix":""},{"dropping-particle":"","family":"Meersch","given":"Melanie","non-dropping-particle":"","parse-names":false,"suffix":""},{"dropping-particle":"","family":"Menzen","given":"Angelika","non-dropping-particle":"","parse-names":false,"suffix":""},{"dropping-particle":"","family":"Mertens","given":"Els","non-dropping-particle":"","parse-names":false,"suffix":""},{"dropping-particle":"","family":"Meurer","given":"Bernd","non-dropping-particle":"","parse-names":false,"suffix":""},{"dropping-particle":"","family":"Meyer-Treschan","given":"Tanja","non-dropping-particle":"","parse-names":false,"suffix":""},{"dropping-particle":"","family":"Miao","given":"Changhong","non-dropping-particle":"","parse-names":false,"suffix":""},{"dropping-particle":"","family":"Micalizzi","given":"Camilla","non-dropping-particle":"","parse-names":false,"suffix":""},{"dropping-particle":"","family":"Milic","given":"Morena","non-dropping-particle":"","parse-names":false,"suffix":""},{"dropping-particle":"","family":"Módolo","given":"Norma Sueli Pinheiro","non-dropping-particle":"","parse-names":false,"suffix":""},{"dropping-particle":"","family":"Moine","given":"Pierre","non-dropping-particle":"","parse-names":false,"suffix":""},{"dropping-particle":"","family":"Mölders","given":"Patrick","non-dropping-particle":"","parse-names":false,"suffix":""},{"dropping-particle":"","family":"Montero-Feijoo","given":"Ana","non-dropping-particle":"","parse-names":false,"suffix":""},{"dropping-particle":"","family":"Moret","given":"Enrique","non-dropping-particle":"","parse-names":false,"suffix":""},{"dropping-particle":"","family":"Muller","given":"Markus K.","non-dropping-particle":"","parse-names":false,"suffix":""},{"dropping-particle":"","family":"Murphy","given":"Zoe","non-dropping-particle":"","parse-names":false,"suffix":""},{"dropping-particle":"","family":"Nalwaya","given":"Pramod","non-dropping-particle":"","parse-names":false,"suffix":""},{"dropping-particle":"","family":"Naumovski","given":"Filip","non-dropping-particle":"","parse-names":false,"suffix":""},{"dropping-particle":"","family":"Navalesi","given":"Paolo","non-dropping-particle":"","parse-names":false,"suffix":""},{"dropping-particle":"","family":"Navarro E Lima","given":"Lais Helena","non-dropping-particle":"","parse-names":false,"suffix":""},{"dropping-particle":"","family":"Adam","given":"Višnja Nesek","non-dropping-particle":"","parse-names":false,"suffix":""},{"dropping-particle":"","family":"Neumann","given":"Claudia","non-dropping-particle":"","parse-names":false,"suffix":""},{"dropping-particle":"","family":"Newell","given":"Christopher","non-dropping-particle":"","parse-names":false,"suffix":""},{"dropping-particle":"","family":"Nisnevitch","given":"Zoulfira","non-dropping-particle":"","parse-names":false,"suffix":""},{"dropping-particle":"","family":"Nizamuddin","given":"Junaid","non-dropping-particle":"","parse-names":false,"suffix":""},{"dropping-particle":"","family":"Novazzi","given":"Cecilia","non-dropping-particle":"","parse-names":false,"suffix":""},{"dropping-particle":"","family":"O’connor","given":"Michael","non-dropping-particle":"","parse-names":false,"suffix":""},{"dropping-particle":"","family":"Oprea","given":"Günther","non-dropping-particle":"","parse-names":false,"suffix":""},{"dropping-particle":"","family":"Sungur","given":"Mukadder Orhan","non-dropping-particle":"","parse-names":false,"suffix":""},{"dropping-particle":"","family":"Özbilgin","given":"Sule","non-dropping-particle":"","parse-names":false,"suffix":""},{"dropping-particle":"","family":"Pace","given":"Maria Caterina","non-dropping-particle":"","parse-names":false,"suffix":""},{"dropping-particle":"","family":"Pacheco","given":"Marcos","non-dropping-particle":"","parse-names":false,"suffix":""},{"dropping-particle":"","family":"Packianathaswamy","given":"Balaji","non-dropping-particle":"","parse-names":false,"suffix":""},{"dropping-particle":"","family":"Gonzalez","given":"Estefania Palma","non-dropping-particle":"","parse-names":false,"suffix":""},{"dropping-particle":"","family":"Papaspyros","given":"Fotios","non-dropping-particle":"","parse-names":false,"suffix":""},{"dropping-particle":"","family":"Paredes","given":"Sebastián","non-dropping-particle":"","parse-names":false,"suffix":""},{"dropping-particle":"","family":"Passavanti","given":"Maria Beatrice","non-dropping-particle":"","parse-names":false,"suffix":""},{"dropping-particle":"","family":"Pedemonte","given":"Juan Cristobal","non-dropping-particle":"","parse-names":false,"suffix":""},{"dropping-particle":"","family":"Peremin","given":"Sanja","non-dropping-particle":"","parse-names":false,"suffix":""},{"dropping-particle":"","family":"Philipsenburg","given":"Christoph","non-dropping-particle":"","parse-names":false,"suffix":""},{"dropping-particle":"","family":"Pinho","given":"Daniela","non-dropping-particle":"","parse-names":false,"suffix":""},{"dropping-particle":"","family":"Pinho","given":"Silvia","non-dropping-particle":"","parse-names":false,"suffix":""},{"dropping-particle":"","family":"Posthuma","given":"Linda M.","non-dropping-particle":"","parse-names":false,"suffix":""},{"dropping-particle":"","family":"Pota","given":"Vincenzo","non-dropping-particle":"","parse-names":false,"suffix":""},{"dropping-particle":"","family":"Preckel","given":"Benedikt","non-dropping-particle":"","parse-names":false,"suffix":""},{"dropping-particle":"","family":"Priani","given":"Paolo","non-dropping-particle":"","parse-names":false,"suffix":""},{"dropping-particle":"","family":"Rached","given":"Mohamed Aymen","non-dropping-particle":"","parse-names":false,"suffix":""},{"dropping-particle":"","family":"Radoeshki","given":"Aleksandar","non-dropping-particle":"","parse-names":false,"suffix":""},{"dropping-particle":"","family":"Ragazzi","given":"Riccardo","non-dropping-particle":"","parse-names":false,"suffix":""},{"dropping-particle":"","family":"Rajamanickam","given":"Tamilselvan","non-dropping-particle":"","parse-names":false,"suffix":""},{"dropping-particle":"","family":"Rajamohan","given":"Arthi","non-dropping-particle":"","parse-names":false,"suffix":""},{"dropping-particle":"","family":"Ramakrishna","given":"Harish","non-dropping-particle":"","parse-names":false,"suffix":""},{"dropping-particle":"","family":"Rangarajan","given":"Desikan","non-dropping-particle":"","parse-names":false,"suffix":""},{"dropping-particle":"","family":"Reiterer","given":"Christian","non-dropping-particle":"","parse-names":false,"suffix":""},{"dropping-particle":"","family":"Ross Renew","given":"J.","non-dropping-particle":"","parse-names":false,"suffix":""},{"dropping-particle":"","family":"Reynaud","given":"Thomas","non-dropping-particle":"","parse-names":false,"suffix":""},{"dropping-particle":"","family":"Rhys","given":"Rhidian","non-dropping-particle":"","parse-names":false,"suffix":""},{"dropping-particle":"","family":"Rivas","given":"Eva","non-dropping-particle":"","parse-names":false,"suffix":""},{"dropping-particle":"","family":"Robitzky","given":"Luisa","non-dropping-particle":"","parse-names":false,"suffix":""},{"dropping-particle":"","family":"Rubulotta","given":"Francesca","non-dropping-particle":"","parse-names":false,"suffix":""},{"dropping-particle":"","family":"Machado","given":"Humberto S.","non-dropping-particle":"","parse-names":false,"suffix":""},{"dropping-particle":"","family":"Nunes","given":"Catarina S.","non-dropping-particle":"","parse-names":false,"suffix":""},{"dropping-particle":"","family":"Sabbatini","given":"Giovanni","non-dropping-particle":"","parse-names":false,"suffix":""},{"dropping-particle":"","family":"Samuels","given":"Jon D.","non-dropping-particle":"","parse-names":false,"suffix":""},{"dropping-particle":"","family":"Sanahuja","given":"Josep Martí","non-dropping-particle":"","parse-names":false,"suffix":""},{"dropping-particle":"","family":"Sansone","given":"Pasquale","non-dropping-particle":"","parse-names":false,"suffix":""},{"dropping-particle":"","family":"Santos","given":"Alice","non-dropping-particle":"","parse-names":false,"suffix":""},{"dropping-particle":"","family":"Sayedalahl","given":"Mohamed","non-dropping-particle":"","parse-names":false,"suffix":""},{"dropping-particle":"","family":"Schaefer","given":"Maximilian S.","non-dropping-particle":"","parse-names":false,"suffix":""},{"dropping-particle":"","family":"Scharffenberg","given":"Martin","non-dropping-particle":"","parse-names":false,"suffix":""},{"dropping-particle":"","family":"Schiffer","given":"Eduardo","non-dropping-particle":"","parse-names":false,"suffix":""},{"dropping-particle":"","family":"Schliewe","given":"Nadja","non-dropping-particle":"","parse-names":false,"suffix":""},{"dropping-particle":"","family":"Schorer","given":"Raoul","non-dropping-particle":"","parse-names":false,"suffix":""},{"dropping-particle":"","family":"Schumann","given":"Roman","non-dropping-particle":"","parse-names":false,"suffix":""},{"dropping-particle":"","family":"Selmo","given":"Gabriele","non-dropping-particle":"","parse-names":false,"suffix":""},{"dropping-particle":"","family":"Sendra","given":"Mar","non-dropping-particle":"","parse-names":false,"suffix":""},{"dropping-particle":"","family":"Shaw","given":"Kate","non-dropping-particle":"","parse-names":false,"suffix":""},{"dropping-particle":"","family":"Shosholcheva","given":"Mirjana","non-dropping-particle":"","parse-names":false,"suffix":""},{"dropping-particle":"","family":"Sibai","given":"Abdulrazak","non-dropping-particle":"","parse-names":false,"suffix":""},{"dropping-particle":"","family":"Simon","given":"Philipp","non-dropping-particle":"","parse-names":false,"suffix":""},{"dropping-particle":"","family":"Simonassi","given":"Francesca","non-dropping-particle":"","parse-names":false,"suffix":""},{"dropping-particle":"","family":"Sinno","given":"Claudia","non-dropping-particle":"","parse-names":false,"suffix":""},{"dropping-particle":"","family":"Sivrikoz","given":"Nukhet","non-dropping-particle":"","parse-names":false,"suffix":""},{"dropping-particle":"","family":"Skandalou","given":"Vasiliki","non-dropping-particle":"","parse-names":false,"suffix":""},{"dropping-particle":"","family":"Smith","given":"Neil","non-dropping-particle":"","parse-names":false,"suffix":""},{"dropping-particle":"","family":"Soares","given":"Maria","non-dropping-particle":"","parse-names":false,"suffix":""},{"dropping-particle":"","family":"Artiles","given":"Tania Socorro","non-dropping-particle":"","parse-names":false,"suffix":""},{"dropping-particle":"","family":"Castro","given":"Diogo Sousa","non-dropping-particle":"","parse-names":false,"suffix":""},{"dropping-particle":"","family":"Sousa","given":"Miguel","non-dropping-particle":"","parse-names":false,"suffix":""},{"dropping-particle":"","family":"Spadaro","given":"Savino","non-dropping-particle":"","parse-names":false,"suffix":""},{"dropping-particle":"","family":"Stamatakis","given":"Emmanouil","non-dropping-particle":"","parse-names":false,"suffix":""},{"dropping-particle":"","family":"Steiner","given":"Luzius A.","non-dropping-particle":"","parse-names":false,"suffix":""},{"dropping-particle":"","family":"Stevenazzi","given":"Andrea","non-dropping-particle":"","parse-names":false,"suffix":""},{"dropping-particle":"","family":"Suarez-De-la-rica","given":"Alejandro","non-dropping-particle":"","parse-names":false,"suffix":""},{"dropping-particle":"","family":"Suppan","given":"Mélanie","non-dropping-particle":"","parse-names":false,"suffix":""},{"dropping-particle":"","family":"Teichmann","given":"Robert","non-dropping-particle":"","parse-names":false,"suffix":""},{"dropping-particle":"","family":"Guerrero","given":"José Maria Tena","non-dropping-particle":"","parse-names":false,"suffix":""},{"dropping-particle":"","family":"Thiel","given":"Bram","non-dropping-particle":"","parse-names":false,"suffix":""},{"dropping-particle":"","family":"Tolós","given":"Raquel","non-dropping-particle":"","parse-names":false,"suffix":""},{"dropping-particle":"","family":"Altun","given":"Gulbin Tore","non-dropping-particle":"","parse-names":false,"suffix":""},{"dropping-particle":"","family":"Tucci","given":"Michelle","non-dropping-particle":"","parse-names":false,"suffix":""},{"dropping-particle":"","family":"Turnbull","given":"Zachary A.","non-dropping-particle":"","parse-names":false,"suffix":""},{"dropping-particle":"","family":"Turudic","given":"Žana","non-dropping-particle":"","parse-names":false,"suffix":""},{"dropping-particle":"","family":"Unterberg","given":"Matthias","non-dropping-particle":"","parse-names":false,"suffix":""},{"dropping-particle":"","family":"Limmen","given":"Jurgen","non-dropping-particle":"Van","parse-names":false,"suffix":""},{"dropping-particle":"","family":"Nieuwenhove","given":"Yves","non-dropping-particle":"Van","parse-names":false,"suffix":""},{"dropping-particle":"","family":"Waesberghe","given":"Julia","non-dropping-particle":"Van","parse-names":false,"suffix":""},{"dropping-particle":"","family":"Vitkovic","given":"Bibiana","non-dropping-particle":"","parse-names":false,"suffix":""},{"dropping-particle":"","family":"Vivona","given":"Luigi","non-dropping-particle":"","parse-names":false,"suffix":""},{"dropping-particle":"","family":"Vizcaychipi","given":"Marcela","non-dropping-particle":"","parse-names":false,"suffix":""},{"dropping-particle":"","family":"Volta","given":"Carlo Alberto","non-dropping-particle":"","parse-names":false,"suffix":""},{"dropping-particle":"","family":"Weber","given":"Anne","non-dropping-particle":"","parse-names":false,"suffix":""},{"dropping-particle":"","family":"Weingarten","given":"Toby N.","non-dropping-particle":"","parse-names":false,"suffix":""},{"dropping-particle":"","family":"Wittenstein","given":"Jakob","non-dropping-particle":"","parse-names":false,"suffix":""},{"dropping-particle":"","family":"Wyffels","given":"Piet","non-dropping-particle":"","parse-names":false,"suffix":""},{"dropping-particle":"","family":"Yagüe","given":"Julio","non-dropping-particle":"","parse-names":false,"suffix":""},{"dropping-particle":"","family":"Yates","given":"David","non-dropping-particle":"","parse-names":false,"suffix":""},{"dropping-particle":"","family":"Yavru","given":"Aysen","non-dropping-particle":"","parse-names":false,"suffix":""},{"dropping-particle":"","family":"Zac","given":"Lilach","non-dropping-particle":"","parse-names":false,"suffix":""},{"dropping-particle":"","family":"Zhong","given":"Jing","non-dropping-particle":"","parse-names":false,"suffix":""}],"container-title":"JAMA - Journal of the American Medical Association","id":"ITEM-1","issue":"23","issued":{"date-parts":[["2019"]]},"page":"2292-2305","title":"Effect of Intraoperative High Positive End-Expiratory Pressure (PEEP) with Recruitment Maneuvers vs Low PEEP on Postoperative Pulmonary Complications in Obese Patients: A Randomized Clinical Trial","type":"article-journal","volume":"321"},"uris":["http://www.mendeley.com/documents/?uuid=8a07eb4a-25a0-4dbc-ba7d-c2a7a4667b64"]}],"mendeley":{"formattedCitation":"&lt;sup&gt;11&lt;/sup&gt;","plainTextFormattedCitation":"11","previouslyFormattedCitation":"&lt;sup&gt;10&lt;/sup&gt;"},"properties":{"noteIndex":0},"schema":"https://github.com/citation-style-language/schema/raw/master/csl-citation.json"}</w:instrText>
      </w:r>
      <w:r w:rsidR="00423E65">
        <w:rPr>
          <w:rFonts w:ascii="Arial" w:hAnsi="Arial" w:cs="Arial"/>
          <w:lang w:val="en-US"/>
        </w:rPr>
        <w:fldChar w:fldCharType="separate"/>
      </w:r>
      <w:r w:rsidR="00AC7695" w:rsidRPr="00AC7695">
        <w:rPr>
          <w:rFonts w:ascii="Arial" w:hAnsi="Arial" w:cs="Arial"/>
          <w:noProof/>
          <w:vertAlign w:val="superscript"/>
          <w:lang w:val="en-US"/>
        </w:rPr>
        <w:t>11</w:t>
      </w:r>
      <w:r w:rsidR="00423E65">
        <w:rPr>
          <w:rFonts w:ascii="Arial" w:hAnsi="Arial" w:cs="Arial"/>
          <w:lang w:val="en-US"/>
        </w:rPr>
        <w:fldChar w:fldCharType="end"/>
      </w:r>
      <w:r w:rsidR="00001E61" w:rsidRPr="00524027">
        <w:rPr>
          <w:rFonts w:ascii="Arial" w:hAnsi="Arial" w:cs="Arial"/>
          <w:lang w:val="en-US"/>
        </w:rPr>
        <w:t xml:space="preserve"> Assuming a linear relationship between </w:t>
      </w:r>
      <w:r w:rsidR="008B5C31">
        <w:rPr>
          <w:rFonts w:ascii="Arial" w:hAnsi="Arial" w:cs="Arial"/>
          <w:lang w:val="en-US"/>
        </w:rPr>
        <w:t>PEEP</w:t>
      </w:r>
      <w:r w:rsidR="00001E61" w:rsidRPr="00524027">
        <w:rPr>
          <w:rFonts w:ascii="Arial" w:hAnsi="Arial" w:cs="Arial"/>
          <w:lang w:val="en-US"/>
        </w:rPr>
        <w:t xml:space="preserve"> and atelectasis, patients with no PEEP (0 cmH</w:t>
      </w:r>
      <w:r w:rsidR="00001E61" w:rsidRPr="00524027">
        <w:rPr>
          <w:rFonts w:ascii="Arial" w:hAnsi="Arial" w:cs="Arial"/>
          <w:vertAlign w:val="subscript"/>
          <w:lang w:val="en-US"/>
        </w:rPr>
        <w:t>2</w:t>
      </w:r>
      <w:r w:rsidR="00001E61" w:rsidRPr="00524027">
        <w:rPr>
          <w:rFonts w:ascii="Arial" w:hAnsi="Arial" w:cs="Arial"/>
          <w:lang w:val="en-US"/>
        </w:rPr>
        <w:t xml:space="preserve">O) </w:t>
      </w:r>
      <w:r w:rsidR="00D1733B">
        <w:rPr>
          <w:rFonts w:ascii="Arial" w:hAnsi="Arial" w:cs="Arial"/>
          <w:lang w:val="en-US"/>
        </w:rPr>
        <w:t>c</w:t>
      </w:r>
      <w:r w:rsidR="00001E61" w:rsidRPr="00524027">
        <w:rPr>
          <w:rFonts w:ascii="Arial" w:hAnsi="Arial" w:cs="Arial"/>
          <w:lang w:val="en-US"/>
        </w:rPr>
        <w:t xml:space="preserve">ould be expected to have </w:t>
      </w:r>
      <w:r w:rsidR="00DD4FBA" w:rsidRPr="00524027">
        <w:rPr>
          <w:rFonts w:ascii="Arial" w:hAnsi="Arial" w:cs="Arial"/>
          <w:lang w:val="en-US"/>
        </w:rPr>
        <w:t xml:space="preserve">a prevalence of atelectasis of 6%. </w:t>
      </w:r>
    </w:p>
    <w:p w14:paraId="470588F1" w14:textId="7B9BD24A" w:rsidR="00524027" w:rsidRDefault="00E1538C" w:rsidP="00524027">
      <w:pPr>
        <w:pStyle w:val="Prrafodelista"/>
        <w:numPr>
          <w:ilvl w:val="0"/>
          <w:numId w:val="7"/>
        </w:numPr>
        <w:spacing w:line="480" w:lineRule="auto"/>
        <w:jc w:val="both"/>
        <w:rPr>
          <w:rFonts w:ascii="Arial" w:hAnsi="Arial" w:cs="Arial"/>
          <w:lang w:val="en-US"/>
        </w:rPr>
      </w:pPr>
      <w:r>
        <w:rPr>
          <w:rFonts w:ascii="Arial" w:hAnsi="Arial" w:cs="Arial"/>
          <w:lang w:val="en-US"/>
        </w:rPr>
        <w:t>A deviation</w:t>
      </w:r>
      <w:r w:rsidR="00280FCC">
        <w:rPr>
          <w:rFonts w:ascii="Arial" w:hAnsi="Arial" w:cs="Arial"/>
          <w:lang w:val="en-US"/>
        </w:rPr>
        <w:t xml:space="preserve"> </w:t>
      </w:r>
      <w:r w:rsidR="00DD4FBA" w:rsidRPr="00524027">
        <w:rPr>
          <w:rFonts w:ascii="Arial" w:hAnsi="Arial" w:cs="Arial"/>
          <w:lang w:val="en-US"/>
        </w:rPr>
        <w:t xml:space="preserve">of 5% in the </w:t>
      </w:r>
      <w:r w:rsidR="00143358" w:rsidRPr="00524027">
        <w:rPr>
          <w:rFonts w:ascii="Arial" w:hAnsi="Arial" w:cs="Arial"/>
          <w:lang w:val="en-US"/>
        </w:rPr>
        <w:t>expected prevalence estimate was selected according to recommendations by</w:t>
      </w:r>
      <w:r w:rsidR="00F434B1">
        <w:rPr>
          <w:rFonts w:ascii="Arial" w:hAnsi="Arial" w:cs="Arial"/>
          <w:lang w:val="en-US"/>
        </w:rPr>
        <w:t xml:space="preserve"> </w:t>
      </w:r>
      <w:r w:rsidR="000C1853">
        <w:rPr>
          <w:rFonts w:ascii="Arial" w:hAnsi="Arial" w:cs="Arial"/>
          <w:lang w:val="en-US"/>
        </w:rPr>
        <w:t>Naing et al.</w:t>
      </w:r>
      <w:r w:rsidR="00DF39CB">
        <w:rPr>
          <w:rFonts w:ascii="Arial" w:hAnsi="Arial" w:cs="Arial"/>
          <w:lang w:val="en-US"/>
        </w:rPr>
        <w:fldChar w:fldCharType="begin" w:fldLock="1"/>
      </w:r>
      <w:r w:rsidR="00AC7695">
        <w:rPr>
          <w:rFonts w:ascii="Arial" w:hAnsi="Arial" w:cs="Arial"/>
          <w:lang w:val="en-US"/>
        </w:rPr>
        <w:instrText>ADDIN CSL_CITATION {"citationItems":[{"id":"ITEM-1","itemData":{"DOI":"10.1186/s12874-022-01694-7","ISSN":"1471-2288","PMID":"35907796","abstract":"BACKGROUND: Although books and articles guiding the methods of sample size calculation for prevalence studies are available, we aim to guide, assist and report sample size calculation using the present calculators. RESULTS: We present and discuss four parameters (namely level of confidence, precision, variability of the data, and anticipated loss) required for sample size calculation for prevalence studies. Choosing correct parameters with proper understanding, and reporting issues are mainly discussed. We demonstrate the use of a purposely-designed calculators that assist users to make proper informed-decision and prepare appropriate report. CONCLUSION: Two calculators can be used with free software (Spreadsheet and RStudio) that benefit researchers with limited resources. It will, hopefully, minimize the errors in parameter selection, calculation, and reporting. The calculators are available at: ( https://sites.google.com/view/sr-ln/ssc ).","author":[{"dropping-particle":"","family":"Naing","given":"Lin","non-dropping-particle":"","parse-names":false,"suffix":""},{"dropping-particle":"Bin","family":"Nordin","given":"Rusli","non-dropping-particle":"","parse-names":false,"suffix":""},{"dropping-particle":"","family":"Abdul Rahman","given":"Hanif","non-dropping-particle":"","parse-names":false,"suffix":""},{"dropping-particle":"","family":"Naing","given":"Yuwadi Thein","non-dropping-particle":"","parse-names":false,"suffix":""}],"container-title":"BMC Medical Research Methodology","id":"ITEM-1","issue":"1","issued":{"date-parts":[["2022","12","30"]]},"page":"209","publisher":"BioMed Central","title":"Sample size calculation for prevalence studies using Scalex and ScalaR calculators","type":"article-journal","volume":"22"},"uris":["http://www.mendeley.com/documents/?uuid=06dfa7e4-3ff2-4470-a762-d33f7bb372f1"]}],"mendeley":{"formattedCitation":"&lt;sup&gt;12&lt;/sup&gt;","plainTextFormattedCitation":"12","previouslyFormattedCitation":"&lt;sup&gt;11&lt;/sup&gt;"},"properties":{"noteIndex":0},"schema":"https://github.com/citation-style-language/schema/raw/master/csl-citation.json"}</w:instrText>
      </w:r>
      <w:r w:rsidR="00DF39CB">
        <w:rPr>
          <w:rFonts w:ascii="Arial" w:hAnsi="Arial" w:cs="Arial"/>
          <w:lang w:val="en-US"/>
        </w:rPr>
        <w:fldChar w:fldCharType="separate"/>
      </w:r>
      <w:r w:rsidR="00AC7695" w:rsidRPr="00AC7695">
        <w:rPr>
          <w:rFonts w:ascii="Arial" w:hAnsi="Arial" w:cs="Arial"/>
          <w:noProof/>
          <w:vertAlign w:val="superscript"/>
          <w:lang w:val="en-US"/>
        </w:rPr>
        <w:t>12</w:t>
      </w:r>
      <w:r w:rsidR="00DF39CB">
        <w:rPr>
          <w:rFonts w:ascii="Arial" w:hAnsi="Arial" w:cs="Arial"/>
          <w:lang w:val="en-US"/>
        </w:rPr>
        <w:fldChar w:fldCharType="end"/>
      </w:r>
      <w:r w:rsidR="00143358" w:rsidRPr="00524027">
        <w:rPr>
          <w:rFonts w:ascii="Arial" w:hAnsi="Arial" w:cs="Arial"/>
          <w:lang w:val="en-US"/>
        </w:rPr>
        <w:t xml:space="preserve"> for </w:t>
      </w:r>
      <w:r w:rsidR="0046414C" w:rsidRPr="00524027">
        <w:rPr>
          <w:rFonts w:ascii="Arial" w:hAnsi="Arial" w:cs="Arial"/>
          <w:lang w:val="en-US"/>
        </w:rPr>
        <w:t>preliminary</w:t>
      </w:r>
      <w:r w:rsidR="0009028A">
        <w:rPr>
          <w:rFonts w:ascii="Arial" w:hAnsi="Arial" w:cs="Arial"/>
          <w:lang w:val="en-US"/>
        </w:rPr>
        <w:t xml:space="preserve"> small-scale</w:t>
      </w:r>
      <w:r w:rsidR="0046414C" w:rsidRPr="00524027">
        <w:rPr>
          <w:rFonts w:ascii="Arial" w:hAnsi="Arial" w:cs="Arial"/>
          <w:lang w:val="en-US"/>
        </w:rPr>
        <w:t xml:space="preserve"> studies. </w:t>
      </w:r>
    </w:p>
    <w:p w14:paraId="6C1BD1CD" w14:textId="11479C4D" w:rsidR="00E1538C" w:rsidRPr="00D1733B" w:rsidRDefault="00524027" w:rsidP="00D1733B">
      <w:pPr>
        <w:pStyle w:val="Prrafodelista"/>
        <w:numPr>
          <w:ilvl w:val="0"/>
          <w:numId w:val="7"/>
        </w:numPr>
        <w:spacing w:line="480" w:lineRule="auto"/>
        <w:jc w:val="both"/>
        <w:rPr>
          <w:rFonts w:ascii="Arial" w:hAnsi="Arial" w:cs="Arial"/>
          <w:lang w:val="en-US"/>
        </w:rPr>
      </w:pPr>
      <w:r>
        <w:rPr>
          <w:rFonts w:ascii="Arial" w:hAnsi="Arial" w:cs="Arial"/>
          <w:lang w:val="en-US"/>
        </w:rPr>
        <w:t>C</w:t>
      </w:r>
      <w:r w:rsidR="0046414C" w:rsidRPr="00524027">
        <w:rPr>
          <w:rFonts w:ascii="Arial" w:hAnsi="Arial" w:cs="Arial"/>
          <w:lang w:val="en-US"/>
        </w:rPr>
        <w:t xml:space="preserve">onfidence level of 95%. </w:t>
      </w:r>
    </w:p>
    <w:p w14:paraId="7E63E8FC" w14:textId="203752A2" w:rsidR="00167E59" w:rsidRPr="00524027" w:rsidRDefault="0046414C" w:rsidP="00524027">
      <w:pPr>
        <w:spacing w:line="480" w:lineRule="auto"/>
        <w:jc w:val="both"/>
        <w:rPr>
          <w:rFonts w:ascii="Arial" w:hAnsi="Arial" w:cs="Arial"/>
          <w:lang w:val="en-US"/>
        </w:rPr>
      </w:pPr>
      <w:r w:rsidRPr="00524027">
        <w:rPr>
          <w:rFonts w:ascii="Arial" w:hAnsi="Arial" w:cs="Arial"/>
          <w:lang w:val="en-US"/>
        </w:rPr>
        <w:t xml:space="preserve">The minimum sample size </w:t>
      </w:r>
      <w:r w:rsidR="00524027">
        <w:rPr>
          <w:rFonts w:ascii="Arial" w:hAnsi="Arial" w:cs="Arial"/>
          <w:lang w:val="en-US"/>
        </w:rPr>
        <w:t xml:space="preserve">obtained was </w:t>
      </w:r>
      <w:r w:rsidR="00F434B1">
        <w:rPr>
          <w:rFonts w:ascii="Arial" w:hAnsi="Arial" w:cs="Arial"/>
          <w:lang w:val="en-US"/>
        </w:rPr>
        <w:t>241 patients</w:t>
      </w:r>
      <w:r w:rsidR="000C1853">
        <w:rPr>
          <w:rFonts w:ascii="Arial" w:hAnsi="Arial" w:cs="Arial"/>
          <w:lang w:val="en-US"/>
        </w:rPr>
        <w:t>.</w:t>
      </w:r>
    </w:p>
    <w:p w14:paraId="56368238" w14:textId="461A6A11" w:rsidR="00A03359" w:rsidRPr="005865D6" w:rsidRDefault="00A03359" w:rsidP="00167E59">
      <w:pPr>
        <w:spacing w:line="480" w:lineRule="auto"/>
        <w:jc w:val="both"/>
        <w:rPr>
          <w:rFonts w:ascii="Arial" w:hAnsi="Arial" w:cs="Arial"/>
          <w:b/>
          <w:bCs/>
          <w:lang w:val="en-US"/>
        </w:rPr>
      </w:pPr>
      <w:r w:rsidRPr="005865D6">
        <w:rPr>
          <w:rFonts w:ascii="Arial" w:hAnsi="Arial" w:cs="Arial"/>
          <w:b/>
          <w:bCs/>
          <w:lang w:val="en-US"/>
        </w:rPr>
        <w:t>Statistical analysis</w:t>
      </w:r>
    </w:p>
    <w:p w14:paraId="7C9E0BC5" w14:textId="75FCFF07" w:rsidR="00A03359" w:rsidRDefault="00727092" w:rsidP="00A03359">
      <w:pPr>
        <w:spacing w:line="480" w:lineRule="auto"/>
        <w:jc w:val="both"/>
        <w:rPr>
          <w:rFonts w:ascii="Arial" w:hAnsi="Arial" w:cs="Arial"/>
          <w:lang w:val="en-US"/>
        </w:rPr>
      </w:pPr>
      <w:r>
        <w:rPr>
          <w:rFonts w:ascii="Arial" w:hAnsi="Arial" w:cs="Arial"/>
          <w:lang w:val="en-US"/>
        </w:rPr>
        <w:t xml:space="preserve">Descriptive characteristics </w:t>
      </w:r>
      <w:r w:rsidR="000F197F">
        <w:rPr>
          <w:rFonts w:ascii="Arial" w:hAnsi="Arial" w:cs="Arial"/>
          <w:lang w:val="en-US"/>
        </w:rPr>
        <w:t xml:space="preserve">are presented </w:t>
      </w:r>
      <w:r w:rsidR="0061191C">
        <w:rPr>
          <w:rFonts w:ascii="Arial" w:hAnsi="Arial" w:cs="Arial"/>
          <w:lang w:val="en-US"/>
        </w:rPr>
        <w:t xml:space="preserve">as </w:t>
      </w:r>
      <w:r w:rsidR="00B32544">
        <w:rPr>
          <w:rFonts w:ascii="Arial" w:hAnsi="Arial" w:cs="Arial"/>
          <w:lang w:val="en-US"/>
        </w:rPr>
        <w:t xml:space="preserve">the mean and standard deviation </w:t>
      </w:r>
      <w:r w:rsidR="004D4693">
        <w:rPr>
          <w:rFonts w:ascii="Arial" w:hAnsi="Arial" w:cs="Arial"/>
          <w:lang w:val="en-US"/>
        </w:rPr>
        <w:t>(SD)</w:t>
      </w:r>
      <w:r w:rsidR="001A4962">
        <w:rPr>
          <w:rFonts w:ascii="Arial" w:hAnsi="Arial" w:cs="Arial"/>
          <w:lang w:val="en-US"/>
        </w:rPr>
        <w:t>,</w:t>
      </w:r>
      <w:r w:rsidR="00B32544">
        <w:rPr>
          <w:rFonts w:ascii="Arial" w:hAnsi="Arial" w:cs="Arial"/>
          <w:lang w:val="en-US"/>
        </w:rPr>
        <w:t xml:space="preserve"> median with interquartile range</w:t>
      </w:r>
      <w:r w:rsidR="004D4693">
        <w:rPr>
          <w:rFonts w:ascii="Arial" w:hAnsi="Arial" w:cs="Arial"/>
          <w:lang w:val="en-US"/>
        </w:rPr>
        <w:t xml:space="preserve"> (IQR)</w:t>
      </w:r>
      <w:r w:rsidR="001A4962">
        <w:rPr>
          <w:rFonts w:ascii="Arial" w:hAnsi="Arial" w:cs="Arial"/>
          <w:lang w:val="en-US"/>
        </w:rPr>
        <w:t>, and/or range (minimum</w:t>
      </w:r>
      <w:r w:rsidR="00E70007">
        <w:rPr>
          <w:rFonts w:ascii="Arial" w:hAnsi="Arial" w:cs="Arial"/>
          <w:lang w:val="en-US"/>
        </w:rPr>
        <w:sym w:font="Symbol" w:char="F02D"/>
      </w:r>
      <w:r w:rsidR="001A4962">
        <w:rPr>
          <w:rFonts w:ascii="Arial" w:hAnsi="Arial" w:cs="Arial"/>
          <w:lang w:val="en-US"/>
        </w:rPr>
        <w:t>maximum)</w:t>
      </w:r>
      <w:r w:rsidR="004D4693">
        <w:rPr>
          <w:rFonts w:ascii="Arial" w:hAnsi="Arial" w:cs="Arial"/>
          <w:lang w:val="en-US"/>
        </w:rPr>
        <w:t xml:space="preserve"> for numeric</w:t>
      </w:r>
      <w:r w:rsidR="00E70007">
        <w:rPr>
          <w:rFonts w:ascii="Arial" w:hAnsi="Arial" w:cs="Arial"/>
          <w:lang w:val="en-US"/>
        </w:rPr>
        <w:t>al</w:t>
      </w:r>
      <w:r w:rsidR="004D4693">
        <w:rPr>
          <w:rFonts w:ascii="Arial" w:hAnsi="Arial" w:cs="Arial"/>
          <w:lang w:val="en-US"/>
        </w:rPr>
        <w:t xml:space="preserve"> variables</w:t>
      </w:r>
      <w:r w:rsidR="001A4962">
        <w:rPr>
          <w:rFonts w:ascii="Arial" w:hAnsi="Arial" w:cs="Arial"/>
          <w:lang w:val="en-US"/>
        </w:rPr>
        <w:t xml:space="preserve">. </w:t>
      </w:r>
      <w:r w:rsidR="005216FE">
        <w:rPr>
          <w:rFonts w:ascii="Arial" w:hAnsi="Arial" w:cs="Arial"/>
          <w:lang w:val="en-US"/>
        </w:rPr>
        <w:t xml:space="preserve">For categorical variables, absolute frequencies and percentages were </w:t>
      </w:r>
      <w:r w:rsidR="00E70007">
        <w:rPr>
          <w:rFonts w:ascii="Arial" w:hAnsi="Arial" w:cs="Arial"/>
          <w:lang w:val="en-US"/>
        </w:rPr>
        <w:t>calculated</w:t>
      </w:r>
      <w:r w:rsidR="005216FE">
        <w:rPr>
          <w:rFonts w:ascii="Arial" w:hAnsi="Arial" w:cs="Arial"/>
          <w:lang w:val="en-US"/>
        </w:rPr>
        <w:t xml:space="preserve">. </w:t>
      </w:r>
      <w:r w:rsidR="003725D9">
        <w:rPr>
          <w:rFonts w:ascii="Arial" w:hAnsi="Arial" w:cs="Arial"/>
          <w:lang w:val="en-US"/>
        </w:rPr>
        <w:t>A map of the USA and Canada territories</w:t>
      </w:r>
      <w:r w:rsidR="005629F9">
        <w:rPr>
          <w:rFonts w:ascii="Arial" w:hAnsi="Arial" w:cs="Arial"/>
          <w:lang w:val="en-US"/>
        </w:rPr>
        <w:t xml:space="preserve"> </w:t>
      </w:r>
      <w:r w:rsidR="003725D9">
        <w:rPr>
          <w:rFonts w:ascii="Arial" w:hAnsi="Arial" w:cs="Arial"/>
          <w:lang w:val="en-US"/>
        </w:rPr>
        <w:t xml:space="preserve">was plotted </w:t>
      </w:r>
      <w:r w:rsidR="00E70007">
        <w:rPr>
          <w:rFonts w:ascii="Arial" w:hAnsi="Arial" w:cs="Arial"/>
          <w:lang w:val="en-US"/>
        </w:rPr>
        <w:t>showing</w:t>
      </w:r>
      <w:r w:rsidR="00C81B3F">
        <w:rPr>
          <w:rFonts w:ascii="Arial" w:hAnsi="Arial" w:cs="Arial"/>
          <w:lang w:val="en-US"/>
        </w:rPr>
        <w:t xml:space="preserve"> the absolute frequenc</w:t>
      </w:r>
      <w:r w:rsidR="00E70007">
        <w:rPr>
          <w:rFonts w:ascii="Arial" w:hAnsi="Arial" w:cs="Arial"/>
          <w:lang w:val="en-US"/>
        </w:rPr>
        <w:t>y</w:t>
      </w:r>
      <w:r w:rsidR="00C81B3F">
        <w:rPr>
          <w:rFonts w:ascii="Arial" w:hAnsi="Arial" w:cs="Arial"/>
          <w:lang w:val="en-US"/>
        </w:rPr>
        <w:t xml:space="preserve"> of patients </w:t>
      </w:r>
      <w:r w:rsidR="000B1494">
        <w:rPr>
          <w:rFonts w:ascii="Arial" w:hAnsi="Arial" w:cs="Arial"/>
          <w:lang w:val="en-US"/>
        </w:rPr>
        <w:t xml:space="preserve">coming </w:t>
      </w:r>
      <w:r w:rsidR="00C81B3F">
        <w:rPr>
          <w:rFonts w:ascii="Arial" w:hAnsi="Arial" w:cs="Arial"/>
          <w:lang w:val="en-US"/>
        </w:rPr>
        <w:t>from different states.</w:t>
      </w:r>
      <w:r w:rsidR="00B32687">
        <w:rPr>
          <w:rFonts w:ascii="Arial" w:hAnsi="Arial" w:cs="Arial"/>
          <w:lang w:val="en-US"/>
        </w:rPr>
        <w:t xml:space="preserve"> </w:t>
      </w:r>
      <w:r w:rsidR="00B54D06">
        <w:rPr>
          <w:rFonts w:ascii="Arial" w:hAnsi="Arial" w:cs="Arial"/>
          <w:lang w:val="en-US"/>
        </w:rPr>
        <w:t>C</w:t>
      </w:r>
      <w:r w:rsidR="00E37EA8">
        <w:rPr>
          <w:rFonts w:ascii="Arial" w:hAnsi="Arial" w:cs="Arial"/>
          <w:lang w:val="en-US"/>
        </w:rPr>
        <w:t xml:space="preserve">ategorical variables were </w:t>
      </w:r>
      <w:r w:rsidR="00B54D06">
        <w:rPr>
          <w:rFonts w:ascii="Arial" w:hAnsi="Arial" w:cs="Arial"/>
          <w:lang w:val="en-US"/>
        </w:rPr>
        <w:t>summarized in</w:t>
      </w:r>
      <w:r w:rsidR="002503EB">
        <w:rPr>
          <w:rFonts w:ascii="Arial" w:hAnsi="Arial" w:cs="Arial"/>
          <w:lang w:val="en-US"/>
        </w:rPr>
        <w:t xml:space="preserve"> frequency tables </w:t>
      </w:r>
      <w:r w:rsidR="002503EB">
        <w:rPr>
          <w:rFonts w:ascii="Arial" w:hAnsi="Arial" w:cs="Arial"/>
          <w:lang w:val="en-US"/>
        </w:rPr>
        <w:lastRenderedPageBreak/>
        <w:t xml:space="preserve">and compared through </w:t>
      </w:r>
      <w:r w:rsidR="001707F2">
        <w:rPr>
          <w:rFonts w:ascii="Arial" w:hAnsi="Arial" w:cs="Arial"/>
          <w:lang w:val="en-US"/>
        </w:rPr>
        <w:t xml:space="preserve">the </w:t>
      </w:r>
      <w:r w:rsidR="00D900A6">
        <w:rPr>
          <w:rFonts w:ascii="Arial" w:hAnsi="Arial" w:cs="Arial"/>
          <w:lang w:val="en-US"/>
        </w:rPr>
        <w:t>chi</w:t>
      </w:r>
      <w:r w:rsidR="001707F2">
        <w:rPr>
          <w:rFonts w:ascii="Arial" w:hAnsi="Arial" w:cs="Arial"/>
          <w:lang w:val="en-US"/>
        </w:rPr>
        <w:t>-</w:t>
      </w:r>
      <w:r w:rsidR="00D900A6">
        <w:rPr>
          <w:rFonts w:ascii="Arial" w:hAnsi="Arial" w:cs="Arial"/>
          <w:lang w:val="en-US"/>
        </w:rPr>
        <w:t>squared</w:t>
      </w:r>
      <w:r w:rsidR="00B54D06">
        <w:rPr>
          <w:rFonts w:ascii="Arial" w:hAnsi="Arial" w:cs="Arial"/>
          <w:lang w:val="en-US"/>
        </w:rPr>
        <w:t xml:space="preserve"> test</w:t>
      </w:r>
      <w:r w:rsidR="00D900A6">
        <w:rPr>
          <w:rFonts w:ascii="Arial" w:hAnsi="Arial" w:cs="Arial"/>
          <w:lang w:val="en-US"/>
        </w:rPr>
        <w:t>.</w:t>
      </w:r>
      <w:r w:rsidR="00B54D06">
        <w:rPr>
          <w:rFonts w:ascii="Arial" w:hAnsi="Arial" w:cs="Arial"/>
          <w:lang w:val="en-US"/>
        </w:rPr>
        <w:t xml:space="preserve"> Relationships between categorical and numeric</w:t>
      </w:r>
      <w:r w:rsidR="001707F2">
        <w:rPr>
          <w:rFonts w:ascii="Arial" w:hAnsi="Arial" w:cs="Arial"/>
          <w:lang w:val="en-US"/>
        </w:rPr>
        <w:t>al</w:t>
      </w:r>
      <w:r w:rsidR="00B54D06">
        <w:rPr>
          <w:rFonts w:ascii="Arial" w:hAnsi="Arial" w:cs="Arial"/>
          <w:lang w:val="en-US"/>
        </w:rPr>
        <w:t xml:space="preserve"> variables were assessed through</w:t>
      </w:r>
      <w:r w:rsidR="001707F2">
        <w:rPr>
          <w:rFonts w:ascii="Arial" w:hAnsi="Arial" w:cs="Arial"/>
          <w:lang w:val="en-US"/>
        </w:rPr>
        <w:t xml:space="preserve"> </w:t>
      </w:r>
      <w:r w:rsidR="00C752E9">
        <w:rPr>
          <w:rFonts w:ascii="Arial" w:hAnsi="Arial" w:cs="Arial"/>
          <w:lang w:val="en-US"/>
        </w:rPr>
        <w:t>stacked histograms, boxplots, and Q-Q plots and compared with</w:t>
      </w:r>
      <w:r w:rsidR="00E6352E">
        <w:rPr>
          <w:rFonts w:ascii="Arial" w:hAnsi="Arial" w:cs="Arial"/>
          <w:lang w:val="en-US"/>
        </w:rPr>
        <w:t xml:space="preserve"> </w:t>
      </w:r>
      <w:r w:rsidR="001A2F9C">
        <w:rPr>
          <w:rFonts w:ascii="Arial" w:hAnsi="Arial" w:cs="Arial"/>
          <w:lang w:val="en-US"/>
        </w:rPr>
        <w:t>unpaired t-test</w:t>
      </w:r>
      <w:r w:rsidR="005751C4">
        <w:rPr>
          <w:rFonts w:ascii="Arial" w:hAnsi="Arial" w:cs="Arial"/>
          <w:lang w:val="en-US"/>
        </w:rPr>
        <w:t>s</w:t>
      </w:r>
      <w:r w:rsidR="001A2F9C">
        <w:rPr>
          <w:rFonts w:ascii="Arial" w:hAnsi="Arial" w:cs="Arial"/>
          <w:lang w:val="en-US"/>
        </w:rPr>
        <w:t xml:space="preserve"> or </w:t>
      </w:r>
      <w:r w:rsidR="00262EEE">
        <w:rPr>
          <w:rFonts w:ascii="Arial" w:hAnsi="Arial" w:cs="Arial"/>
          <w:lang w:val="en-US"/>
        </w:rPr>
        <w:t>Wilcoxon</w:t>
      </w:r>
      <w:r w:rsidR="00A13792">
        <w:rPr>
          <w:rFonts w:ascii="Arial" w:hAnsi="Arial" w:cs="Arial"/>
          <w:lang w:val="en-US"/>
        </w:rPr>
        <w:t>’s</w:t>
      </w:r>
      <w:r w:rsidR="00262EEE">
        <w:rPr>
          <w:rFonts w:ascii="Arial" w:hAnsi="Arial" w:cs="Arial"/>
          <w:lang w:val="en-US"/>
        </w:rPr>
        <w:t xml:space="preserve"> </w:t>
      </w:r>
      <w:proofErr w:type="gramStart"/>
      <w:r w:rsidR="00262EEE">
        <w:rPr>
          <w:rFonts w:ascii="Arial" w:hAnsi="Arial" w:cs="Arial"/>
          <w:lang w:val="en-US"/>
        </w:rPr>
        <w:t>test</w:t>
      </w:r>
      <w:proofErr w:type="gramEnd"/>
      <w:r w:rsidR="00262EEE">
        <w:rPr>
          <w:rFonts w:ascii="Arial" w:hAnsi="Arial" w:cs="Arial"/>
          <w:lang w:val="en-US"/>
        </w:rPr>
        <w:t>. Scatterplots were used to assess relationships between numeric variables and compared with Pearson’s or Spearman’s correlation test</w:t>
      </w:r>
      <w:r w:rsidR="007013AB">
        <w:rPr>
          <w:rFonts w:ascii="Arial" w:hAnsi="Arial" w:cs="Arial"/>
          <w:lang w:val="en-US"/>
        </w:rPr>
        <w:t xml:space="preserve"> if monotonic</w:t>
      </w:r>
      <w:r w:rsidR="00910D0F">
        <w:rPr>
          <w:rFonts w:ascii="Arial" w:hAnsi="Arial" w:cs="Arial"/>
          <w:lang w:val="en-US"/>
        </w:rPr>
        <w:t>.</w:t>
      </w:r>
      <w:r w:rsidR="00546957">
        <w:rPr>
          <w:rFonts w:ascii="Arial" w:hAnsi="Arial" w:cs="Arial"/>
          <w:lang w:val="en-US"/>
        </w:rPr>
        <w:t xml:space="preserve"> </w:t>
      </w:r>
      <w:r w:rsidR="00910D0F">
        <w:rPr>
          <w:rFonts w:ascii="Arial" w:hAnsi="Arial" w:cs="Arial"/>
          <w:lang w:val="en-US"/>
        </w:rPr>
        <w:t>W</w:t>
      </w:r>
      <w:r w:rsidR="00546957">
        <w:rPr>
          <w:rFonts w:ascii="Arial" w:hAnsi="Arial" w:cs="Arial"/>
          <w:lang w:val="en-US"/>
        </w:rPr>
        <w:t>hen relationships were non-linear</w:t>
      </w:r>
      <w:r w:rsidR="00711BE1">
        <w:rPr>
          <w:rFonts w:ascii="Arial" w:hAnsi="Arial" w:cs="Arial"/>
          <w:lang w:val="en-US"/>
        </w:rPr>
        <w:t>,</w:t>
      </w:r>
      <w:r w:rsidR="00546957">
        <w:rPr>
          <w:rFonts w:ascii="Arial" w:hAnsi="Arial" w:cs="Arial"/>
          <w:lang w:val="en-US"/>
        </w:rPr>
        <w:t xml:space="preserve"> </w:t>
      </w:r>
      <w:r w:rsidR="00AA5D78">
        <w:rPr>
          <w:rFonts w:ascii="Arial" w:hAnsi="Arial" w:cs="Arial"/>
          <w:lang w:val="en-US"/>
        </w:rPr>
        <w:t>curv</w:t>
      </w:r>
      <w:r w:rsidR="00CA28D7">
        <w:rPr>
          <w:rFonts w:ascii="Arial" w:hAnsi="Arial" w:cs="Arial"/>
          <w:lang w:val="en-US"/>
        </w:rPr>
        <w:t>atures</w:t>
      </w:r>
      <w:r w:rsidR="00AA5D78">
        <w:rPr>
          <w:rFonts w:ascii="Arial" w:hAnsi="Arial" w:cs="Arial"/>
          <w:lang w:val="en-US"/>
        </w:rPr>
        <w:t xml:space="preserve"> were </w:t>
      </w:r>
      <w:r w:rsidR="0099698D">
        <w:rPr>
          <w:rFonts w:ascii="Arial" w:hAnsi="Arial" w:cs="Arial"/>
          <w:lang w:val="en-US"/>
        </w:rPr>
        <w:t xml:space="preserve">first </w:t>
      </w:r>
      <w:r w:rsidR="00CA28D7">
        <w:rPr>
          <w:rFonts w:ascii="Arial" w:hAnsi="Arial" w:cs="Arial"/>
          <w:lang w:val="en-US"/>
        </w:rPr>
        <w:t>visualized through local regression smooth curves (</w:t>
      </w:r>
      <w:r w:rsidR="00B83409">
        <w:rPr>
          <w:rFonts w:ascii="Arial" w:hAnsi="Arial" w:cs="Arial"/>
          <w:lang w:val="en-US"/>
        </w:rPr>
        <w:t>loess)</w:t>
      </w:r>
      <w:r w:rsidR="0099698D">
        <w:rPr>
          <w:rFonts w:ascii="Arial" w:hAnsi="Arial" w:cs="Arial"/>
          <w:lang w:val="en-US"/>
        </w:rPr>
        <w:t xml:space="preserve">, followed by </w:t>
      </w:r>
      <w:r w:rsidR="00FC41A9">
        <w:rPr>
          <w:rFonts w:ascii="Arial" w:hAnsi="Arial" w:cs="Arial"/>
          <w:lang w:val="en-US"/>
        </w:rPr>
        <w:t>determining</w:t>
      </w:r>
      <w:r w:rsidR="00985621">
        <w:rPr>
          <w:rFonts w:ascii="Arial" w:hAnsi="Arial" w:cs="Arial"/>
          <w:lang w:val="en-US"/>
        </w:rPr>
        <w:t xml:space="preserve"> an optimal smooth curvature in a general additive model by increasing the number of knots</w:t>
      </w:r>
      <w:r w:rsidR="00910D0F">
        <w:rPr>
          <w:rFonts w:ascii="Arial" w:hAnsi="Arial" w:cs="Arial"/>
          <w:lang w:val="en-US"/>
        </w:rPr>
        <w:t xml:space="preserve"> and comparing these against linear term</w:t>
      </w:r>
      <w:r w:rsidR="002D0BA2">
        <w:rPr>
          <w:rFonts w:ascii="Arial" w:hAnsi="Arial" w:cs="Arial"/>
          <w:lang w:val="en-US"/>
        </w:rPr>
        <w:t>s</w:t>
      </w:r>
      <w:r w:rsidR="00910D0F">
        <w:rPr>
          <w:rFonts w:ascii="Arial" w:hAnsi="Arial" w:cs="Arial"/>
          <w:lang w:val="en-US"/>
        </w:rPr>
        <w:t>;</w:t>
      </w:r>
      <w:r w:rsidR="007C399D">
        <w:rPr>
          <w:rFonts w:ascii="Arial" w:hAnsi="Arial" w:cs="Arial"/>
          <w:lang w:val="en-US"/>
        </w:rPr>
        <w:t xml:space="preserve"> </w:t>
      </w:r>
      <w:r w:rsidR="002D0BA2">
        <w:rPr>
          <w:rFonts w:ascii="Arial" w:hAnsi="Arial" w:cs="Arial"/>
          <w:lang w:val="en-US"/>
        </w:rPr>
        <w:t>i</w:t>
      </w:r>
      <w:r w:rsidR="007C399D">
        <w:rPr>
          <w:rFonts w:ascii="Arial" w:hAnsi="Arial" w:cs="Arial"/>
          <w:lang w:val="en-US"/>
        </w:rPr>
        <w:t xml:space="preserve">f the </w:t>
      </w:r>
      <w:r w:rsidR="0025443F">
        <w:rPr>
          <w:rFonts w:ascii="Arial" w:hAnsi="Arial" w:cs="Arial"/>
          <w:lang w:val="en-US"/>
        </w:rPr>
        <w:t>non-</w:t>
      </w:r>
      <w:r w:rsidR="007C399D">
        <w:rPr>
          <w:rFonts w:ascii="Arial" w:hAnsi="Arial" w:cs="Arial"/>
          <w:lang w:val="en-US"/>
        </w:rPr>
        <w:t xml:space="preserve">linear term was significantly better than </w:t>
      </w:r>
      <w:r w:rsidR="0025443F">
        <w:rPr>
          <w:rFonts w:ascii="Arial" w:hAnsi="Arial" w:cs="Arial"/>
          <w:lang w:val="en-US"/>
        </w:rPr>
        <w:t>linear,</w:t>
      </w:r>
      <w:r w:rsidR="00910D0F">
        <w:rPr>
          <w:rFonts w:ascii="Arial" w:hAnsi="Arial" w:cs="Arial"/>
          <w:lang w:val="en-US"/>
        </w:rPr>
        <w:t xml:space="preserve"> the</w:t>
      </w:r>
      <w:r w:rsidR="0025443F">
        <w:rPr>
          <w:rFonts w:ascii="Arial" w:hAnsi="Arial" w:cs="Arial"/>
          <w:lang w:val="en-US"/>
        </w:rPr>
        <w:t xml:space="preserve"> lowest k</w:t>
      </w:r>
      <w:r w:rsidR="006F02AF">
        <w:rPr>
          <w:rFonts w:ascii="Arial" w:hAnsi="Arial" w:cs="Arial"/>
          <w:lang w:val="en-US"/>
        </w:rPr>
        <w:t xml:space="preserve"> </w:t>
      </w:r>
      <w:r w:rsidR="008C5169">
        <w:rPr>
          <w:rFonts w:ascii="Arial" w:hAnsi="Arial" w:cs="Arial"/>
          <w:lang w:val="en-US"/>
        </w:rPr>
        <w:t>with</w:t>
      </w:r>
      <w:r w:rsidR="00C74D7C">
        <w:rPr>
          <w:rFonts w:ascii="Arial" w:hAnsi="Arial" w:cs="Arial"/>
          <w:lang w:val="en-US"/>
        </w:rPr>
        <w:t xml:space="preserve"> </w:t>
      </w:r>
      <w:r w:rsidR="008C5169">
        <w:rPr>
          <w:rFonts w:ascii="Arial" w:hAnsi="Arial" w:cs="Arial"/>
          <w:lang w:val="en-US"/>
        </w:rPr>
        <w:t xml:space="preserve">a drop </w:t>
      </w:r>
      <w:r w:rsidR="008C5169" w:rsidRPr="002F23A3">
        <w:rPr>
          <w:rFonts w:ascii="Arial" w:hAnsi="Arial" w:cs="Arial"/>
          <w:lang w:val="en-US"/>
        </w:rPr>
        <w:t>≥</w:t>
      </w:r>
      <w:r w:rsidR="008C5169">
        <w:rPr>
          <w:rFonts w:ascii="Arial" w:hAnsi="Arial" w:cs="Arial"/>
          <w:lang w:val="en-US"/>
        </w:rPr>
        <w:t xml:space="preserve">2 in the Akaike information criterion (AIC), plus </w:t>
      </w:r>
      <w:r w:rsidR="00C74D7C">
        <w:rPr>
          <w:rFonts w:ascii="Arial" w:hAnsi="Arial" w:cs="Arial"/>
          <w:lang w:val="en-US"/>
        </w:rPr>
        <w:t xml:space="preserve">an adequate visual representation of the </w:t>
      </w:r>
      <w:r w:rsidR="00361DF6">
        <w:rPr>
          <w:rFonts w:ascii="Arial" w:hAnsi="Arial" w:cs="Arial"/>
          <w:lang w:val="en-US"/>
        </w:rPr>
        <w:t>relationship</w:t>
      </w:r>
      <w:r w:rsidR="00DF584D">
        <w:rPr>
          <w:rFonts w:ascii="Arial" w:hAnsi="Arial" w:cs="Arial"/>
          <w:lang w:val="en-US"/>
        </w:rPr>
        <w:t>,</w:t>
      </w:r>
      <w:r w:rsidR="008C5169">
        <w:rPr>
          <w:rFonts w:ascii="Arial" w:hAnsi="Arial" w:cs="Arial"/>
          <w:lang w:val="en-US"/>
        </w:rPr>
        <w:t xml:space="preserve"> and </w:t>
      </w:r>
      <w:r w:rsidR="00133FE0">
        <w:rPr>
          <w:rFonts w:ascii="Arial" w:hAnsi="Arial" w:cs="Arial"/>
          <w:lang w:val="en-US"/>
        </w:rPr>
        <w:t>optimal k-index</w:t>
      </w:r>
      <w:r w:rsidR="00C74D7C">
        <w:rPr>
          <w:rFonts w:ascii="Arial" w:hAnsi="Arial" w:cs="Arial"/>
          <w:lang w:val="en-US"/>
        </w:rPr>
        <w:t xml:space="preserve"> </w:t>
      </w:r>
      <w:r w:rsidR="0025443F">
        <w:rPr>
          <w:rFonts w:ascii="Arial" w:hAnsi="Arial" w:cs="Arial"/>
          <w:lang w:val="en-US"/>
        </w:rPr>
        <w:t xml:space="preserve">was </w:t>
      </w:r>
      <w:r w:rsidR="00471E9D">
        <w:rPr>
          <w:rFonts w:ascii="Arial" w:hAnsi="Arial" w:cs="Arial"/>
          <w:lang w:val="en-US"/>
        </w:rPr>
        <w:t>selected</w:t>
      </w:r>
      <w:r w:rsidR="0025443F">
        <w:rPr>
          <w:rFonts w:ascii="Arial" w:hAnsi="Arial" w:cs="Arial"/>
          <w:lang w:val="en-US"/>
        </w:rPr>
        <w:t xml:space="preserve">. </w:t>
      </w:r>
    </w:p>
    <w:p w14:paraId="6AAD43B5" w14:textId="72CD9A80" w:rsidR="002D0BA2" w:rsidRDefault="00A20F0E" w:rsidP="00A03359">
      <w:pPr>
        <w:spacing w:line="480" w:lineRule="auto"/>
        <w:jc w:val="both"/>
        <w:rPr>
          <w:rFonts w:ascii="Arial" w:hAnsi="Arial" w:cs="Arial"/>
          <w:lang w:val="en-US"/>
        </w:rPr>
      </w:pPr>
      <w:r>
        <w:rPr>
          <w:rFonts w:ascii="Arial" w:hAnsi="Arial" w:cs="Arial"/>
          <w:lang w:val="en-US"/>
        </w:rPr>
        <w:t xml:space="preserve">The prevalence of atelectasis </w:t>
      </w:r>
      <w:r w:rsidR="00AA25A9">
        <w:rPr>
          <w:rFonts w:ascii="Arial" w:hAnsi="Arial" w:cs="Arial"/>
          <w:lang w:val="en-US"/>
        </w:rPr>
        <w:t>and its 95% confidence interval (95%CI) were estimated with a one-sample proportion test</w:t>
      </w:r>
      <w:r w:rsidR="00530938">
        <w:rPr>
          <w:rFonts w:ascii="Arial" w:hAnsi="Arial" w:cs="Arial"/>
          <w:lang w:val="en-US"/>
        </w:rPr>
        <w:t xml:space="preserve"> </w:t>
      </w:r>
      <w:r w:rsidR="009C61C3">
        <w:rPr>
          <w:rFonts w:ascii="Arial" w:hAnsi="Arial" w:cs="Arial"/>
          <w:lang w:val="en-US"/>
        </w:rPr>
        <w:t>with</w:t>
      </w:r>
      <w:r w:rsidR="00A16B8C">
        <w:rPr>
          <w:rFonts w:ascii="Arial" w:hAnsi="Arial" w:cs="Arial"/>
          <w:lang w:val="en-US"/>
        </w:rPr>
        <w:t xml:space="preserve"> Wilson</w:t>
      </w:r>
      <w:r w:rsidR="009C61C3">
        <w:rPr>
          <w:rFonts w:ascii="Arial" w:hAnsi="Arial" w:cs="Arial"/>
          <w:lang w:val="en-US"/>
        </w:rPr>
        <w:t xml:space="preserve"> score</w:t>
      </w:r>
      <w:r w:rsidR="00A16B8C">
        <w:rPr>
          <w:rFonts w:ascii="Arial" w:hAnsi="Arial" w:cs="Arial"/>
          <w:lang w:val="en-US"/>
        </w:rPr>
        <w:t xml:space="preserve"> intervals </w:t>
      </w:r>
      <w:r w:rsidR="00530938">
        <w:rPr>
          <w:rFonts w:ascii="Arial" w:hAnsi="Arial" w:cs="Arial"/>
          <w:lang w:val="en-US"/>
        </w:rPr>
        <w:t xml:space="preserve">for the total sample and </w:t>
      </w:r>
      <w:r w:rsidR="00FC41A9">
        <w:rPr>
          <w:rFonts w:ascii="Arial" w:hAnsi="Arial" w:cs="Arial"/>
          <w:lang w:val="en-US"/>
        </w:rPr>
        <w:t>BMI categories</w:t>
      </w:r>
      <w:r w:rsidR="00AA25A9">
        <w:rPr>
          <w:rFonts w:ascii="Arial" w:hAnsi="Arial" w:cs="Arial"/>
          <w:lang w:val="en-US"/>
        </w:rPr>
        <w:t>.</w:t>
      </w:r>
      <w:r w:rsidR="000F6BA4">
        <w:rPr>
          <w:rFonts w:ascii="Arial" w:hAnsi="Arial" w:cs="Arial"/>
          <w:lang w:val="en-US"/>
        </w:rPr>
        <w:t xml:space="preserve"> </w:t>
      </w:r>
      <w:r w:rsidR="00A56E77">
        <w:rPr>
          <w:rFonts w:ascii="Arial" w:hAnsi="Arial" w:cs="Arial"/>
          <w:lang w:val="en-US"/>
        </w:rPr>
        <w:t>D</w:t>
      </w:r>
      <w:r w:rsidR="00A56E77">
        <w:rPr>
          <w:rFonts w:ascii="Arial" w:hAnsi="Arial" w:cs="Arial"/>
          <w:lang w:val="en-US"/>
        </w:rPr>
        <w:t>ue to zero-inflation and skewness</w:t>
      </w:r>
      <w:r w:rsidR="00A56E77">
        <w:rPr>
          <w:rFonts w:ascii="Arial" w:hAnsi="Arial" w:cs="Arial"/>
          <w:lang w:val="en-US"/>
        </w:rPr>
        <w:t>, m</w:t>
      </w:r>
      <w:r w:rsidR="006B55F2">
        <w:rPr>
          <w:rFonts w:ascii="Arial" w:hAnsi="Arial" w:cs="Arial"/>
          <w:lang w:val="en-US"/>
        </w:rPr>
        <w:t xml:space="preserve">ean atelectasis </w:t>
      </w:r>
      <w:r w:rsidR="00AE1E68">
        <w:rPr>
          <w:rFonts w:ascii="Arial" w:hAnsi="Arial" w:cs="Arial"/>
          <w:lang w:val="en-US"/>
        </w:rPr>
        <w:t>percentage</w:t>
      </w:r>
      <w:r w:rsidR="006B55F2">
        <w:rPr>
          <w:rFonts w:ascii="Arial" w:hAnsi="Arial" w:cs="Arial"/>
          <w:lang w:val="en-US"/>
        </w:rPr>
        <w:t xml:space="preserve"> </w:t>
      </w:r>
      <w:r w:rsidR="009C5D45">
        <w:rPr>
          <w:rFonts w:ascii="Arial" w:hAnsi="Arial" w:cs="Arial"/>
          <w:lang w:val="en-US"/>
        </w:rPr>
        <w:t xml:space="preserve">was determined by </w:t>
      </w:r>
      <w:r w:rsidR="00882022">
        <w:rPr>
          <w:rFonts w:ascii="Arial" w:hAnsi="Arial" w:cs="Arial"/>
          <w:lang w:val="en-US"/>
        </w:rPr>
        <w:t>bootstrapp</w:t>
      </w:r>
      <w:r w:rsidR="009C5D45">
        <w:rPr>
          <w:rFonts w:ascii="Arial" w:hAnsi="Arial" w:cs="Arial"/>
          <w:lang w:val="en-US"/>
        </w:rPr>
        <w:t>ing</w:t>
      </w:r>
      <w:r w:rsidR="00882022">
        <w:rPr>
          <w:rFonts w:ascii="Arial" w:hAnsi="Arial" w:cs="Arial"/>
          <w:lang w:val="en-US"/>
        </w:rPr>
        <w:t xml:space="preserve"> </w:t>
      </w:r>
      <w:r w:rsidR="009C5D45">
        <w:rPr>
          <w:rFonts w:ascii="Arial" w:hAnsi="Arial" w:cs="Arial"/>
          <w:lang w:val="en-US"/>
        </w:rPr>
        <w:t>with 10,000 re-samples</w:t>
      </w:r>
      <w:r w:rsidR="008A1F10">
        <w:rPr>
          <w:rFonts w:ascii="Arial" w:hAnsi="Arial" w:cs="Arial"/>
          <w:lang w:val="en-US"/>
        </w:rPr>
        <w:t>,</w:t>
      </w:r>
      <w:r w:rsidR="009C5D45">
        <w:rPr>
          <w:rFonts w:ascii="Arial" w:hAnsi="Arial" w:cs="Arial"/>
          <w:lang w:val="en-US"/>
        </w:rPr>
        <w:t xml:space="preserve"> </w:t>
      </w:r>
      <w:r w:rsidR="00E210FD">
        <w:rPr>
          <w:rFonts w:ascii="Arial" w:hAnsi="Arial" w:cs="Arial"/>
          <w:lang w:val="en-US"/>
        </w:rPr>
        <w:t xml:space="preserve">and 95%CI </w:t>
      </w:r>
      <w:r w:rsidR="008A1F10">
        <w:rPr>
          <w:rFonts w:ascii="Arial" w:hAnsi="Arial" w:cs="Arial"/>
          <w:lang w:val="en-US"/>
        </w:rPr>
        <w:t xml:space="preserve">with the </w:t>
      </w:r>
      <w:r w:rsidR="00C438DF" w:rsidRPr="00C438DF">
        <w:rPr>
          <w:rFonts w:ascii="Arial" w:hAnsi="Arial" w:cs="Arial"/>
          <w:lang w:val="en-US"/>
        </w:rPr>
        <w:t>bias-corrected and accelerated (</w:t>
      </w:r>
      <w:proofErr w:type="spellStart"/>
      <w:r w:rsidR="00C438DF" w:rsidRPr="00C438DF">
        <w:rPr>
          <w:rFonts w:ascii="Arial" w:hAnsi="Arial" w:cs="Arial"/>
          <w:lang w:val="en-US"/>
        </w:rPr>
        <w:t>BCa</w:t>
      </w:r>
      <w:proofErr w:type="spellEnd"/>
      <w:r w:rsidR="00C438DF" w:rsidRPr="00C438DF">
        <w:rPr>
          <w:rFonts w:ascii="Arial" w:hAnsi="Arial" w:cs="Arial"/>
          <w:lang w:val="en-US"/>
        </w:rPr>
        <w:t>)</w:t>
      </w:r>
      <w:r w:rsidR="00C438DF">
        <w:rPr>
          <w:rFonts w:ascii="Arial" w:hAnsi="Arial" w:cs="Arial"/>
          <w:lang w:val="en-US"/>
        </w:rPr>
        <w:t xml:space="preserve"> method</w:t>
      </w:r>
      <w:r w:rsidR="008D3776">
        <w:rPr>
          <w:rFonts w:ascii="Arial" w:hAnsi="Arial" w:cs="Arial"/>
          <w:lang w:val="en-US"/>
        </w:rPr>
        <w:t>.</w:t>
      </w:r>
      <w:r w:rsidR="00FC41A9">
        <w:rPr>
          <w:rFonts w:ascii="Arial" w:hAnsi="Arial" w:cs="Arial"/>
          <w:lang w:val="en-US"/>
        </w:rPr>
        <w:t xml:space="preserve"> </w:t>
      </w:r>
      <w:r w:rsidR="001D09AB">
        <w:rPr>
          <w:rFonts w:ascii="Arial" w:hAnsi="Arial" w:cs="Arial"/>
          <w:lang w:val="en-US"/>
        </w:rPr>
        <w:t>Prevalence ratios</w:t>
      </w:r>
      <w:r w:rsidR="00244D71">
        <w:rPr>
          <w:rFonts w:ascii="Arial" w:hAnsi="Arial" w:cs="Arial"/>
          <w:lang w:val="en-US"/>
        </w:rPr>
        <w:t xml:space="preserve"> of atelectasis</w:t>
      </w:r>
      <w:r w:rsidR="001D09AB">
        <w:rPr>
          <w:rFonts w:ascii="Arial" w:hAnsi="Arial" w:cs="Arial"/>
          <w:lang w:val="en-US"/>
        </w:rPr>
        <w:t xml:space="preserve"> </w:t>
      </w:r>
      <w:r w:rsidR="00AA1421">
        <w:rPr>
          <w:rFonts w:ascii="Arial" w:hAnsi="Arial" w:cs="Arial"/>
          <w:lang w:val="en-US"/>
        </w:rPr>
        <w:t xml:space="preserve">per obesity class </w:t>
      </w:r>
      <w:r w:rsidR="007C429E">
        <w:rPr>
          <w:rFonts w:ascii="Arial" w:hAnsi="Arial" w:cs="Arial"/>
          <w:lang w:val="en-US"/>
        </w:rPr>
        <w:t xml:space="preserve">(reference category: class 1) </w:t>
      </w:r>
      <w:r w:rsidR="001D09AB">
        <w:rPr>
          <w:rFonts w:ascii="Arial" w:hAnsi="Arial" w:cs="Arial"/>
          <w:lang w:val="en-US"/>
        </w:rPr>
        <w:t xml:space="preserve">were estimated </w:t>
      </w:r>
      <w:r w:rsidR="00AA1421">
        <w:rPr>
          <w:rFonts w:ascii="Arial" w:hAnsi="Arial" w:cs="Arial"/>
          <w:lang w:val="en-US"/>
        </w:rPr>
        <w:t>through</w:t>
      </w:r>
      <w:r w:rsidR="001D09AB">
        <w:rPr>
          <w:rFonts w:ascii="Arial" w:hAnsi="Arial" w:cs="Arial"/>
          <w:lang w:val="en-US"/>
        </w:rPr>
        <w:t xml:space="preserve"> a </w:t>
      </w:r>
      <w:r w:rsidR="00131E85">
        <w:rPr>
          <w:rFonts w:ascii="Arial" w:hAnsi="Arial" w:cs="Arial"/>
          <w:lang w:val="en-US"/>
        </w:rPr>
        <w:t>modified Poisson regression model with robust errors</w:t>
      </w:r>
      <w:r w:rsidR="001C05CE">
        <w:rPr>
          <w:rFonts w:ascii="Arial" w:hAnsi="Arial" w:cs="Arial"/>
          <w:lang w:val="en-US"/>
        </w:rPr>
        <w:t xml:space="preserve"> as described by </w:t>
      </w:r>
      <w:proofErr w:type="spellStart"/>
      <w:r w:rsidR="00EF71FD">
        <w:rPr>
          <w:rFonts w:ascii="Arial" w:hAnsi="Arial" w:cs="Arial"/>
          <w:lang w:val="en-US"/>
        </w:rPr>
        <w:t>Yorlets</w:t>
      </w:r>
      <w:proofErr w:type="spellEnd"/>
      <w:r w:rsidR="00EF71FD">
        <w:rPr>
          <w:rFonts w:ascii="Arial" w:hAnsi="Arial" w:cs="Arial"/>
          <w:lang w:val="en-US"/>
        </w:rPr>
        <w:t>, et al.</w:t>
      </w:r>
      <w:r w:rsidR="00EF71FD">
        <w:rPr>
          <w:rFonts w:ascii="Arial" w:hAnsi="Arial" w:cs="Arial"/>
          <w:lang w:val="en-US"/>
        </w:rPr>
        <w:fldChar w:fldCharType="begin" w:fldLock="1"/>
      </w:r>
      <w:r w:rsidR="00AC7695">
        <w:rPr>
          <w:rFonts w:ascii="Arial" w:hAnsi="Arial" w:cs="Arial"/>
          <w:lang w:val="en-US"/>
        </w:rPr>
        <w:instrText>ADDIN CSL_CITATION {"citationItems":[{"id":"ITEM-1","itemData":{"DOI":"10.1016/j.annepidem.2023.08.001","ISSN":"18732585","PMID":"37572803","abstract":"Epidemiologic research questions often focus on evaluating binary outcomes, yet curricula and scientific literature do not always provide clear guidance or examples on selecting and calculating an appropriate measure of association in these scenarios. Reporting inappropriate measures may lead to misleading statistical conclusions. We present a hands-on tutorial that includes annotated code written in an open-source statistical programming language (R) showing readers how to apply, compare, and understand four methods used to estimate a risk or prevalence ratio (or difference), rather than presenting an odds ratio. We will provide guidance on when to use each method, discussing the strengths and limitations of each approach, and compare the results obtained across them. Ultimately, we aim to help trainees, public health researchers, and interdisciplinary professionals develop an intuition for these methods and empower them to implement and interpret these methods in their own research.","author":[{"dropping-particle":"","family":"Yorlets","given":"Rachel R.","non-dropping-particle":"","parse-names":false,"suffix":""},{"dropping-particle":"","family":"Lee","given":"Youjin","non-dropping-particle":"","parse-names":false,"suffix":""},{"dropping-particle":"","family":"Gantenberg","given":"Jason R.","non-dropping-particle":"","parse-names":false,"suffix":""}],"container-title":"Annals of Epidemiology","id":"ITEM-1","issued":{"date-parts":[["2023"]]},"page":"104-109","publisher":"Elsevier","title":"Calculating risk and prevalence ratios and differences in R: developing intuition with a hands-on tutorial and code","type":"article-journal","volume":"86"},"uris":["http://www.mendeley.com/documents/?uuid=230fec74-7853-4227-9a8c-97fd84534189"]}],"mendeley":{"formattedCitation":"&lt;sup&gt;13&lt;/sup&gt;","plainTextFormattedCitation":"13","previouslyFormattedCitation":"&lt;sup&gt;12&lt;/sup&gt;"},"properties":{"noteIndex":0},"schema":"https://github.com/citation-style-language/schema/raw/master/csl-citation.json"}</w:instrText>
      </w:r>
      <w:r w:rsidR="00EF71FD">
        <w:rPr>
          <w:rFonts w:ascii="Arial" w:hAnsi="Arial" w:cs="Arial"/>
          <w:lang w:val="en-US"/>
        </w:rPr>
        <w:fldChar w:fldCharType="separate"/>
      </w:r>
      <w:r w:rsidR="00AC7695" w:rsidRPr="00AC7695">
        <w:rPr>
          <w:rFonts w:ascii="Arial" w:hAnsi="Arial" w:cs="Arial"/>
          <w:noProof/>
          <w:vertAlign w:val="superscript"/>
          <w:lang w:val="en-US"/>
        </w:rPr>
        <w:t>13</w:t>
      </w:r>
      <w:r w:rsidR="00EF71FD">
        <w:rPr>
          <w:rFonts w:ascii="Arial" w:hAnsi="Arial" w:cs="Arial"/>
          <w:lang w:val="en-US"/>
        </w:rPr>
        <w:fldChar w:fldCharType="end"/>
      </w:r>
      <w:r w:rsidR="00131E85">
        <w:rPr>
          <w:rFonts w:ascii="Arial" w:hAnsi="Arial" w:cs="Arial"/>
          <w:lang w:val="en-US"/>
        </w:rPr>
        <w:t xml:space="preserve"> </w:t>
      </w:r>
      <w:r w:rsidR="00244D71">
        <w:rPr>
          <w:rFonts w:ascii="Arial" w:hAnsi="Arial" w:cs="Arial"/>
          <w:lang w:val="en-US"/>
        </w:rPr>
        <w:t>and adjusted for age, sex, and OSA.</w:t>
      </w:r>
      <w:r w:rsidR="00C561DE">
        <w:rPr>
          <w:rFonts w:ascii="Arial" w:hAnsi="Arial" w:cs="Arial"/>
          <w:lang w:val="en-US"/>
        </w:rPr>
        <w:t xml:space="preserve"> Atelectasis percentage coverage was modeled in an ordinal</w:t>
      </w:r>
      <w:r w:rsidR="0050202D">
        <w:rPr>
          <w:rFonts w:ascii="Arial" w:hAnsi="Arial" w:cs="Arial"/>
          <w:lang w:val="en-US"/>
        </w:rPr>
        <w:t xml:space="preserve"> logistic regression model</w:t>
      </w:r>
      <w:r w:rsidR="00103C93">
        <w:rPr>
          <w:rFonts w:ascii="Arial" w:hAnsi="Arial" w:cs="Arial"/>
          <w:lang w:val="en-US"/>
        </w:rPr>
        <w:t xml:space="preserve">; assumptions were checked with the nominal test for </w:t>
      </w:r>
      <w:r w:rsidR="00DF55EA">
        <w:rPr>
          <w:rFonts w:ascii="Arial" w:hAnsi="Arial" w:cs="Arial"/>
          <w:lang w:val="en-US"/>
        </w:rPr>
        <w:t xml:space="preserve">proportional odds </w:t>
      </w:r>
      <w:r w:rsidR="00103C93">
        <w:rPr>
          <w:rFonts w:ascii="Arial" w:hAnsi="Arial" w:cs="Arial"/>
          <w:lang w:val="en-US"/>
        </w:rPr>
        <w:t>and scale test for scaling effects</w:t>
      </w:r>
      <w:r w:rsidR="00920E70">
        <w:rPr>
          <w:rFonts w:ascii="Arial" w:hAnsi="Arial" w:cs="Arial"/>
          <w:lang w:val="en-US"/>
        </w:rPr>
        <w:t xml:space="preserve">. </w:t>
      </w:r>
      <w:r w:rsidR="00C966A7">
        <w:rPr>
          <w:rFonts w:ascii="Arial" w:hAnsi="Arial" w:cs="Arial"/>
          <w:lang w:val="en-US"/>
        </w:rPr>
        <w:t xml:space="preserve">Due to </w:t>
      </w:r>
      <w:r w:rsidR="00D53A39">
        <w:rPr>
          <w:rFonts w:ascii="Arial" w:hAnsi="Arial" w:cs="Arial"/>
          <w:lang w:val="en-US"/>
        </w:rPr>
        <w:t>problems in convergence when fitting nominal models to test the proportional odds assumption,</w:t>
      </w:r>
      <w:r w:rsidR="00030DFD">
        <w:rPr>
          <w:rFonts w:ascii="Arial" w:hAnsi="Arial" w:cs="Arial"/>
          <w:lang w:val="en-US"/>
        </w:rPr>
        <w:t xml:space="preserve"> non-integer</w:t>
      </w:r>
      <w:r w:rsidR="00D53A39">
        <w:rPr>
          <w:rFonts w:ascii="Arial" w:hAnsi="Arial" w:cs="Arial"/>
          <w:lang w:val="en-US"/>
        </w:rPr>
        <w:t xml:space="preserve"> </w:t>
      </w:r>
      <w:r w:rsidR="00AD1EB7">
        <w:rPr>
          <w:rFonts w:ascii="Arial" w:hAnsi="Arial" w:cs="Arial"/>
          <w:lang w:val="en-US"/>
        </w:rPr>
        <w:t xml:space="preserve">atelectasis percentage categories </w:t>
      </w:r>
      <w:r w:rsidR="00030DFD">
        <w:rPr>
          <w:rFonts w:ascii="Arial" w:hAnsi="Arial" w:cs="Arial"/>
          <w:lang w:val="en-US"/>
        </w:rPr>
        <w:t xml:space="preserve">(i.e., 2.5%, </w:t>
      </w:r>
      <w:r w:rsidR="009D2EE0">
        <w:rPr>
          <w:rFonts w:ascii="Arial" w:hAnsi="Arial" w:cs="Arial"/>
          <w:lang w:val="en-US"/>
        </w:rPr>
        <w:t>7.5%</w:t>
      </w:r>
      <w:r w:rsidR="00030DFD">
        <w:rPr>
          <w:rFonts w:ascii="Arial" w:hAnsi="Arial" w:cs="Arial"/>
          <w:lang w:val="en-US"/>
        </w:rPr>
        <w:t xml:space="preserve">) </w:t>
      </w:r>
      <w:r w:rsidR="00AD1EB7">
        <w:rPr>
          <w:rFonts w:ascii="Arial" w:hAnsi="Arial" w:cs="Arial"/>
          <w:lang w:val="en-US"/>
        </w:rPr>
        <w:t xml:space="preserve">were collapsed </w:t>
      </w:r>
      <w:r w:rsidR="00D11C7A">
        <w:rPr>
          <w:rFonts w:ascii="Arial" w:hAnsi="Arial" w:cs="Arial"/>
          <w:lang w:val="en-US"/>
        </w:rPr>
        <w:t>against the immediate lower categor</w:t>
      </w:r>
      <w:r w:rsidR="0031456E">
        <w:rPr>
          <w:rFonts w:ascii="Arial" w:hAnsi="Arial" w:cs="Arial"/>
          <w:lang w:val="en-US"/>
        </w:rPr>
        <w:t>y</w:t>
      </w:r>
      <w:r w:rsidR="009D2EE0">
        <w:rPr>
          <w:rFonts w:ascii="Arial" w:hAnsi="Arial" w:cs="Arial"/>
          <w:lang w:val="en-US"/>
        </w:rPr>
        <w:t xml:space="preserve">, resulting in </w:t>
      </w:r>
      <w:r w:rsidR="00D11C7A">
        <w:rPr>
          <w:rFonts w:ascii="Arial" w:hAnsi="Arial" w:cs="Arial"/>
          <w:lang w:val="en-US"/>
        </w:rPr>
        <w:t>5% jumps</w:t>
      </w:r>
      <w:r w:rsidR="009D2EE0">
        <w:rPr>
          <w:rFonts w:ascii="Arial" w:hAnsi="Arial" w:cs="Arial"/>
          <w:lang w:val="en-US"/>
        </w:rPr>
        <w:t xml:space="preserve"> (0-5%, </w:t>
      </w:r>
      <w:r w:rsidR="00FB24F4">
        <w:rPr>
          <w:rFonts w:ascii="Arial" w:hAnsi="Arial" w:cs="Arial"/>
          <w:lang w:val="en-US"/>
        </w:rPr>
        <w:t>5-10%, 10-15%, and ≥15%</w:t>
      </w:r>
      <w:r w:rsidR="009D2EE0">
        <w:rPr>
          <w:rFonts w:ascii="Arial" w:hAnsi="Arial" w:cs="Arial"/>
          <w:lang w:val="en-US"/>
        </w:rPr>
        <w:t>)</w:t>
      </w:r>
      <w:r w:rsidR="00FB24F4">
        <w:rPr>
          <w:rFonts w:ascii="Arial" w:hAnsi="Arial" w:cs="Arial"/>
          <w:lang w:val="en-US"/>
        </w:rPr>
        <w:t>.</w:t>
      </w:r>
      <w:r w:rsidR="00D11C7A">
        <w:rPr>
          <w:rFonts w:ascii="Arial" w:hAnsi="Arial" w:cs="Arial"/>
          <w:lang w:val="en-US"/>
        </w:rPr>
        <w:t xml:space="preserve"> </w:t>
      </w:r>
      <w:r w:rsidR="00D35CAC">
        <w:rPr>
          <w:rFonts w:ascii="Arial" w:hAnsi="Arial" w:cs="Arial"/>
          <w:lang w:val="en-US"/>
        </w:rPr>
        <w:t>T</w:t>
      </w:r>
      <w:r w:rsidR="00D35CAC">
        <w:rPr>
          <w:rFonts w:ascii="Arial" w:hAnsi="Arial" w:cs="Arial"/>
          <w:lang w:val="en-US"/>
        </w:rPr>
        <w:t>he relative frequenc</w:t>
      </w:r>
      <w:r w:rsidR="00D35CAC">
        <w:rPr>
          <w:rFonts w:ascii="Arial" w:hAnsi="Arial" w:cs="Arial"/>
          <w:lang w:val="en-US"/>
        </w:rPr>
        <w:t>ies</w:t>
      </w:r>
      <w:r w:rsidR="00D35CAC">
        <w:rPr>
          <w:rFonts w:ascii="Arial" w:hAnsi="Arial" w:cs="Arial"/>
          <w:lang w:val="en-US"/>
        </w:rPr>
        <w:t xml:space="preserve"> of atelectasis percentage</w:t>
      </w:r>
      <w:r w:rsidR="00D35CAC">
        <w:rPr>
          <w:rFonts w:ascii="Arial" w:hAnsi="Arial" w:cs="Arial"/>
          <w:lang w:val="en-US"/>
        </w:rPr>
        <w:t xml:space="preserve"> category</w:t>
      </w:r>
      <w:r w:rsidR="00D35CAC">
        <w:rPr>
          <w:rFonts w:ascii="Arial" w:hAnsi="Arial" w:cs="Arial"/>
          <w:lang w:val="en-US"/>
        </w:rPr>
        <w:t xml:space="preserve"> by obesity classes and class 3 subgroups (</w:t>
      </w:r>
      <w:r w:rsidR="00D35CAC" w:rsidRPr="00ED460D">
        <w:rPr>
          <w:rFonts w:ascii="Arial" w:hAnsi="Arial" w:cs="Arial"/>
          <w:lang w:val="en-US"/>
        </w:rPr>
        <w:t>40</w:t>
      </w:r>
      <w:r w:rsidR="00D35CAC">
        <w:rPr>
          <w:rFonts w:ascii="Arial" w:hAnsi="Arial" w:cs="Arial"/>
          <w:lang w:val="en-US"/>
        </w:rPr>
        <w:sym w:font="Symbol" w:char="F02D"/>
      </w:r>
      <w:r w:rsidR="00D35CAC" w:rsidRPr="00ED460D">
        <w:rPr>
          <w:rFonts w:ascii="Arial" w:hAnsi="Arial" w:cs="Arial"/>
          <w:lang w:val="en-US"/>
        </w:rPr>
        <w:t>45</w:t>
      </w:r>
      <w:r w:rsidR="00D35CAC">
        <w:rPr>
          <w:rFonts w:ascii="Arial" w:hAnsi="Arial" w:cs="Arial"/>
          <w:lang w:val="en-US"/>
        </w:rPr>
        <w:t xml:space="preserve">, </w:t>
      </w:r>
      <w:r w:rsidR="00D35CAC" w:rsidRPr="008E319F">
        <w:rPr>
          <w:rFonts w:ascii="Arial" w:hAnsi="Arial" w:cs="Arial"/>
          <w:lang w:val="en-US"/>
        </w:rPr>
        <w:t>45</w:t>
      </w:r>
      <w:r w:rsidR="00D35CAC">
        <w:rPr>
          <w:rFonts w:ascii="Arial" w:hAnsi="Arial" w:cs="Arial"/>
          <w:lang w:val="en-US"/>
        </w:rPr>
        <w:sym w:font="Symbol" w:char="F02D"/>
      </w:r>
      <w:r w:rsidR="00D35CAC" w:rsidRPr="008E319F">
        <w:rPr>
          <w:rFonts w:ascii="Arial" w:hAnsi="Arial" w:cs="Arial"/>
          <w:lang w:val="en-US"/>
        </w:rPr>
        <w:t>50</w:t>
      </w:r>
      <w:r w:rsidR="00D35CAC">
        <w:rPr>
          <w:rFonts w:ascii="Arial" w:hAnsi="Arial" w:cs="Arial"/>
          <w:lang w:val="en-US"/>
        </w:rPr>
        <w:t xml:space="preserve">, and </w:t>
      </w:r>
      <w:r w:rsidR="00D35CAC" w:rsidRPr="008E319F">
        <w:rPr>
          <w:rFonts w:ascii="Arial" w:hAnsi="Arial" w:cs="Arial"/>
          <w:lang w:val="en-US"/>
        </w:rPr>
        <w:t>≥50</w:t>
      </w:r>
      <w:r w:rsidR="00D35CAC">
        <w:rPr>
          <w:rFonts w:ascii="Arial" w:hAnsi="Arial" w:cs="Arial"/>
          <w:lang w:val="en-US"/>
        </w:rPr>
        <w:t xml:space="preserve"> kg/m</w:t>
      </w:r>
      <w:r w:rsidR="00D35CAC" w:rsidRPr="008E319F">
        <w:rPr>
          <w:rFonts w:ascii="Arial" w:hAnsi="Arial" w:cs="Arial"/>
          <w:vertAlign w:val="superscript"/>
          <w:lang w:val="en-US"/>
        </w:rPr>
        <w:t>2</w:t>
      </w:r>
      <w:r w:rsidR="00D35CAC">
        <w:rPr>
          <w:rFonts w:ascii="Arial" w:hAnsi="Arial" w:cs="Arial"/>
          <w:lang w:val="en-US"/>
        </w:rPr>
        <w:t>)</w:t>
      </w:r>
      <w:r w:rsidR="00D35CAC">
        <w:rPr>
          <w:rFonts w:ascii="Arial" w:hAnsi="Arial" w:cs="Arial"/>
          <w:lang w:val="en-US"/>
        </w:rPr>
        <w:t xml:space="preserve"> are shown in a </w:t>
      </w:r>
      <w:proofErr w:type="spellStart"/>
      <w:r w:rsidR="00D35CAC">
        <w:rPr>
          <w:rFonts w:ascii="Arial" w:hAnsi="Arial" w:cs="Arial"/>
          <w:lang w:val="en-US"/>
        </w:rPr>
        <w:t>barplot</w:t>
      </w:r>
      <w:proofErr w:type="spellEnd"/>
      <w:r w:rsidR="00D35CAC">
        <w:rPr>
          <w:rFonts w:ascii="Arial" w:hAnsi="Arial" w:cs="Arial"/>
          <w:lang w:val="en-US"/>
        </w:rPr>
        <w:t>.</w:t>
      </w:r>
      <w:r w:rsidR="00D35CAC">
        <w:rPr>
          <w:rFonts w:ascii="Arial" w:hAnsi="Arial" w:cs="Arial"/>
          <w:lang w:val="en-US"/>
        </w:rPr>
        <w:t xml:space="preserve"> </w:t>
      </w:r>
      <w:r w:rsidR="00920E70">
        <w:rPr>
          <w:rFonts w:ascii="Arial" w:hAnsi="Arial" w:cs="Arial"/>
          <w:lang w:val="en-US"/>
        </w:rPr>
        <w:t>Partial propor</w:t>
      </w:r>
      <w:r w:rsidR="00C16518">
        <w:rPr>
          <w:rFonts w:ascii="Arial" w:hAnsi="Arial" w:cs="Arial"/>
          <w:lang w:val="en-US"/>
        </w:rPr>
        <w:t xml:space="preserve">tional odds models </w:t>
      </w:r>
      <w:r w:rsidR="008944A3">
        <w:rPr>
          <w:rFonts w:ascii="Arial" w:hAnsi="Arial" w:cs="Arial"/>
          <w:lang w:val="en-US"/>
        </w:rPr>
        <w:t xml:space="preserve">were fitted to model nominal effects of variables not meeting the </w:t>
      </w:r>
      <w:r w:rsidR="008944A3">
        <w:rPr>
          <w:rFonts w:ascii="Arial" w:hAnsi="Arial" w:cs="Arial"/>
          <w:lang w:val="en-US"/>
        </w:rPr>
        <w:lastRenderedPageBreak/>
        <w:t xml:space="preserve">proportional odds assumption. Estimates </w:t>
      </w:r>
      <w:r w:rsidR="005A6176">
        <w:rPr>
          <w:rFonts w:ascii="Arial" w:hAnsi="Arial" w:cs="Arial"/>
          <w:lang w:val="en-US"/>
        </w:rPr>
        <w:t xml:space="preserve">are summarized as the unadjusted and adjusted odds ratio (OR) with their </w:t>
      </w:r>
      <w:r w:rsidR="00B56AC5">
        <w:rPr>
          <w:rFonts w:ascii="Arial" w:hAnsi="Arial" w:cs="Arial"/>
          <w:lang w:val="en-US"/>
        </w:rPr>
        <w:t xml:space="preserve">Wald </w:t>
      </w:r>
      <w:r w:rsidR="005A6176">
        <w:rPr>
          <w:rFonts w:ascii="Arial" w:hAnsi="Arial" w:cs="Arial"/>
          <w:lang w:val="en-US"/>
        </w:rPr>
        <w:t>95%CI.</w:t>
      </w:r>
    </w:p>
    <w:p w14:paraId="29B7DCF9" w14:textId="65E14BB5" w:rsidR="00E80BC6" w:rsidRDefault="005E1145" w:rsidP="00A03359">
      <w:pPr>
        <w:spacing w:line="480" w:lineRule="auto"/>
        <w:jc w:val="both"/>
        <w:rPr>
          <w:rFonts w:ascii="Arial" w:hAnsi="Arial" w:cs="Arial"/>
          <w:lang w:val="en-US"/>
        </w:rPr>
      </w:pPr>
      <w:r>
        <w:rPr>
          <w:rFonts w:ascii="Arial" w:hAnsi="Arial" w:cs="Arial"/>
          <w:lang w:val="en-US"/>
        </w:rPr>
        <w:t xml:space="preserve">Mean SpO2 was assessed in a </w:t>
      </w:r>
      <w:r w:rsidR="001B13CD">
        <w:rPr>
          <w:rFonts w:ascii="Arial" w:hAnsi="Arial" w:cs="Arial"/>
          <w:lang w:val="en-US"/>
        </w:rPr>
        <w:t>fractional regression model by building g</w:t>
      </w:r>
      <w:r w:rsidR="0060606A">
        <w:rPr>
          <w:rFonts w:ascii="Arial" w:hAnsi="Arial" w:cs="Arial"/>
          <w:lang w:val="en-US"/>
        </w:rPr>
        <w:t xml:space="preserve">eneralized additive models </w:t>
      </w:r>
      <w:r w:rsidR="001B13CD">
        <w:rPr>
          <w:rFonts w:ascii="Arial" w:hAnsi="Arial" w:cs="Arial"/>
          <w:lang w:val="en-US"/>
        </w:rPr>
        <w:t xml:space="preserve">with a </w:t>
      </w:r>
      <w:r w:rsidR="004875E6">
        <w:rPr>
          <w:rFonts w:ascii="Arial" w:hAnsi="Arial" w:cs="Arial"/>
          <w:lang w:val="en-US"/>
        </w:rPr>
        <w:t>quasibinomial</w:t>
      </w:r>
      <w:r w:rsidR="001B13CD">
        <w:rPr>
          <w:rFonts w:ascii="Arial" w:hAnsi="Arial" w:cs="Arial"/>
          <w:lang w:val="en-US"/>
        </w:rPr>
        <w:t xml:space="preserve"> logit </w:t>
      </w:r>
      <w:r w:rsidR="00A00BA5">
        <w:rPr>
          <w:rFonts w:ascii="Arial" w:hAnsi="Arial" w:cs="Arial"/>
          <w:lang w:val="en-US"/>
        </w:rPr>
        <w:t xml:space="preserve">link </w:t>
      </w:r>
      <w:r w:rsidR="001B13CD">
        <w:rPr>
          <w:rFonts w:ascii="Arial" w:hAnsi="Arial" w:cs="Arial"/>
          <w:lang w:val="en-US"/>
        </w:rPr>
        <w:t xml:space="preserve">function </w:t>
      </w:r>
      <w:r w:rsidR="0060606A">
        <w:rPr>
          <w:rFonts w:ascii="Arial" w:hAnsi="Arial" w:cs="Arial"/>
          <w:lang w:val="en-US"/>
        </w:rPr>
        <w:t xml:space="preserve">to assess the extent to which </w:t>
      </w:r>
      <w:r w:rsidR="00F76AA1">
        <w:rPr>
          <w:rFonts w:ascii="Arial" w:hAnsi="Arial" w:cs="Arial"/>
          <w:lang w:val="en-US"/>
        </w:rPr>
        <w:t>BMI, OSA, atelectasis percentage</w:t>
      </w:r>
      <w:r w:rsidR="00B56AC5">
        <w:rPr>
          <w:rFonts w:ascii="Arial" w:hAnsi="Arial" w:cs="Arial"/>
          <w:lang w:val="en-US"/>
        </w:rPr>
        <w:t xml:space="preserve">, and additional </w:t>
      </w:r>
      <w:r w:rsidR="00BE30F2">
        <w:rPr>
          <w:rFonts w:ascii="Arial" w:hAnsi="Arial" w:cs="Arial"/>
          <w:lang w:val="en-US"/>
        </w:rPr>
        <w:t>covariates</w:t>
      </w:r>
      <w:r w:rsidR="00B56AC5">
        <w:rPr>
          <w:rFonts w:ascii="Arial" w:hAnsi="Arial" w:cs="Arial"/>
          <w:lang w:val="en-US"/>
        </w:rPr>
        <w:t xml:space="preserve"> (age, sex, </w:t>
      </w:r>
      <w:r w:rsidR="00BE30F2">
        <w:rPr>
          <w:rFonts w:ascii="Arial" w:hAnsi="Arial" w:cs="Arial"/>
          <w:lang w:val="en-US"/>
        </w:rPr>
        <w:t xml:space="preserve">altitude, and </w:t>
      </w:r>
      <w:r w:rsidR="00B56AC5">
        <w:rPr>
          <w:rFonts w:ascii="Arial" w:hAnsi="Arial" w:cs="Arial"/>
          <w:lang w:val="en-US"/>
        </w:rPr>
        <w:t>hemoglobin)</w:t>
      </w:r>
      <w:r w:rsidR="00F76AA1">
        <w:rPr>
          <w:rFonts w:ascii="Arial" w:hAnsi="Arial" w:cs="Arial"/>
          <w:lang w:val="en-US"/>
        </w:rPr>
        <w:t xml:space="preserve"> explained the variability in SpO2. A smooth BMI term </w:t>
      </w:r>
      <w:r w:rsidR="00E37E4C">
        <w:rPr>
          <w:rFonts w:ascii="Arial" w:hAnsi="Arial" w:cs="Arial"/>
          <w:lang w:val="en-US"/>
        </w:rPr>
        <w:t>(</w:t>
      </w:r>
      <w:r w:rsidR="00F76AA1">
        <w:rPr>
          <w:rFonts w:ascii="Arial" w:hAnsi="Arial" w:cs="Arial"/>
          <w:lang w:val="en-US"/>
        </w:rPr>
        <w:t>k=5</w:t>
      </w:r>
      <w:r w:rsidR="00E37E4C">
        <w:rPr>
          <w:rFonts w:ascii="Arial" w:hAnsi="Arial" w:cs="Arial"/>
          <w:lang w:val="en-US"/>
        </w:rPr>
        <w:t xml:space="preserve">) </w:t>
      </w:r>
      <w:r w:rsidR="002F66A6">
        <w:rPr>
          <w:rFonts w:ascii="Arial" w:hAnsi="Arial" w:cs="Arial"/>
          <w:lang w:val="en-US"/>
        </w:rPr>
        <w:t xml:space="preserve">was </w:t>
      </w:r>
      <w:r w:rsidR="00D45CBB">
        <w:rPr>
          <w:rFonts w:ascii="Arial" w:hAnsi="Arial" w:cs="Arial"/>
          <w:lang w:val="en-US"/>
        </w:rPr>
        <w:t>modelled,</w:t>
      </w:r>
      <w:r w:rsidR="002F66A6">
        <w:rPr>
          <w:rFonts w:ascii="Arial" w:hAnsi="Arial" w:cs="Arial"/>
          <w:lang w:val="en-US"/>
        </w:rPr>
        <w:t xml:space="preserve"> and </w:t>
      </w:r>
      <w:r w:rsidR="00ED59EB">
        <w:rPr>
          <w:rFonts w:ascii="Arial" w:hAnsi="Arial" w:cs="Arial"/>
          <w:lang w:val="en-US"/>
        </w:rPr>
        <w:t>the partial effect of this term was plotted</w:t>
      </w:r>
      <w:r w:rsidR="002F66A6">
        <w:rPr>
          <w:rFonts w:ascii="Arial" w:hAnsi="Arial" w:cs="Arial"/>
          <w:lang w:val="en-US"/>
        </w:rPr>
        <w:t xml:space="preserve"> with its 95%CI</w:t>
      </w:r>
      <w:r w:rsidR="00ED59EB">
        <w:rPr>
          <w:rFonts w:ascii="Arial" w:hAnsi="Arial" w:cs="Arial"/>
          <w:lang w:val="en-US"/>
        </w:rPr>
        <w:t xml:space="preserve"> to assess </w:t>
      </w:r>
      <w:r w:rsidR="00ED5197">
        <w:rPr>
          <w:rFonts w:ascii="Arial" w:hAnsi="Arial" w:cs="Arial"/>
          <w:lang w:val="en-US"/>
        </w:rPr>
        <w:t>the extent to which the</w:t>
      </w:r>
      <w:r w:rsidR="00ED59EB">
        <w:rPr>
          <w:rFonts w:ascii="Arial" w:hAnsi="Arial" w:cs="Arial"/>
          <w:lang w:val="en-US"/>
        </w:rPr>
        <w:t xml:space="preserve"> effect of BMI on SpO2 </w:t>
      </w:r>
      <w:r w:rsidR="00D9362B">
        <w:rPr>
          <w:rFonts w:ascii="Arial" w:hAnsi="Arial" w:cs="Arial"/>
          <w:lang w:val="en-US"/>
        </w:rPr>
        <w:t>changed</w:t>
      </w:r>
      <w:r w:rsidR="00ED59EB">
        <w:rPr>
          <w:rFonts w:ascii="Arial" w:hAnsi="Arial" w:cs="Arial"/>
          <w:lang w:val="en-US"/>
        </w:rPr>
        <w:t xml:space="preserve"> when adjusting for </w:t>
      </w:r>
      <w:r w:rsidR="00ED5197">
        <w:rPr>
          <w:rFonts w:ascii="Arial" w:hAnsi="Arial" w:cs="Arial"/>
          <w:lang w:val="en-US"/>
        </w:rPr>
        <w:t>other</w:t>
      </w:r>
      <w:r w:rsidR="00ED59EB">
        <w:rPr>
          <w:rFonts w:ascii="Arial" w:hAnsi="Arial" w:cs="Arial"/>
          <w:lang w:val="en-US"/>
        </w:rPr>
        <w:t xml:space="preserve"> variables. </w:t>
      </w:r>
      <w:r w:rsidR="00A54580">
        <w:rPr>
          <w:rFonts w:ascii="Arial" w:hAnsi="Arial" w:cs="Arial"/>
          <w:lang w:val="en-US"/>
        </w:rPr>
        <w:t xml:space="preserve">OR </w:t>
      </w:r>
      <w:r w:rsidR="0000361A">
        <w:rPr>
          <w:rFonts w:ascii="Arial" w:hAnsi="Arial" w:cs="Arial"/>
          <w:lang w:val="en-US"/>
        </w:rPr>
        <w:t xml:space="preserve">for the mean SpO2 value </w:t>
      </w:r>
      <w:r w:rsidR="00A54580">
        <w:rPr>
          <w:rFonts w:ascii="Arial" w:hAnsi="Arial" w:cs="Arial"/>
          <w:lang w:val="en-US"/>
        </w:rPr>
        <w:t>with their 95%CI were calculated</w:t>
      </w:r>
      <w:r w:rsidR="00D9362B">
        <w:rPr>
          <w:rFonts w:ascii="Arial" w:hAnsi="Arial" w:cs="Arial"/>
          <w:lang w:val="en-US"/>
        </w:rPr>
        <w:t xml:space="preserve"> for all linear and categorical terms.</w:t>
      </w:r>
      <w:r w:rsidR="00A54580">
        <w:rPr>
          <w:rFonts w:ascii="Arial" w:hAnsi="Arial" w:cs="Arial"/>
          <w:lang w:val="en-US"/>
        </w:rPr>
        <w:t xml:space="preserve"> </w:t>
      </w:r>
      <w:r w:rsidR="00ED59EB">
        <w:rPr>
          <w:rFonts w:ascii="Arial" w:hAnsi="Arial" w:cs="Arial"/>
          <w:lang w:val="en-US"/>
        </w:rPr>
        <w:t xml:space="preserve">Models were compared by </w:t>
      </w:r>
      <w:r w:rsidR="008D6EAB">
        <w:rPr>
          <w:rFonts w:ascii="Arial" w:hAnsi="Arial" w:cs="Arial"/>
          <w:lang w:val="en-US"/>
        </w:rPr>
        <w:t>the</w:t>
      </w:r>
      <w:r w:rsidR="00D9362B">
        <w:rPr>
          <w:rFonts w:ascii="Arial" w:hAnsi="Arial" w:cs="Arial"/>
          <w:lang w:val="en-US"/>
        </w:rPr>
        <w:t>ir</w:t>
      </w:r>
      <w:r w:rsidR="008D6EAB">
        <w:rPr>
          <w:rFonts w:ascii="Arial" w:hAnsi="Arial" w:cs="Arial"/>
          <w:lang w:val="en-US"/>
        </w:rPr>
        <w:t xml:space="preserve"> explained deviance</w:t>
      </w:r>
      <w:r w:rsidR="00ED59EB">
        <w:rPr>
          <w:rFonts w:ascii="Arial" w:hAnsi="Arial" w:cs="Arial"/>
          <w:lang w:val="en-US"/>
        </w:rPr>
        <w:t xml:space="preserve">. </w:t>
      </w:r>
    </w:p>
    <w:p w14:paraId="4336CF9F" w14:textId="2DEC4EFB" w:rsidR="00ED59EB" w:rsidRPr="005865D6" w:rsidRDefault="00E63819" w:rsidP="00A03359">
      <w:pPr>
        <w:spacing w:line="480" w:lineRule="auto"/>
        <w:jc w:val="both"/>
        <w:rPr>
          <w:rFonts w:ascii="Arial" w:hAnsi="Arial" w:cs="Arial"/>
          <w:lang w:val="en-US"/>
        </w:rPr>
      </w:pPr>
      <w:r>
        <w:rPr>
          <w:rFonts w:ascii="Arial" w:hAnsi="Arial" w:cs="Arial"/>
          <w:lang w:val="en-US"/>
        </w:rPr>
        <w:t xml:space="preserve">Complete-case analysis was performed since missing data was &lt;3% for all variables. </w:t>
      </w:r>
      <w:r w:rsidR="0088698B">
        <w:rPr>
          <w:rFonts w:ascii="Arial" w:hAnsi="Arial" w:cs="Arial"/>
          <w:lang w:val="en-US"/>
        </w:rPr>
        <w:t>Statistical significance was defined as p&lt;0.05.</w:t>
      </w:r>
      <w:r w:rsidR="00B94BBC">
        <w:rPr>
          <w:rFonts w:ascii="Arial" w:hAnsi="Arial" w:cs="Arial"/>
          <w:lang w:val="en-US"/>
        </w:rPr>
        <w:t xml:space="preserve"> P-values </w:t>
      </w:r>
      <w:r w:rsidR="004E4A77">
        <w:rPr>
          <w:rFonts w:ascii="Arial" w:hAnsi="Arial" w:cs="Arial"/>
          <w:lang w:val="en-US"/>
        </w:rPr>
        <w:t>are</w:t>
      </w:r>
      <w:r w:rsidR="00B94BBC">
        <w:rPr>
          <w:rFonts w:ascii="Arial" w:hAnsi="Arial" w:cs="Arial"/>
          <w:lang w:val="en-US"/>
        </w:rPr>
        <w:t xml:space="preserve"> </w:t>
      </w:r>
      <w:r w:rsidR="00FD3CE0">
        <w:rPr>
          <w:rFonts w:ascii="Arial" w:hAnsi="Arial" w:cs="Arial"/>
          <w:lang w:val="en-US"/>
        </w:rPr>
        <w:t xml:space="preserve">shown </w:t>
      </w:r>
      <w:r w:rsidR="00B94BBC">
        <w:rPr>
          <w:rFonts w:ascii="Arial" w:hAnsi="Arial" w:cs="Arial"/>
          <w:lang w:val="en-US"/>
        </w:rPr>
        <w:t xml:space="preserve">rounded to </w:t>
      </w:r>
      <w:r w:rsidR="004E4A77">
        <w:rPr>
          <w:rFonts w:ascii="Arial" w:hAnsi="Arial" w:cs="Arial"/>
          <w:lang w:val="en-US"/>
        </w:rPr>
        <w:t>3 decimals.</w:t>
      </w:r>
      <w:r w:rsidR="0088698B">
        <w:rPr>
          <w:rFonts w:ascii="Arial" w:hAnsi="Arial" w:cs="Arial"/>
          <w:lang w:val="en-US"/>
        </w:rPr>
        <w:t xml:space="preserve"> </w:t>
      </w:r>
      <w:r w:rsidR="00ED59EB">
        <w:rPr>
          <w:rFonts w:ascii="Arial" w:hAnsi="Arial" w:cs="Arial"/>
          <w:lang w:val="en-US"/>
        </w:rPr>
        <w:t xml:space="preserve">All analyses and </w:t>
      </w:r>
      <w:r w:rsidR="00873E98">
        <w:rPr>
          <w:rFonts w:ascii="Arial" w:hAnsi="Arial" w:cs="Arial"/>
          <w:lang w:val="en-US"/>
        </w:rPr>
        <w:t>figures</w:t>
      </w:r>
      <w:r w:rsidR="00ED59EB">
        <w:rPr>
          <w:rFonts w:ascii="Arial" w:hAnsi="Arial" w:cs="Arial"/>
          <w:lang w:val="en-US"/>
        </w:rPr>
        <w:t xml:space="preserve"> were created with </w:t>
      </w:r>
      <w:r w:rsidR="006D0688" w:rsidRPr="006D0688">
        <w:rPr>
          <w:rFonts w:ascii="Arial" w:hAnsi="Arial" w:cs="Arial"/>
          <w:lang w:val="en-US"/>
        </w:rPr>
        <w:t xml:space="preserve">R </w:t>
      </w:r>
      <w:r w:rsidR="00873E98">
        <w:rPr>
          <w:rFonts w:ascii="Arial" w:hAnsi="Arial" w:cs="Arial"/>
          <w:lang w:val="en-US"/>
        </w:rPr>
        <w:t xml:space="preserve">version 4.3.2. </w:t>
      </w:r>
      <w:r w:rsidR="00AD3C49">
        <w:rPr>
          <w:rFonts w:ascii="Arial" w:hAnsi="Arial" w:cs="Arial"/>
          <w:lang w:val="en-US"/>
        </w:rPr>
        <w:t xml:space="preserve">All packages used are listed and referenced in the supplementary material. The </w:t>
      </w:r>
      <w:r w:rsidR="0084232D">
        <w:rPr>
          <w:rFonts w:ascii="Arial" w:hAnsi="Arial" w:cs="Arial"/>
          <w:lang w:val="en-US"/>
        </w:rPr>
        <w:t>dataset</w:t>
      </w:r>
      <w:r w:rsidR="00DC1A9B">
        <w:rPr>
          <w:rFonts w:ascii="Arial" w:hAnsi="Arial" w:cs="Arial"/>
          <w:lang w:val="en-US"/>
        </w:rPr>
        <w:fldChar w:fldCharType="begin" w:fldLock="1"/>
      </w:r>
      <w:r w:rsidR="00AC7695">
        <w:rPr>
          <w:rFonts w:ascii="Arial" w:hAnsi="Arial" w:cs="Arial"/>
          <w:lang w:val="en-US"/>
        </w:rPr>
        <w:instrText>ADDIN CSL_CITATION {"citationItems":[{"id":"ITEM-1","itemData":{"DOI":"https://doi.org/10.7910/DVN/4JZZLB","author":[{"dropping-particle":"","family":"Mancilla-Galindo","given":"Javier","non-dropping-particle":"","parse-names":false,"suffix":""},{"dropping-particle":"","family":"Guerrero-Gutiérrez","given":"Manuel Alberto","non-dropping-particle":"","parse-names":false,"suffix":""}],"id":"ITEM-1","issued":{"date-parts":[["2023"]]},"publisher":"Harvard Dataverse","title":"Replication Data for: Preoperative atelectasis in patients with obesity undergoing bariatric surgery a cross-sectional study","type":"article"},"uris":["http://www.mendeley.com/documents/?uuid=3ce6631a-f344-40e2-8b98-ed09b9966147"]}],"mendeley":{"formattedCitation":"&lt;sup&gt;10&lt;/sup&gt;","plainTextFormattedCitation":"10","previouslyFormattedCitation":"&lt;sup&gt;9&lt;/sup&gt;"},"properties":{"noteIndex":0},"schema":"https://github.com/citation-style-language/schema/raw/master/csl-citation.json"}</w:instrText>
      </w:r>
      <w:r w:rsidR="00DC1A9B">
        <w:rPr>
          <w:rFonts w:ascii="Arial" w:hAnsi="Arial" w:cs="Arial"/>
          <w:lang w:val="en-US"/>
        </w:rPr>
        <w:fldChar w:fldCharType="separate"/>
      </w:r>
      <w:r w:rsidR="00AC7695" w:rsidRPr="00AC7695">
        <w:rPr>
          <w:rFonts w:ascii="Arial" w:hAnsi="Arial" w:cs="Arial"/>
          <w:noProof/>
          <w:vertAlign w:val="superscript"/>
          <w:lang w:val="en-US"/>
        </w:rPr>
        <w:t>10</w:t>
      </w:r>
      <w:r w:rsidR="00DC1A9B">
        <w:rPr>
          <w:rFonts w:ascii="Arial" w:hAnsi="Arial" w:cs="Arial"/>
          <w:lang w:val="en-US"/>
        </w:rPr>
        <w:fldChar w:fldCharType="end"/>
      </w:r>
      <w:r w:rsidR="0084232D">
        <w:rPr>
          <w:rFonts w:ascii="Arial" w:hAnsi="Arial" w:cs="Arial"/>
          <w:lang w:val="en-US"/>
        </w:rPr>
        <w:t xml:space="preserve"> and </w:t>
      </w:r>
      <w:r w:rsidR="00AD3C49">
        <w:rPr>
          <w:rFonts w:ascii="Arial" w:hAnsi="Arial" w:cs="Arial"/>
          <w:lang w:val="en-US"/>
        </w:rPr>
        <w:t xml:space="preserve">code documenting these analyses </w:t>
      </w:r>
      <w:r w:rsidR="003B78ED">
        <w:rPr>
          <w:rFonts w:ascii="Arial" w:hAnsi="Arial" w:cs="Arial"/>
          <w:lang w:val="en-US"/>
        </w:rPr>
        <w:t>are also</w:t>
      </w:r>
      <w:r w:rsidR="002022A9">
        <w:rPr>
          <w:rFonts w:ascii="Arial" w:hAnsi="Arial" w:cs="Arial"/>
          <w:lang w:val="en-US"/>
        </w:rPr>
        <w:t xml:space="preserve"> publicly available at</w:t>
      </w:r>
      <w:r w:rsidR="003B78ED">
        <w:rPr>
          <w:rFonts w:ascii="Arial" w:hAnsi="Arial" w:cs="Arial"/>
          <w:lang w:val="en-US"/>
        </w:rPr>
        <w:t>:</w:t>
      </w:r>
      <w:r w:rsidR="00AD3C49">
        <w:rPr>
          <w:rFonts w:ascii="Arial" w:hAnsi="Arial" w:cs="Arial"/>
          <w:lang w:val="en-US"/>
        </w:rPr>
        <w:t xml:space="preserve"> </w:t>
      </w:r>
      <w:hyperlink r:id="rId10" w:history="1">
        <w:r w:rsidR="0088698B" w:rsidRPr="005F0175">
          <w:rPr>
            <w:rStyle w:val="Hipervnculo"/>
            <w:rFonts w:ascii="Arial" w:hAnsi="Arial" w:cs="Arial"/>
            <w:lang w:val="en-US"/>
          </w:rPr>
          <w:t>https://github.com/javimangal/preoperative_atelectasis</w:t>
        </w:r>
      </w:hyperlink>
      <w:r w:rsidR="0088698B">
        <w:rPr>
          <w:rFonts w:ascii="Arial" w:hAnsi="Arial" w:cs="Arial"/>
          <w:lang w:val="en-US"/>
        </w:rPr>
        <w:t xml:space="preserve">. </w:t>
      </w:r>
    </w:p>
    <w:p w14:paraId="096EC694" w14:textId="77777777" w:rsidR="00B5060E" w:rsidRPr="005865D6" w:rsidRDefault="00B5060E" w:rsidP="00B5060E">
      <w:pPr>
        <w:spacing w:line="480" w:lineRule="auto"/>
        <w:jc w:val="both"/>
        <w:rPr>
          <w:rFonts w:ascii="Arial" w:hAnsi="Arial" w:cs="Arial"/>
          <w:b/>
          <w:bCs/>
          <w:lang w:val="en-US"/>
        </w:rPr>
      </w:pPr>
    </w:p>
    <w:p w14:paraId="6BBAC377" w14:textId="1C608691" w:rsidR="005A5B1E" w:rsidRPr="005865D6" w:rsidRDefault="005A5B1E" w:rsidP="005A5B1E">
      <w:pPr>
        <w:spacing w:line="480" w:lineRule="auto"/>
        <w:jc w:val="both"/>
        <w:rPr>
          <w:rFonts w:ascii="Arial" w:hAnsi="Arial" w:cs="Arial"/>
          <w:b/>
          <w:bCs/>
          <w:lang w:val="en-US"/>
        </w:rPr>
      </w:pPr>
      <w:r w:rsidRPr="005865D6">
        <w:rPr>
          <w:rFonts w:ascii="Arial" w:hAnsi="Arial" w:cs="Arial"/>
          <w:b/>
          <w:bCs/>
          <w:lang w:val="en-US"/>
        </w:rPr>
        <w:t xml:space="preserve">RESULTS </w:t>
      </w:r>
    </w:p>
    <w:p w14:paraId="4AFE705D" w14:textId="23E17FCA" w:rsidR="001F3D18" w:rsidRDefault="001F3D18" w:rsidP="005A5B1E">
      <w:pPr>
        <w:spacing w:line="480" w:lineRule="auto"/>
        <w:jc w:val="both"/>
        <w:rPr>
          <w:rFonts w:ascii="Arial" w:hAnsi="Arial" w:cs="Arial"/>
          <w:lang w:val="en-US"/>
        </w:rPr>
      </w:pPr>
      <w:r>
        <w:rPr>
          <w:rFonts w:ascii="Arial" w:hAnsi="Arial" w:cs="Arial"/>
          <w:lang w:val="en-US"/>
        </w:rPr>
        <w:t xml:space="preserve">Out of 281 scheduled surgeries, 35 (12.4%) patients decided not to present to </w:t>
      </w:r>
      <w:r w:rsidR="0003426A">
        <w:rPr>
          <w:rFonts w:ascii="Arial" w:hAnsi="Arial" w:cs="Arial"/>
          <w:lang w:val="en-US"/>
        </w:rPr>
        <w:t>the</w:t>
      </w:r>
      <w:r>
        <w:rPr>
          <w:rFonts w:ascii="Arial" w:hAnsi="Arial" w:cs="Arial"/>
          <w:lang w:val="en-US"/>
        </w:rPr>
        <w:t xml:space="preserve"> hospital, 3 (1.1%) had a positive antigen test, and the remaining 243 (86.5%) underwent chest CT screening. </w:t>
      </w:r>
      <w:r w:rsidR="00274D3B" w:rsidRPr="005865D6">
        <w:rPr>
          <w:rFonts w:ascii="Arial" w:hAnsi="Arial" w:cs="Arial"/>
          <w:lang w:val="en-US"/>
        </w:rPr>
        <w:t>A</w:t>
      </w:r>
      <w:r w:rsidR="00915384" w:rsidRPr="005865D6">
        <w:rPr>
          <w:rFonts w:ascii="Arial" w:hAnsi="Arial" w:cs="Arial"/>
          <w:lang w:val="en-US"/>
        </w:rPr>
        <w:t>fter exclusion of</w:t>
      </w:r>
      <w:r w:rsidR="00EF7C28" w:rsidRPr="005865D6">
        <w:rPr>
          <w:rFonts w:ascii="Arial" w:hAnsi="Arial" w:cs="Arial"/>
          <w:lang w:val="en-US"/>
        </w:rPr>
        <w:t xml:space="preserve"> 7</w:t>
      </w:r>
      <w:r w:rsidR="00915384" w:rsidRPr="005865D6">
        <w:rPr>
          <w:rFonts w:ascii="Arial" w:hAnsi="Arial" w:cs="Arial"/>
          <w:lang w:val="en-US"/>
        </w:rPr>
        <w:t xml:space="preserve"> </w:t>
      </w:r>
      <w:r w:rsidR="00EF7C28" w:rsidRPr="005865D6">
        <w:rPr>
          <w:rFonts w:ascii="Arial" w:hAnsi="Arial" w:cs="Arial"/>
          <w:lang w:val="en-US"/>
        </w:rPr>
        <w:t xml:space="preserve">patients due to </w:t>
      </w:r>
      <w:r w:rsidR="00D72E23" w:rsidRPr="005865D6">
        <w:rPr>
          <w:rFonts w:ascii="Arial" w:hAnsi="Arial" w:cs="Arial"/>
          <w:lang w:val="en-US"/>
        </w:rPr>
        <w:t xml:space="preserve">CO-RADS </w:t>
      </w:r>
      <w:r w:rsidR="0028249B" w:rsidRPr="005865D6">
        <w:rPr>
          <w:rFonts w:ascii="Arial" w:hAnsi="Arial" w:cs="Arial"/>
          <w:lang w:val="en-US"/>
        </w:rPr>
        <w:t>≥3 (n=4) and</w:t>
      </w:r>
      <w:r w:rsidR="00431F40" w:rsidRPr="005865D6">
        <w:rPr>
          <w:rFonts w:ascii="Arial" w:hAnsi="Arial" w:cs="Arial"/>
          <w:lang w:val="en-US"/>
        </w:rPr>
        <w:t xml:space="preserve"> who reported</w:t>
      </w:r>
      <w:r w:rsidR="00F642CE">
        <w:rPr>
          <w:rFonts w:ascii="Arial" w:hAnsi="Arial" w:cs="Arial"/>
          <w:lang w:val="en-US"/>
        </w:rPr>
        <w:t xml:space="preserve"> </w:t>
      </w:r>
      <w:r w:rsidR="00431F40" w:rsidRPr="005865D6">
        <w:rPr>
          <w:rFonts w:ascii="Arial" w:hAnsi="Arial" w:cs="Arial"/>
          <w:lang w:val="en-US"/>
        </w:rPr>
        <w:t>prior COVID-19 (n=3)</w:t>
      </w:r>
      <w:r w:rsidR="00927766" w:rsidRPr="005865D6">
        <w:rPr>
          <w:rFonts w:ascii="Arial" w:hAnsi="Arial" w:cs="Arial"/>
          <w:lang w:val="en-US"/>
        </w:rPr>
        <w:t xml:space="preserve">, </w:t>
      </w:r>
      <w:r w:rsidR="00915384" w:rsidRPr="005865D6">
        <w:rPr>
          <w:rFonts w:ascii="Arial" w:hAnsi="Arial" w:cs="Arial"/>
          <w:lang w:val="en-US"/>
        </w:rPr>
        <w:t>23</w:t>
      </w:r>
      <w:r w:rsidR="007B69AF">
        <w:rPr>
          <w:rFonts w:ascii="Arial" w:hAnsi="Arial" w:cs="Arial"/>
          <w:lang w:val="en-US"/>
        </w:rPr>
        <w:t>6</w:t>
      </w:r>
      <w:r w:rsidR="00915384" w:rsidRPr="005865D6">
        <w:rPr>
          <w:rFonts w:ascii="Arial" w:hAnsi="Arial" w:cs="Arial"/>
          <w:lang w:val="en-US"/>
        </w:rPr>
        <w:t xml:space="preserve"> were included for analysis. </w:t>
      </w:r>
    </w:p>
    <w:p w14:paraId="4107B8C1" w14:textId="4E8D673F" w:rsidR="00423465" w:rsidRDefault="00CC58BD" w:rsidP="005A5B1E">
      <w:pPr>
        <w:spacing w:line="480" w:lineRule="auto"/>
        <w:jc w:val="both"/>
        <w:rPr>
          <w:lang w:val="en-US"/>
        </w:rPr>
      </w:pPr>
      <w:r w:rsidRPr="005865D6">
        <w:rPr>
          <w:rFonts w:ascii="Arial" w:hAnsi="Arial" w:cs="Arial"/>
          <w:lang w:val="en-US"/>
        </w:rPr>
        <w:t xml:space="preserve">All participants were residents of the </w:t>
      </w:r>
      <w:r>
        <w:rPr>
          <w:rFonts w:ascii="Arial" w:hAnsi="Arial" w:cs="Arial"/>
          <w:lang w:val="en-US"/>
        </w:rPr>
        <w:t>USA</w:t>
      </w:r>
      <w:r w:rsidRPr="005865D6">
        <w:rPr>
          <w:rFonts w:ascii="Arial" w:hAnsi="Arial" w:cs="Arial"/>
          <w:lang w:val="en-US"/>
        </w:rPr>
        <w:t xml:space="preserve"> and Canada (</w:t>
      </w:r>
      <w:r w:rsidRPr="005865D6">
        <w:rPr>
          <w:rFonts w:ascii="Arial" w:hAnsi="Arial" w:cs="Arial"/>
          <w:b/>
          <w:bCs/>
          <w:lang w:val="en-US"/>
        </w:rPr>
        <w:t>Supplementary Figure 2</w:t>
      </w:r>
      <w:r w:rsidRPr="005865D6">
        <w:rPr>
          <w:rFonts w:ascii="Arial" w:hAnsi="Arial" w:cs="Arial"/>
          <w:lang w:val="en-US"/>
        </w:rPr>
        <w:t>).</w:t>
      </w:r>
      <w:r>
        <w:rPr>
          <w:rFonts w:ascii="Arial" w:hAnsi="Arial" w:cs="Arial"/>
          <w:lang w:val="en-US"/>
        </w:rPr>
        <w:t xml:space="preserve"> </w:t>
      </w:r>
      <w:r w:rsidR="007550FC" w:rsidRPr="005865D6">
        <w:rPr>
          <w:rFonts w:ascii="Arial" w:hAnsi="Arial" w:cs="Arial"/>
          <w:lang w:val="en-US"/>
        </w:rPr>
        <w:t xml:space="preserve">The mean age </w:t>
      </w:r>
      <w:r w:rsidR="007C1977" w:rsidRPr="005865D6">
        <w:rPr>
          <w:rFonts w:ascii="Arial" w:hAnsi="Arial" w:cs="Arial"/>
          <w:lang w:val="en-US"/>
        </w:rPr>
        <w:t xml:space="preserve">of participants </w:t>
      </w:r>
      <w:r w:rsidR="007550FC" w:rsidRPr="005865D6">
        <w:rPr>
          <w:rFonts w:ascii="Arial" w:hAnsi="Arial" w:cs="Arial"/>
          <w:lang w:val="en-US"/>
        </w:rPr>
        <w:t>was 40.3 (SD: 9.87)</w:t>
      </w:r>
      <w:r w:rsidR="007C1977" w:rsidRPr="005865D6">
        <w:rPr>
          <w:rFonts w:ascii="Arial" w:hAnsi="Arial" w:cs="Arial"/>
          <w:lang w:val="en-US"/>
        </w:rPr>
        <w:t xml:space="preserve"> years and 90.7% were women (n=214)</w:t>
      </w:r>
      <w:r w:rsidR="005A5B1E" w:rsidRPr="005865D6">
        <w:rPr>
          <w:rFonts w:ascii="Arial" w:hAnsi="Arial" w:cs="Arial"/>
          <w:lang w:val="en-US"/>
        </w:rPr>
        <w:t xml:space="preserve">. </w:t>
      </w:r>
      <w:r w:rsidR="004133ED" w:rsidRPr="005865D6">
        <w:rPr>
          <w:rFonts w:ascii="Arial" w:hAnsi="Arial" w:cs="Arial"/>
          <w:lang w:val="en-US"/>
        </w:rPr>
        <w:t xml:space="preserve">Most </w:t>
      </w:r>
      <w:r w:rsidR="004133ED" w:rsidRPr="005865D6">
        <w:rPr>
          <w:rFonts w:ascii="Arial" w:hAnsi="Arial" w:cs="Arial"/>
          <w:lang w:val="en-US"/>
        </w:rPr>
        <w:lastRenderedPageBreak/>
        <w:t xml:space="preserve">patients had a CO-RADS score of 1 (n=230, 97.5%), while the remaining 2.5% (n=6) had CO-RADS 2. Patients with a diagnosis of OSA constituted 7.6% (n=18) of the sample. </w:t>
      </w:r>
      <w:r w:rsidR="007430BB" w:rsidRPr="005865D6">
        <w:rPr>
          <w:rFonts w:ascii="Arial" w:hAnsi="Arial" w:cs="Arial"/>
          <w:lang w:val="en-US"/>
        </w:rPr>
        <w:t>The median BMI was 40.3 (IQR: 34.6</w:t>
      </w:r>
      <w:r w:rsidR="006E5928">
        <w:rPr>
          <w:rFonts w:ascii="Arial" w:hAnsi="Arial" w:cs="Arial"/>
          <w:lang w:val="en-US"/>
        </w:rPr>
        <w:sym w:font="Symbol" w:char="F02D"/>
      </w:r>
      <w:r w:rsidR="007430BB" w:rsidRPr="005865D6">
        <w:rPr>
          <w:rFonts w:ascii="Arial" w:hAnsi="Arial" w:cs="Arial"/>
          <w:lang w:val="en-US"/>
        </w:rPr>
        <w:t>46.0)</w:t>
      </w:r>
      <w:r w:rsidR="004133ED" w:rsidRPr="005865D6">
        <w:rPr>
          <w:rFonts w:ascii="Arial" w:hAnsi="Arial" w:cs="Arial"/>
          <w:lang w:val="en-US"/>
        </w:rPr>
        <w:t xml:space="preserve"> and t</w:t>
      </w:r>
      <w:r w:rsidR="007430BB" w:rsidRPr="005865D6">
        <w:rPr>
          <w:rFonts w:ascii="Arial" w:hAnsi="Arial" w:cs="Arial"/>
          <w:lang w:val="en-US"/>
        </w:rPr>
        <w:t>he distribution was right-skewed (range: 30</w:t>
      </w:r>
      <w:r w:rsidR="006E5928">
        <w:rPr>
          <w:rFonts w:ascii="Arial" w:hAnsi="Arial" w:cs="Arial"/>
          <w:lang w:val="en-US"/>
        </w:rPr>
        <w:sym w:font="Symbol" w:char="F02D"/>
      </w:r>
      <w:r w:rsidR="007430BB" w:rsidRPr="005865D6">
        <w:rPr>
          <w:rFonts w:ascii="Arial" w:hAnsi="Arial" w:cs="Arial"/>
          <w:lang w:val="en-US"/>
        </w:rPr>
        <w:t xml:space="preserve">77.3). Most patients were in the class 3 obesity category (n=121, 51.3%), followed by class 1 (n=62, 26.3%) and 2 (n=53, 22.5%). </w:t>
      </w:r>
      <w:r w:rsidR="00490241" w:rsidRPr="005865D6">
        <w:rPr>
          <w:rFonts w:ascii="Arial" w:hAnsi="Arial" w:cs="Arial"/>
          <w:lang w:val="en-US"/>
        </w:rPr>
        <w:t xml:space="preserve">Characteristics of </w:t>
      </w:r>
      <w:r w:rsidR="00B63FE7">
        <w:rPr>
          <w:rFonts w:ascii="Arial" w:hAnsi="Arial" w:cs="Arial"/>
          <w:lang w:val="en-US"/>
        </w:rPr>
        <w:t xml:space="preserve">the sample </w:t>
      </w:r>
      <w:r w:rsidR="009B7440">
        <w:rPr>
          <w:rFonts w:ascii="Arial" w:hAnsi="Arial" w:cs="Arial"/>
          <w:lang w:val="en-US"/>
        </w:rPr>
        <w:t xml:space="preserve">stratified by </w:t>
      </w:r>
      <w:r w:rsidR="00490241" w:rsidRPr="005865D6">
        <w:rPr>
          <w:rFonts w:ascii="Arial" w:hAnsi="Arial" w:cs="Arial"/>
          <w:lang w:val="en-US"/>
        </w:rPr>
        <w:t xml:space="preserve">obesity class are shown in </w:t>
      </w:r>
      <w:r w:rsidR="00490241" w:rsidRPr="005865D6">
        <w:rPr>
          <w:rFonts w:ascii="Arial" w:hAnsi="Arial" w:cs="Arial"/>
          <w:b/>
          <w:bCs/>
          <w:lang w:val="en-US"/>
        </w:rPr>
        <w:t>Table 1</w:t>
      </w:r>
      <w:r w:rsidR="00490241" w:rsidRPr="005865D6">
        <w:rPr>
          <w:rFonts w:ascii="Arial" w:hAnsi="Arial" w:cs="Arial"/>
          <w:lang w:val="en-US"/>
        </w:rPr>
        <w:t>.</w:t>
      </w:r>
      <w:r w:rsidR="00231711" w:rsidRPr="005865D6">
        <w:rPr>
          <w:lang w:val="en-US"/>
        </w:rPr>
        <w:t xml:space="preserve"> </w:t>
      </w:r>
    </w:p>
    <w:p w14:paraId="00B62F6B" w14:textId="0EDEB645" w:rsidR="00BF3455" w:rsidRDefault="00BF3455" w:rsidP="005A5B1E">
      <w:pPr>
        <w:spacing w:line="480" w:lineRule="auto"/>
        <w:jc w:val="both"/>
        <w:rPr>
          <w:rFonts w:ascii="Arial" w:hAnsi="Arial" w:cs="Arial"/>
          <w:lang w:val="en-US"/>
        </w:rPr>
      </w:pPr>
      <w:r w:rsidRPr="005865D6">
        <w:rPr>
          <w:rFonts w:ascii="Arial" w:hAnsi="Arial" w:cs="Arial"/>
          <w:lang w:val="en-US"/>
        </w:rPr>
        <w:t>Age had a weak negative correlation with BMI (rho=</w:t>
      </w:r>
      <w:r w:rsidR="008B493F" w:rsidRPr="005865D6">
        <w:rPr>
          <w:rFonts w:ascii="Arial" w:hAnsi="Arial" w:cs="Arial"/>
          <w:lang w:val="en-US"/>
        </w:rPr>
        <w:t xml:space="preserve"> </w:t>
      </w:r>
      <w:r w:rsidRPr="005865D6">
        <w:rPr>
          <w:rFonts w:ascii="Arial" w:hAnsi="Arial" w:cs="Arial"/>
          <w:lang w:val="en-US"/>
        </w:rPr>
        <w:t xml:space="preserve">-0.155, p=0.017). </w:t>
      </w:r>
      <w:r w:rsidR="001E0336" w:rsidRPr="005865D6">
        <w:rPr>
          <w:rFonts w:ascii="Arial" w:hAnsi="Arial" w:cs="Arial"/>
          <w:lang w:val="en-US"/>
        </w:rPr>
        <w:t xml:space="preserve">The median BMI was not </w:t>
      </w:r>
      <w:r w:rsidR="002D574C">
        <w:rPr>
          <w:rFonts w:ascii="Arial" w:hAnsi="Arial" w:cs="Arial"/>
          <w:lang w:val="en-US"/>
        </w:rPr>
        <w:t xml:space="preserve">significantly </w:t>
      </w:r>
      <w:r w:rsidR="001E0336" w:rsidRPr="005865D6">
        <w:rPr>
          <w:rFonts w:ascii="Arial" w:hAnsi="Arial" w:cs="Arial"/>
          <w:lang w:val="en-US"/>
        </w:rPr>
        <w:t>different between men (43, IQR:</w:t>
      </w:r>
      <w:r w:rsidR="006F2490">
        <w:rPr>
          <w:rFonts w:ascii="Arial" w:hAnsi="Arial" w:cs="Arial"/>
          <w:lang w:val="en-US"/>
        </w:rPr>
        <w:t xml:space="preserve"> </w:t>
      </w:r>
      <w:r w:rsidR="001E0336" w:rsidRPr="005865D6">
        <w:rPr>
          <w:rFonts w:ascii="Arial" w:hAnsi="Arial" w:cs="Arial"/>
          <w:lang w:val="en-US"/>
        </w:rPr>
        <w:t>37.9</w:t>
      </w:r>
      <w:r w:rsidR="006E5928">
        <w:rPr>
          <w:rFonts w:ascii="Arial" w:hAnsi="Arial" w:cs="Arial"/>
          <w:lang w:val="en-US"/>
        </w:rPr>
        <w:sym w:font="Symbol" w:char="F02D"/>
      </w:r>
      <w:r w:rsidR="001E0336" w:rsidRPr="005865D6">
        <w:rPr>
          <w:rFonts w:ascii="Arial" w:hAnsi="Arial" w:cs="Arial"/>
          <w:lang w:val="en-US"/>
        </w:rPr>
        <w:t>46.2) and women (39.9, IQR: 34.5</w:t>
      </w:r>
      <w:r w:rsidR="006E5928">
        <w:rPr>
          <w:rFonts w:ascii="Arial" w:hAnsi="Arial" w:cs="Arial"/>
          <w:lang w:val="en-US"/>
        </w:rPr>
        <w:sym w:font="Symbol" w:char="F02D"/>
      </w:r>
      <w:r w:rsidR="001E0336" w:rsidRPr="005865D6">
        <w:rPr>
          <w:rFonts w:ascii="Arial" w:hAnsi="Arial" w:cs="Arial"/>
          <w:lang w:val="en-US"/>
        </w:rPr>
        <w:t xml:space="preserve">45.5) (p=0.154). The median BMI was significantly higher in participants with </w:t>
      </w:r>
      <w:r w:rsidR="001162FB">
        <w:rPr>
          <w:rFonts w:ascii="Arial" w:hAnsi="Arial" w:cs="Arial"/>
          <w:lang w:val="en-US"/>
        </w:rPr>
        <w:t>OSA</w:t>
      </w:r>
      <w:r w:rsidR="001E0336" w:rsidRPr="005865D6">
        <w:rPr>
          <w:rFonts w:ascii="Arial" w:hAnsi="Arial" w:cs="Arial"/>
          <w:lang w:val="en-US"/>
        </w:rPr>
        <w:t xml:space="preserve"> (44, IQR: 40.1</w:t>
      </w:r>
      <w:r w:rsidR="006E5928">
        <w:rPr>
          <w:rFonts w:ascii="Arial" w:hAnsi="Arial" w:cs="Arial"/>
          <w:lang w:val="en-US"/>
        </w:rPr>
        <w:sym w:font="Symbol" w:char="F02D"/>
      </w:r>
      <w:r w:rsidR="001E0336" w:rsidRPr="005865D6">
        <w:rPr>
          <w:rFonts w:ascii="Arial" w:hAnsi="Arial" w:cs="Arial"/>
          <w:lang w:val="en-US"/>
        </w:rPr>
        <w:t xml:space="preserve">49.2) </w:t>
      </w:r>
      <w:r w:rsidR="006F2490">
        <w:rPr>
          <w:rFonts w:ascii="Arial" w:hAnsi="Arial" w:cs="Arial"/>
          <w:lang w:val="en-US"/>
        </w:rPr>
        <w:t>than</w:t>
      </w:r>
      <w:r w:rsidR="001E0336" w:rsidRPr="005865D6">
        <w:rPr>
          <w:rFonts w:ascii="Arial" w:hAnsi="Arial" w:cs="Arial"/>
          <w:lang w:val="en-US"/>
        </w:rPr>
        <w:t xml:space="preserve"> those without (39.8, IQR: 34.5</w:t>
      </w:r>
      <w:r w:rsidR="006E5928">
        <w:rPr>
          <w:rFonts w:ascii="Arial" w:hAnsi="Arial" w:cs="Arial"/>
          <w:lang w:val="en-US"/>
        </w:rPr>
        <w:sym w:font="Symbol" w:char="F02D"/>
      </w:r>
      <w:r w:rsidR="001E0336" w:rsidRPr="005865D6">
        <w:rPr>
          <w:rFonts w:ascii="Arial" w:hAnsi="Arial" w:cs="Arial"/>
          <w:lang w:val="en-US"/>
        </w:rPr>
        <w:t xml:space="preserve">45.1) (p=0.014). </w:t>
      </w:r>
      <w:r w:rsidR="00474639" w:rsidRPr="005865D6">
        <w:rPr>
          <w:rFonts w:ascii="Arial" w:hAnsi="Arial" w:cs="Arial"/>
          <w:lang w:val="en-US"/>
        </w:rPr>
        <w:t>OSA</w:t>
      </w:r>
      <w:r w:rsidR="00474639">
        <w:rPr>
          <w:rFonts w:ascii="Arial" w:hAnsi="Arial" w:cs="Arial"/>
          <w:lang w:val="en-US"/>
        </w:rPr>
        <w:t xml:space="preserve"> was more frequent among men than women</w:t>
      </w:r>
      <w:r w:rsidR="00474639" w:rsidRPr="005865D6">
        <w:rPr>
          <w:rFonts w:ascii="Arial" w:hAnsi="Arial" w:cs="Arial"/>
          <w:lang w:val="en-US"/>
        </w:rPr>
        <w:t xml:space="preserve"> (p&lt;0.001).</w:t>
      </w:r>
      <w:r w:rsidR="00474639">
        <w:rPr>
          <w:rFonts w:ascii="Arial" w:hAnsi="Arial" w:cs="Arial"/>
          <w:lang w:val="en-US"/>
        </w:rPr>
        <w:t xml:space="preserve"> </w:t>
      </w:r>
    </w:p>
    <w:p w14:paraId="4AC26F54" w14:textId="43AA77A7" w:rsidR="00113E60" w:rsidRPr="00113E60" w:rsidRDefault="00113E60" w:rsidP="005A5B1E">
      <w:pPr>
        <w:spacing w:line="480" w:lineRule="auto"/>
        <w:jc w:val="both"/>
        <w:rPr>
          <w:rFonts w:ascii="Arial" w:hAnsi="Arial" w:cs="Arial"/>
          <w:b/>
          <w:bCs/>
          <w:i/>
          <w:iCs/>
          <w:lang w:val="en-US"/>
        </w:rPr>
      </w:pPr>
      <w:r w:rsidRPr="00113E60">
        <w:rPr>
          <w:rFonts w:ascii="Arial" w:hAnsi="Arial" w:cs="Arial"/>
          <w:b/>
          <w:bCs/>
          <w:i/>
          <w:iCs/>
          <w:lang w:val="en-US"/>
        </w:rPr>
        <w:t>Preoperative atelectasis</w:t>
      </w:r>
    </w:p>
    <w:p w14:paraId="52B8F692" w14:textId="03731684" w:rsidR="0010234E" w:rsidRPr="005865D6" w:rsidRDefault="0010234E" w:rsidP="005A5B1E">
      <w:pPr>
        <w:spacing w:line="480" w:lineRule="auto"/>
        <w:jc w:val="both"/>
        <w:rPr>
          <w:rFonts w:ascii="Arial" w:hAnsi="Arial" w:cs="Arial"/>
          <w:lang w:val="en-US"/>
        </w:rPr>
      </w:pPr>
      <w:r w:rsidRPr="005865D6">
        <w:rPr>
          <w:rFonts w:ascii="Arial" w:hAnsi="Arial" w:cs="Arial"/>
          <w:lang w:val="en-US"/>
        </w:rPr>
        <w:t xml:space="preserve">The </w:t>
      </w:r>
      <w:r w:rsidR="001A28DF">
        <w:rPr>
          <w:rFonts w:ascii="Arial" w:hAnsi="Arial" w:cs="Arial"/>
          <w:lang w:val="en-US"/>
        </w:rPr>
        <w:t xml:space="preserve">overall </w:t>
      </w:r>
      <w:r w:rsidRPr="005865D6">
        <w:rPr>
          <w:rFonts w:ascii="Arial" w:hAnsi="Arial" w:cs="Arial"/>
          <w:lang w:val="en-US"/>
        </w:rPr>
        <w:t>prevalence of preoperative atelectasis was 32.63% (95%CI: 26.97</w:t>
      </w:r>
      <w:r w:rsidR="00B504A9">
        <w:rPr>
          <w:rFonts w:ascii="Arial" w:hAnsi="Arial" w:cs="Arial"/>
          <w:lang w:val="en-US"/>
        </w:rPr>
        <w:sym w:font="Symbol" w:char="F02D"/>
      </w:r>
      <w:r w:rsidRPr="005865D6">
        <w:rPr>
          <w:rFonts w:ascii="Arial" w:hAnsi="Arial" w:cs="Arial"/>
          <w:lang w:val="en-US"/>
        </w:rPr>
        <w:t>38.85)</w:t>
      </w:r>
      <w:r w:rsidR="001A28DF">
        <w:rPr>
          <w:rFonts w:ascii="Arial" w:hAnsi="Arial" w:cs="Arial"/>
          <w:lang w:val="en-US"/>
        </w:rPr>
        <w:t xml:space="preserve">, being </w:t>
      </w:r>
      <w:r w:rsidR="008D4088" w:rsidRPr="005865D6">
        <w:rPr>
          <w:rFonts w:ascii="Arial" w:hAnsi="Arial" w:cs="Arial"/>
          <w:lang w:val="en-US"/>
        </w:rPr>
        <w:t>greater in higher obesity classes</w:t>
      </w:r>
      <w:r w:rsidR="006B5769">
        <w:rPr>
          <w:rFonts w:ascii="Arial" w:hAnsi="Arial" w:cs="Arial"/>
          <w:lang w:val="en-US"/>
        </w:rPr>
        <w:t xml:space="preserve"> </w:t>
      </w:r>
      <w:r w:rsidR="006B5769" w:rsidRPr="005865D6">
        <w:rPr>
          <w:rFonts w:ascii="Arial" w:hAnsi="Arial" w:cs="Arial"/>
          <w:lang w:val="en-US"/>
        </w:rPr>
        <w:t>(p&lt;0.001)</w:t>
      </w:r>
      <w:r w:rsidR="008D4088" w:rsidRPr="005865D6">
        <w:rPr>
          <w:rFonts w:ascii="Arial" w:hAnsi="Arial" w:cs="Arial"/>
          <w:lang w:val="en-US"/>
        </w:rPr>
        <w:t>: class 1</w:t>
      </w:r>
      <w:r w:rsidR="00B55DE2">
        <w:rPr>
          <w:rFonts w:ascii="Arial" w:hAnsi="Arial" w:cs="Arial"/>
          <w:lang w:val="en-US"/>
        </w:rPr>
        <w:t xml:space="preserve"> (</w:t>
      </w:r>
      <w:r w:rsidR="008D4088" w:rsidRPr="005865D6">
        <w:rPr>
          <w:rFonts w:ascii="Arial" w:hAnsi="Arial" w:cs="Arial"/>
          <w:lang w:val="en-US"/>
        </w:rPr>
        <w:t>n=8</w:t>
      </w:r>
      <w:r w:rsidR="00050E79">
        <w:rPr>
          <w:rFonts w:ascii="Arial" w:hAnsi="Arial" w:cs="Arial"/>
          <w:lang w:val="en-US"/>
        </w:rPr>
        <w:t>/62</w:t>
      </w:r>
      <w:r w:rsidR="00B55DE2">
        <w:rPr>
          <w:rFonts w:ascii="Arial" w:hAnsi="Arial" w:cs="Arial"/>
          <w:lang w:val="en-US"/>
        </w:rPr>
        <w:t>)</w:t>
      </w:r>
      <w:r w:rsidR="00EB4857">
        <w:rPr>
          <w:rFonts w:ascii="Arial" w:hAnsi="Arial" w:cs="Arial"/>
          <w:lang w:val="en-US"/>
        </w:rPr>
        <w:t xml:space="preserve">, </w:t>
      </w:r>
      <w:r w:rsidR="008D4088" w:rsidRPr="005865D6">
        <w:rPr>
          <w:rFonts w:ascii="Arial" w:hAnsi="Arial" w:cs="Arial"/>
          <w:lang w:val="en-US"/>
        </w:rPr>
        <w:t>12.9%</w:t>
      </w:r>
      <w:r w:rsidR="00EB4857">
        <w:rPr>
          <w:rFonts w:ascii="Arial" w:hAnsi="Arial" w:cs="Arial"/>
          <w:lang w:val="en-US"/>
        </w:rPr>
        <w:t xml:space="preserve"> (</w:t>
      </w:r>
      <w:r w:rsidR="008D4088" w:rsidRPr="005865D6">
        <w:rPr>
          <w:rFonts w:ascii="Arial" w:hAnsi="Arial" w:cs="Arial"/>
          <w:lang w:val="en-US"/>
        </w:rPr>
        <w:t>95%CI: 6.13</w:t>
      </w:r>
      <w:r w:rsidR="00B504A9">
        <w:rPr>
          <w:rFonts w:ascii="Arial" w:hAnsi="Arial" w:cs="Arial"/>
          <w:lang w:val="en-US"/>
        </w:rPr>
        <w:sym w:font="Symbol" w:char="F02D"/>
      </w:r>
      <w:r w:rsidR="008D4088" w:rsidRPr="005865D6">
        <w:rPr>
          <w:rFonts w:ascii="Arial" w:hAnsi="Arial" w:cs="Arial"/>
          <w:lang w:val="en-US"/>
        </w:rPr>
        <w:t>24.4); class 2</w:t>
      </w:r>
      <w:r w:rsidR="00EB4857">
        <w:rPr>
          <w:rFonts w:ascii="Arial" w:hAnsi="Arial" w:cs="Arial"/>
          <w:lang w:val="en-US"/>
        </w:rPr>
        <w:t xml:space="preserve"> (</w:t>
      </w:r>
      <w:r w:rsidR="008D4088" w:rsidRPr="005865D6">
        <w:rPr>
          <w:rFonts w:ascii="Arial" w:hAnsi="Arial" w:cs="Arial"/>
          <w:lang w:val="en-US"/>
        </w:rPr>
        <w:t>n=15</w:t>
      </w:r>
      <w:r w:rsidR="00050E79">
        <w:rPr>
          <w:rFonts w:ascii="Arial" w:hAnsi="Arial" w:cs="Arial"/>
          <w:lang w:val="en-US"/>
        </w:rPr>
        <w:t>/</w:t>
      </w:r>
      <w:r w:rsidR="00050E79" w:rsidRPr="005865D6">
        <w:rPr>
          <w:rFonts w:ascii="Arial" w:hAnsi="Arial" w:cs="Arial"/>
          <w:lang w:val="en-US"/>
        </w:rPr>
        <w:t>53</w:t>
      </w:r>
      <w:r w:rsidR="00EB4857">
        <w:rPr>
          <w:rFonts w:ascii="Arial" w:hAnsi="Arial" w:cs="Arial"/>
          <w:lang w:val="en-US"/>
        </w:rPr>
        <w:t xml:space="preserve">), </w:t>
      </w:r>
      <w:r w:rsidR="008D4088" w:rsidRPr="005865D6">
        <w:rPr>
          <w:rFonts w:ascii="Arial" w:hAnsi="Arial" w:cs="Arial"/>
          <w:lang w:val="en-US"/>
        </w:rPr>
        <w:t>28.3%</w:t>
      </w:r>
      <w:r w:rsidR="00EB4857">
        <w:rPr>
          <w:rFonts w:ascii="Arial" w:hAnsi="Arial" w:cs="Arial"/>
          <w:lang w:val="en-US"/>
        </w:rPr>
        <w:t xml:space="preserve"> (</w:t>
      </w:r>
      <w:r w:rsidR="008D4088" w:rsidRPr="005865D6">
        <w:rPr>
          <w:rFonts w:ascii="Arial" w:hAnsi="Arial" w:cs="Arial"/>
          <w:lang w:val="en-US"/>
        </w:rPr>
        <w:t>95%CI: 17.2</w:t>
      </w:r>
      <w:r w:rsidR="00B504A9">
        <w:rPr>
          <w:rFonts w:ascii="Arial" w:hAnsi="Arial" w:cs="Arial"/>
          <w:lang w:val="en-US"/>
        </w:rPr>
        <w:sym w:font="Symbol" w:char="F02D"/>
      </w:r>
      <w:r w:rsidR="008D4088" w:rsidRPr="005865D6">
        <w:rPr>
          <w:rFonts w:ascii="Arial" w:hAnsi="Arial" w:cs="Arial"/>
          <w:lang w:val="en-US"/>
        </w:rPr>
        <w:t xml:space="preserve">42.56); and class 3 </w:t>
      </w:r>
      <w:r w:rsidR="003963D6">
        <w:rPr>
          <w:rFonts w:ascii="Arial" w:hAnsi="Arial" w:cs="Arial"/>
          <w:lang w:val="en-US"/>
        </w:rPr>
        <w:t>(</w:t>
      </w:r>
      <w:r w:rsidR="008D4088" w:rsidRPr="005865D6">
        <w:rPr>
          <w:rFonts w:ascii="Arial" w:hAnsi="Arial" w:cs="Arial"/>
          <w:lang w:val="en-US"/>
        </w:rPr>
        <w:t>n=54</w:t>
      </w:r>
      <w:r w:rsidR="00050E79">
        <w:rPr>
          <w:rFonts w:ascii="Arial" w:hAnsi="Arial" w:cs="Arial"/>
          <w:lang w:val="en-US"/>
        </w:rPr>
        <w:t>/121</w:t>
      </w:r>
      <w:r w:rsidR="003963D6">
        <w:rPr>
          <w:rFonts w:ascii="Arial" w:hAnsi="Arial" w:cs="Arial"/>
          <w:lang w:val="en-US"/>
        </w:rPr>
        <w:t xml:space="preserve">), </w:t>
      </w:r>
      <w:r w:rsidR="008D4088" w:rsidRPr="005865D6">
        <w:rPr>
          <w:rFonts w:ascii="Arial" w:hAnsi="Arial" w:cs="Arial"/>
          <w:lang w:val="en-US"/>
        </w:rPr>
        <w:t xml:space="preserve">44.63% </w:t>
      </w:r>
      <w:r w:rsidR="003963D6">
        <w:rPr>
          <w:rFonts w:ascii="Arial" w:hAnsi="Arial" w:cs="Arial"/>
          <w:lang w:val="en-US"/>
        </w:rPr>
        <w:t>(</w:t>
      </w:r>
      <w:r w:rsidR="008D4088" w:rsidRPr="005865D6">
        <w:rPr>
          <w:rFonts w:ascii="Arial" w:hAnsi="Arial" w:cs="Arial"/>
          <w:lang w:val="en-US"/>
        </w:rPr>
        <w:t>95%CI: 35.68</w:t>
      </w:r>
      <w:r w:rsidR="00B504A9">
        <w:rPr>
          <w:rFonts w:ascii="Arial" w:hAnsi="Arial" w:cs="Arial"/>
          <w:lang w:val="en-US"/>
        </w:rPr>
        <w:sym w:font="Symbol" w:char="F02D"/>
      </w:r>
      <w:r w:rsidR="008D4088" w:rsidRPr="005865D6">
        <w:rPr>
          <w:rFonts w:ascii="Arial" w:hAnsi="Arial" w:cs="Arial"/>
          <w:lang w:val="en-US"/>
        </w:rPr>
        <w:t xml:space="preserve">53.92). </w:t>
      </w:r>
      <w:r w:rsidR="00B72EEB" w:rsidRPr="005865D6">
        <w:rPr>
          <w:rFonts w:ascii="Arial" w:hAnsi="Arial" w:cs="Arial"/>
          <w:lang w:val="en-US"/>
        </w:rPr>
        <w:t xml:space="preserve">Of those who had atelectasis, the most frequent presentation was unilateral n=53 </w:t>
      </w:r>
      <w:r w:rsidR="0017727B" w:rsidRPr="005865D6">
        <w:rPr>
          <w:rFonts w:ascii="Arial" w:hAnsi="Arial" w:cs="Arial"/>
          <w:lang w:val="en-US"/>
        </w:rPr>
        <w:t>(68.83</w:t>
      </w:r>
      <w:r w:rsidR="00B72EEB" w:rsidRPr="005865D6">
        <w:rPr>
          <w:rFonts w:ascii="Arial" w:hAnsi="Arial" w:cs="Arial"/>
          <w:lang w:val="en-US"/>
        </w:rPr>
        <w:t xml:space="preserve">%), compared to bilateral n=24 (31.17%). When examining </w:t>
      </w:r>
      <w:r w:rsidR="00B61E2E">
        <w:rPr>
          <w:rFonts w:ascii="Arial" w:hAnsi="Arial" w:cs="Arial"/>
          <w:lang w:val="en-US"/>
        </w:rPr>
        <w:t xml:space="preserve">this </w:t>
      </w:r>
      <w:r w:rsidR="00B72EEB" w:rsidRPr="005865D6">
        <w:rPr>
          <w:rFonts w:ascii="Arial" w:hAnsi="Arial" w:cs="Arial"/>
          <w:lang w:val="en-US"/>
        </w:rPr>
        <w:t xml:space="preserve">by obesity class, </w:t>
      </w:r>
      <w:r w:rsidR="00B61E2E">
        <w:rPr>
          <w:rFonts w:ascii="Arial" w:hAnsi="Arial" w:cs="Arial"/>
          <w:lang w:val="en-US"/>
        </w:rPr>
        <w:t xml:space="preserve">laterality </w:t>
      </w:r>
      <w:r w:rsidR="00B72EEB" w:rsidRPr="005865D6">
        <w:rPr>
          <w:rFonts w:ascii="Arial" w:hAnsi="Arial" w:cs="Arial"/>
          <w:lang w:val="en-US"/>
        </w:rPr>
        <w:t>was not significantly different for those with class 1, 2, and 3 obesity categories</w:t>
      </w:r>
      <w:r w:rsidR="00824015">
        <w:rPr>
          <w:rFonts w:ascii="Arial" w:hAnsi="Arial" w:cs="Arial"/>
          <w:lang w:val="en-US"/>
        </w:rPr>
        <w:t xml:space="preserve">: </w:t>
      </w:r>
      <w:r w:rsidR="00B72EEB" w:rsidRPr="005865D6">
        <w:rPr>
          <w:rFonts w:ascii="Arial" w:hAnsi="Arial" w:cs="Arial"/>
          <w:lang w:val="en-US"/>
        </w:rPr>
        <w:t>n=7 (87.5%), n=10 (66.67%), and n=36 (66.67%), respectively</w:t>
      </w:r>
      <w:r w:rsidR="00C3154C">
        <w:rPr>
          <w:rFonts w:ascii="Arial" w:hAnsi="Arial" w:cs="Arial"/>
          <w:lang w:val="en-US"/>
        </w:rPr>
        <w:t xml:space="preserve"> </w:t>
      </w:r>
      <w:r w:rsidR="00C3154C" w:rsidRPr="005865D6">
        <w:rPr>
          <w:rFonts w:ascii="Arial" w:hAnsi="Arial" w:cs="Arial"/>
          <w:lang w:val="en-US"/>
        </w:rPr>
        <w:t>(p=0.484)</w:t>
      </w:r>
      <w:r w:rsidR="00824015">
        <w:rPr>
          <w:rFonts w:ascii="Arial" w:hAnsi="Arial" w:cs="Arial"/>
          <w:lang w:val="en-US"/>
        </w:rPr>
        <w:t>.</w:t>
      </w:r>
      <w:r w:rsidR="00B72EEB" w:rsidRPr="005865D6">
        <w:rPr>
          <w:rFonts w:ascii="Arial" w:hAnsi="Arial" w:cs="Arial"/>
          <w:lang w:val="en-US"/>
        </w:rPr>
        <w:t xml:space="preserve"> </w:t>
      </w:r>
      <w:r w:rsidR="00AA079E">
        <w:rPr>
          <w:rFonts w:ascii="Arial" w:hAnsi="Arial" w:cs="Arial"/>
          <w:lang w:val="en-US"/>
        </w:rPr>
        <w:t>Atelectasis percentage showed a non</w:t>
      </w:r>
      <w:r w:rsidR="002F0C1D">
        <w:rPr>
          <w:rFonts w:ascii="Arial" w:hAnsi="Arial" w:cs="Arial"/>
          <w:lang w:val="en-US"/>
        </w:rPr>
        <w:t>-monotonic</w:t>
      </w:r>
      <w:r w:rsidR="005D70A6">
        <w:rPr>
          <w:rFonts w:ascii="Arial" w:hAnsi="Arial" w:cs="Arial"/>
          <w:lang w:val="en-US"/>
        </w:rPr>
        <w:t xml:space="preserve"> non-linear relationship with BMI</w:t>
      </w:r>
      <w:r w:rsidR="00AC7DF5">
        <w:rPr>
          <w:rFonts w:ascii="Arial" w:hAnsi="Arial" w:cs="Arial"/>
          <w:lang w:val="en-US"/>
        </w:rPr>
        <w:t xml:space="preserve"> (</w:t>
      </w:r>
      <w:r w:rsidR="00AC7DF5" w:rsidRPr="002F0C1D">
        <w:rPr>
          <w:rFonts w:ascii="Arial" w:hAnsi="Arial" w:cs="Arial"/>
          <w:b/>
          <w:bCs/>
          <w:lang w:val="en-US"/>
        </w:rPr>
        <w:t>Figure 1A</w:t>
      </w:r>
      <w:r w:rsidR="00AC7DF5">
        <w:rPr>
          <w:rFonts w:ascii="Arial" w:hAnsi="Arial" w:cs="Arial"/>
          <w:lang w:val="en-US"/>
        </w:rPr>
        <w:t>)</w:t>
      </w:r>
      <w:r w:rsidR="005D70A6">
        <w:rPr>
          <w:rFonts w:ascii="Arial" w:hAnsi="Arial" w:cs="Arial"/>
          <w:lang w:val="en-US"/>
        </w:rPr>
        <w:t>. A marked</w:t>
      </w:r>
      <w:r w:rsidR="002F0C1D">
        <w:rPr>
          <w:rFonts w:ascii="Arial" w:hAnsi="Arial" w:cs="Arial"/>
          <w:lang w:val="en-US"/>
        </w:rPr>
        <w:t xml:space="preserve"> increase</w:t>
      </w:r>
      <w:r w:rsidR="005D70A6">
        <w:rPr>
          <w:rFonts w:ascii="Arial" w:hAnsi="Arial" w:cs="Arial"/>
          <w:lang w:val="en-US"/>
        </w:rPr>
        <w:t xml:space="preserve"> in atelectasis percentage occurred at </w:t>
      </w:r>
      <w:r w:rsidR="00AC7DF5">
        <w:rPr>
          <w:rFonts w:ascii="Arial" w:hAnsi="Arial" w:cs="Arial"/>
          <w:lang w:val="en-US"/>
        </w:rPr>
        <w:t>BMI</w:t>
      </w:r>
      <w:r w:rsidR="002F0C1D">
        <w:rPr>
          <w:rFonts w:ascii="Arial" w:hAnsi="Arial" w:cs="Arial"/>
          <w:lang w:val="en-US"/>
        </w:rPr>
        <w:t xml:space="preserve"> higher </w:t>
      </w:r>
      <w:r w:rsidR="00AC7DF5">
        <w:rPr>
          <w:rFonts w:ascii="Arial" w:hAnsi="Arial" w:cs="Arial"/>
          <w:lang w:val="en-US"/>
        </w:rPr>
        <w:t xml:space="preserve">than </w:t>
      </w:r>
      <w:r w:rsidR="0065698C">
        <w:rPr>
          <w:rFonts w:ascii="Arial" w:hAnsi="Arial" w:cs="Arial"/>
          <w:lang w:val="en-US"/>
        </w:rPr>
        <w:t>~42</w:t>
      </w:r>
      <w:r w:rsidR="0065698C" w:rsidRPr="0065698C">
        <w:rPr>
          <w:rFonts w:ascii="Arial" w:hAnsi="Arial" w:cs="Arial"/>
          <w:lang w:val="en-US"/>
        </w:rPr>
        <w:t xml:space="preserve"> </w:t>
      </w:r>
      <w:r w:rsidR="0065698C">
        <w:rPr>
          <w:rFonts w:ascii="Arial" w:hAnsi="Arial" w:cs="Arial"/>
          <w:lang w:val="en-US"/>
        </w:rPr>
        <w:t>kg/m</w:t>
      </w:r>
      <w:r w:rsidR="0065698C" w:rsidRPr="008E319F">
        <w:rPr>
          <w:rFonts w:ascii="Arial" w:hAnsi="Arial" w:cs="Arial"/>
          <w:vertAlign w:val="superscript"/>
          <w:lang w:val="en-US"/>
        </w:rPr>
        <w:t>2</w:t>
      </w:r>
      <w:r w:rsidR="002F0C1D">
        <w:rPr>
          <w:rFonts w:ascii="Arial" w:hAnsi="Arial" w:cs="Arial"/>
          <w:lang w:val="en-US"/>
        </w:rPr>
        <w:t xml:space="preserve">. </w:t>
      </w:r>
      <w:r w:rsidR="00EE5F0A" w:rsidRPr="00EE5F0A">
        <w:rPr>
          <w:rFonts w:ascii="Arial" w:hAnsi="Arial" w:cs="Arial"/>
          <w:lang w:val="en-US"/>
        </w:rPr>
        <w:t xml:space="preserve">The mean atelectasis percentage coverage in the sample was 2.66% (95%CI:2.08-3.26) and according to </w:t>
      </w:r>
      <w:r w:rsidR="00060ADA">
        <w:rPr>
          <w:rFonts w:ascii="Arial" w:hAnsi="Arial" w:cs="Arial"/>
          <w:lang w:val="en-US"/>
        </w:rPr>
        <w:t>WHO</w:t>
      </w:r>
      <w:r w:rsidR="00EE5F0A" w:rsidRPr="00EE5F0A">
        <w:rPr>
          <w:rFonts w:ascii="Arial" w:hAnsi="Arial" w:cs="Arial"/>
          <w:lang w:val="en-US"/>
        </w:rPr>
        <w:t xml:space="preserve"> categories: class 1 (0.92%, 95%CI:0.36-1.77), class 2 (1.55%, 95%CI:0.8-2.45), and class 3 (4.02%, 95%CI:3.06-5.04).</w:t>
      </w:r>
      <w:r w:rsidR="00F00216" w:rsidRPr="005865D6">
        <w:rPr>
          <w:rFonts w:ascii="Arial" w:hAnsi="Arial" w:cs="Arial"/>
          <w:lang w:val="en-US"/>
        </w:rPr>
        <w:t xml:space="preserve"> </w:t>
      </w:r>
      <w:r w:rsidR="004F2115">
        <w:rPr>
          <w:rFonts w:ascii="Arial" w:hAnsi="Arial" w:cs="Arial"/>
          <w:lang w:val="en-US"/>
        </w:rPr>
        <w:t xml:space="preserve">Within class 3 subgroups, the </w:t>
      </w:r>
      <w:r w:rsidR="004F2115">
        <w:rPr>
          <w:rFonts w:ascii="Arial" w:hAnsi="Arial" w:cs="Arial"/>
          <w:lang w:val="en-US"/>
        </w:rPr>
        <w:lastRenderedPageBreak/>
        <w:t xml:space="preserve">mean atelectasis percentage was </w:t>
      </w:r>
      <w:r w:rsidR="007F7549" w:rsidRPr="007F7549">
        <w:rPr>
          <w:rFonts w:ascii="Arial" w:hAnsi="Arial" w:cs="Arial"/>
          <w:lang w:val="en-US"/>
        </w:rPr>
        <w:t>0.7%</w:t>
      </w:r>
      <w:r w:rsidR="000D3ACF">
        <w:rPr>
          <w:rFonts w:ascii="Arial" w:hAnsi="Arial" w:cs="Arial"/>
          <w:lang w:val="en-US"/>
        </w:rPr>
        <w:t xml:space="preserve"> (</w:t>
      </w:r>
      <w:r w:rsidR="007F7549" w:rsidRPr="007F7549">
        <w:rPr>
          <w:rFonts w:ascii="Arial" w:hAnsi="Arial" w:cs="Arial"/>
          <w:lang w:val="en-US"/>
        </w:rPr>
        <w:t>95%CI:0.22-1.27)</w:t>
      </w:r>
      <w:r w:rsidR="007F7549">
        <w:rPr>
          <w:rFonts w:ascii="Arial" w:hAnsi="Arial" w:cs="Arial"/>
          <w:lang w:val="en-US"/>
        </w:rPr>
        <w:t xml:space="preserve"> in the</w:t>
      </w:r>
      <w:r w:rsidR="000D3ACF">
        <w:rPr>
          <w:rFonts w:ascii="Arial" w:hAnsi="Arial" w:cs="Arial"/>
          <w:lang w:val="en-US"/>
        </w:rPr>
        <w:t xml:space="preserve"> </w:t>
      </w:r>
      <w:r w:rsidR="000D3ACF" w:rsidRPr="00ED460D">
        <w:rPr>
          <w:rFonts w:ascii="Arial" w:hAnsi="Arial" w:cs="Arial"/>
          <w:lang w:val="en-US"/>
        </w:rPr>
        <w:t>40</w:t>
      </w:r>
      <w:r w:rsidR="000D3ACF">
        <w:rPr>
          <w:rFonts w:ascii="Arial" w:hAnsi="Arial" w:cs="Arial"/>
          <w:lang w:val="en-US"/>
        </w:rPr>
        <w:sym w:font="Symbol" w:char="F02D"/>
      </w:r>
      <w:r w:rsidR="000D3ACF" w:rsidRPr="00ED460D">
        <w:rPr>
          <w:rFonts w:ascii="Arial" w:hAnsi="Arial" w:cs="Arial"/>
          <w:lang w:val="en-US"/>
        </w:rPr>
        <w:t>45</w:t>
      </w:r>
      <w:r w:rsidR="000D3ACF">
        <w:rPr>
          <w:rFonts w:ascii="Arial" w:hAnsi="Arial" w:cs="Arial"/>
          <w:lang w:val="en-US"/>
        </w:rPr>
        <w:t xml:space="preserve"> kg/m</w:t>
      </w:r>
      <w:r w:rsidR="000D3ACF" w:rsidRPr="008E319F">
        <w:rPr>
          <w:rFonts w:ascii="Arial" w:hAnsi="Arial" w:cs="Arial"/>
          <w:vertAlign w:val="superscript"/>
          <w:lang w:val="en-US"/>
        </w:rPr>
        <w:t>2</w:t>
      </w:r>
      <w:r w:rsidR="000D3ACF">
        <w:rPr>
          <w:rFonts w:ascii="Arial" w:hAnsi="Arial" w:cs="Arial"/>
          <w:lang w:val="en-US"/>
        </w:rPr>
        <w:t xml:space="preserve"> </w:t>
      </w:r>
      <w:r w:rsidR="007F7549">
        <w:rPr>
          <w:rFonts w:ascii="Arial" w:hAnsi="Arial" w:cs="Arial"/>
          <w:lang w:val="en-US"/>
        </w:rPr>
        <w:t>group</w:t>
      </w:r>
      <w:r w:rsidR="000D3ACF">
        <w:rPr>
          <w:rFonts w:ascii="Arial" w:hAnsi="Arial" w:cs="Arial"/>
          <w:lang w:val="en-US"/>
        </w:rPr>
        <w:t>;</w:t>
      </w:r>
      <w:r w:rsidR="007F7549" w:rsidRPr="007F7549">
        <w:rPr>
          <w:rFonts w:ascii="Arial" w:hAnsi="Arial" w:cs="Arial"/>
          <w:lang w:val="en-US"/>
        </w:rPr>
        <w:t xml:space="preserve"> 3.63% </w:t>
      </w:r>
      <w:r w:rsidR="000D3ACF">
        <w:rPr>
          <w:rFonts w:ascii="Arial" w:hAnsi="Arial" w:cs="Arial"/>
          <w:lang w:val="en-US"/>
        </w:rPr>
        <w:t>(</w:t>
      </w:r>
      <w:r w:rsidR="007F7549" w:rsidRPr="007F7549">
        <w:rPr>
          <w:rFonts w:ascii="Arial" w:hAnsi="Arial" w:cs="Arial"/>
          <w:lang w:val="en-US"/>
        </w:rPr>
        <w:t>95%CI:2.26-5.16),</w:t>
      </w:r>
      <w:r w:rsidR="000D3ACF">
        <w:rPr>
          <w:rFonts w:ascii="Arial" w:hAnsi="Arial" w:cs="Arial"/>
          <w:lang w:val="en-US"/>
        </w:rPr>
        <w:t xml:space="preserve"> in </w:t>
      </w:r>
      <w:r w:rsidR="000D3ACF" w:rsidRPr="008E319F">
        <w:rPr>
          <w:rFonts w:ascii="Arial" w:hAnsi="Arial" w:cs="Arial"/>
          <w:lang w:val="en-US"/>
        </w:rPr>
        <w:t>45</w:t>
      </w:r>
      <w:r w:rsidR="000D3ACF">
        <w:rPr>
          <w:rFonts w:ascii="Arial" w:hAnsi="Arial" w:cs="Arial"/>
          <w:lang w:val="en-US"/>
        </w:rPr>
        <w:sym w:font="Symbol" w:char="F02D"/>
      </w:r>
      <w:r w:rsidR="000D3ACF" w:rsidRPr="008E319F">
        <w:rPr>
          <w:rFonts w:ascii="Arial" w:hAnsi="Arial" w:cs="Arial"/>
          <w:lang w:val="en-US"/>
        </w:rPr>
        <w:t>50</w:t>
      </w:r>
      <w:r w:rsidR="000D3ACF">
        <w:rPr>
          <w:rFonts w:ascii="Arial" w:hAnsi="Arial" w:cs="Arial"/>
          <w:lang w:val="en-US"/>
        </w:rPr>
        <w:t xml:space="preserve"> kg/m</w:t>
      </w:r>
      <w:r w:rsidR="000D3ACF" w:rsidRPr="008E319F">
        <w:rPr>
          <w:rFonts w:ascii="Arial" w:hAnsi="Arial" w:cs="Arial"/>
          <w:vertAlign w:val="superscript"/>
          <w:lang w:val="en-US"/>
        </w:rPr>
        <w:t>2</w:t>
      </w:r>
      <w:r w:rsidR="000D3ACF">
        <w:rPr>
          <w:rFonts w:ascii="Arial" w:hAnsi="Arial" w:cs="Arial"/>
          <w:lang w:val="en-US"/>
        </w:rPr>
        <w:t xml:space="preserve">, </w:t>
      </w:r>
      <w:r w:rsidR="007F7549" w:rsidRPr="007F7549">
        <w:rPr>
          <w:rFonts w:ascii="Arial" w:hAnsi="Arial" w:cs="Arial"/>
          <w:lang w:val="en-US"/>
        </w:rPr>
        <w:t xml:space="preserve">and 10.48% </w:t>
      </w:r>
      <w:r w:rsidR="000D3ACF">
        <w:rPr>
          <w:rFonts w:ascii="Arial" w:hAnsi="Arial" w:cs="Arial"/>
          <w:lang w:val="en-US"/>
        </w:rPr>
        <w:t>(</w:t>
      </w:r>
      <w:r w:rsidR="007F7549" w:rsidRPr="007F7549">
        <w:rPr>
          <w:rFonts w:ascii="Arial" w:hAnsi="Arial" w:cs="Arial"/>
          <w:lang w:val="en-US"/>
        </w:rPr>
        <w:t>95%CI:8.75-12.34)</w:t>
      </w:r>
      <w:r w:rsidR="00B07FDD">
        <w:rPr>
          <w:rFonts w:ascii="Arial" w:hAnsi="Arial" w:cs="Arial"/>
          <w:lang w:val="en-US"/>
        </w:rPr>
        <w:t>,</w:t>
      </w:r>
      <w:r w:rsidR="000D3ACF">
        <w:rPr>
          <w:rFonts w:ascii="Arial" w:hAnsi="Arial" w:cs="Arial"/>
          <w:lang w:val="en-US"/>
        </w:rPr>
        <w:t xml:space="preserve"> in the </w:t>
      </w:r>
      <w:r w:rsidR="000D3ACF" w:rsidRPr="008E319F">
        <w:rPr>
          <w:rFonts w:ascii="Arial" w:hAnsi="Arial" w:cs="Arial"/>
          <w:lang w:val="en-US"/>
        </w:rPr>
        <w:t>≥50</w:t>
      </w:r>
      <w:r w:rsidR="000D3ACF">
        <w:rPr>
          <w:rFonts w:ascii="Arial" w:hAnsi="Arial" w:cs="Arial"/>
          <w:lang w:val="en-US"/>
        </w:rPr>
        <w:t xml:space="preserve"> kg/m</w:t>
      </w:r>
      <w:r w:rsidR="000D3ACF" w:rsidRPr="008E319F">
        <w:rPr>
          <w:rFonts w:ascii="Arial" w:hAnsi="Arial" w:cs="Arial"/>
          <w:vertAlign w:val="superscript"/>
          <w:lang w:val="en-US"/>
        </w:rPr>
        <w:t>2</w:t>
      </w:r>
      <w:r w:rsidR="000D3ACF">
        <w:rPr>
          <w:rFonts w:ascii="Arial" w:hAnsi="Arial" w:cs="Arial"/>
          <w:lang w:val="en-US"/>
        </w:rPr>
        <w:t xml:space="preserve"> subgroup</w:t>
      </w:r>
      <w:r w:rsidR="0021250F">
        <w:rPr>
          <w:rFonts w:ascii="Arial" w:hAnsi="Arial" w:cs="Arial"/>
          <w:lang w:val="en-US"/>
        </w:rPr>
        <w:t xml:space="preserve">. </w:t>
      </w:r>
      <w:r w:rsidR="00F00216" w:rsidRPr="005865D6">
        <w:rPr>
          <w:rFonts w:ascii="Arial" w:hAnsi="Arial" w:cs="Arial"/>
          <w:lang w:val="en-US"/>
        </w:rPr>
        <w:t xml:space="preserve">The relative frequencies of </w:t>
      </w:r>
      <w:r w:rsidR="005667E7" w:rsidRPr="005865D6">
        <w:rPr>
          <w:rFonts w:ascii="Arial" w:hAnsi="Arial" w:cs="Arial"/>
          <w:lang w:val="en-US"/>
        </w:rPr>
        <w:t xml:space="preserve">the extent of </w:t>
      </w:r>
      <w:r w:rsidR="00114925" w:rsidRPr="005865D6">
        <w:rPr>
          <w:rFonts w:ascii="Arial" w:hAnsi="Arial" w:cs="Arial"/>
          <w:lang w:val="en-US"/>
        </w:rPr>
        <w:t xml:space="preserve">coverage </w:t>
      </w:r>
      <w:r w:rsidR="00AE3821">
        <w:rPr>
          <w:rFonts w:ascii="Arial" w:hAnsi="Arial" w:cs="Arial"/>
          <w:lang w:val="en-US"/>
        </w:rPr>
        <w:t xml:space="preserve">expressed in 5% jumps </w:t>
      </w:r>
      <w:r w:rsidR="00F00216" w:rsidRPr="005865D6">
        <w:rPr>
          <w:rFonts w:ascii="Arial" w:hAnsi="Arial" w:cs="Arial"/>
          <w:lang w:val="en-US"/>
        </w:rPr>
        <w:t xml:space="preserve">were significantly </w:t>
      </w:r>
      <w:r w:rsidR="00114925" w:rsidRPr="005865D6">
        <w:rPr>
          <w:rFonts w:ascii="Arial" w:hAnsi="Arial" w:cs="Arial"/>
          <w:lang w:val="en-US"/>
        </w:rPr>
        <w:t xml:space="preserve">higher with increasing </w:t>
      </w:r>
      <w:r w:rsidR="00507A32">
        <w:rPr>
          <w:rFonts w:ascii="Arial" w:hAnsi="Arial" w:cs="Arial"/>
          <w:lang w:val="en-US"/>
        </w:rPr>
        <w:t>obesity</w:t>
      </w:r>
      <w:r w:rsidR="00114925" w:rsidRPr="005865D6">
        <w:rPr>
          <w:rFonts w:ascii="Arial" w:hAnsi="Arial" w:cs="Arial"/>
          <w:lang w:val="en-US"/>
        </w:rPr>
        <w:t xml:space="preserve"> class</w:t>
      </w:r>
      <w:r w:rsidR="00F00216" w:rsidRPr="005865D6">
        <w:rPr>
          <w:rFonts w:ascii="Arial" w:hAnsi="Arial" w:cs="Arial"/>
          <w:lang w:val="en-US"/>
        </w:rPr>
        <w:t xml:space="preserve"> </w:t>
      </w:r>
      <w:r w:rsidR="0017727B" w:rsidRPr="005865D6">
        <w:rPr>
          <w:rFonts w:ascii="Arial" w:hAnsi="Arial" w:cs="Arial"/>
          <w:lang w:val="en-US"/>
        </w:rPr>
        <w:t xml:space="preserve">(p&lt;0.001) </w:t>
      </w:r>
      <w:r w:rsidR="00F00216" w:rsidRPr="005865D6">
        <w:rPr>
          <w:rFonts w:ascii="Arial" w:hAnsi="Arial" w:cs="Arial"/>
          <w:lang w:val="en-US"/>
        </w:rPr>
        <w:t>(</w:t>
      </w:r>
      <w:r w:rsidR="00F00216" w:rsidRPr="005865D6">
        <w:rPr>
          <w:rFonts w:ascii="Arial" w:hAnsi="Arial" w:cs="Arial"/>
          <w:b/>
          <w:bCs/>
          <w:lang w:val="en-US"/>
        </w:rPr>
        <w:t xml:space="preserve">Figure </w:t>
      </w:r>
      <w:r w:rsidR="00AE7D3D">
        <w:rPr>
          <w:rFonts w:ascii="Arial" w:hAnsi="Arial" w:cs="Arial"/>
          <w:b/>
          <w:bCs/>
          <w:lang w:val="en-US"/>
        </w:rPr>
        <w:t>2</w:t>
      </w:r>
      <w:r w:rsidR="00795F1B">
        <w:rPr>
          <w:rFonts w:ascii="Arial" w:hAnsi="Arial" w:cs="Arial"/>
          <w:b/>
          <w:bCs/>
          <w:lang w:val="en-US"/>
        </w:rPr>
        <w:t>A</w:t>
      </w:r>
      <w:r w:rsidR="00F00216" w:rsidRPr="005865D6">
        <w:rPr>
          <w:rFonts w:ascii="Arial" w:hAnsi="Arial" w:cs="Arial"/>
          <w:lang w:val="en-US"/>
        </w:rPr>
        <w:t>)</w:t>
      </w:r>
      <w:r w:rsidR="00F011C1">
        <w:rPr>
          <w:rFonts w:ascii="Arial" w:hAnsi="Arial" w:cs="Arial"/>
          <w:lang w:val="en-US"/>
        </w:rPr>
        <w:t xml:space="preserve">, with </w:t>
      </w:r>
      <w:r w:rsidR="00945D3B">
        <w:rPr>
          <w:rFonts w:ascii="Arial" w:hAnsi="Arial" w:cs="Arial"/>
          <w:lang w:val="en-US"/>
        </w:rPr>
        <w:t>greater</w:t>
      </w:r>
      <w:r w:rsidR="00F011C1">
        <w:rPr>
          <w:rFonts w:ascii="Arial" w:hAnsi="Arial" w:cs="Arial"/>
          <w:lang w:val="en-US"/>
        </w:rPr>
        <w:t xml:space="preserve"> heterogeneity and increasing percentage coverage </w:t>
      </w:r>
      <w:r w:rsidR="002A6054">
        <w:rPr>
          <w:rFonts w:ascii="Arial" w:hAnsi="Arial" w:cs="Arial"/>
          <w:lang w:val="en-US"/>
        </w:rPr>
        <w:t>within</w:t>
      </w:r>
      <w:r w:rsidR="00F011C1">
        <w:rPr>
          <w:rFonts w:ascii="Arial" w:hAnsi="Arial" w:cs="Arial"/>
          <w:lang w:val="en-US"/>
        </w:rPr>
        <w:t xml:space="preserve"> </w:t>
      </w:r>
      <w:r w:rsidR="00945D3B">
        <w:rPr>
          <w:rFonts w:ascii="Arial" w:hAnsi="Arial" w:cs="Arial"/>
          <w:lang w:val="en-US"/>
        </w:rPr>
        <w:t xml:space="preserve">class 3 </w:t>
      </w:r>
      <w:r w:rsidR="00C21318">
        <w:rPr>
          <w:rFonts w:ascii="Arial" w:hAnsi="Arial" w:cs="Arial"/>
          <w:lang w:val="en-US"/>
        </w:rPr>
        <w:t xml:space="preserve">obesity </w:t>
      </w:r>
      <w:r w:rsidR="00945D3B">
        <w:rPr>
          <w:rFonts w:ascii="Arial" w:hAnsi="Arial" w:cs="Arial"/>
          <w:lang w:val="en-US"/>
        </w:rPr>
        <w:t>subgroups (</w:t>
      </w:r>
      <w:r w:rsidR="00945D3B" w:rsidRPr="00945D3B">
        <w:rPr>
          <w:rFonts w:ascii="Arial" w:hAnsi="Arial" w:cs="Arial"/>
          <w:b/>
          <w:bCs/>
          <w:lang w:val="en-US"/>
        </w:rPr>
        <w:t xml:space="preserve">Figure </w:t>
      </w:r>
      <w:r w:rsidR="00AE7D3D">
        <w:rPr>
          <w:rFonts w:ascii="Arial" w:hAnsi="Arial" w:cs="Arial"/>
          <w:b/>
          <w:bCs/>
          <w:lang w:val="en-US"/>
        </w:rPr>
        <w:t>2</w:t>
      </w:r>
      <w:r w:rsidR="00795F1B">
        <w:rPr>
          <w:rFonts w:ascii="Arial" w:hAnsi="Arial" w:cs="Arial"/>
          <w:b/>
          <w:bCs/>
          <w:lang w:val="en-US"/>
        </w:rPr>
        <w:t>B</w:t>
      </w:r>
      <w:r w:rsidR="00945D3B">
        <w:rPr>
          <w:rFonts w:ascii="Arial" w:hAnsi="Arial" w:cs="Arial"/>
          <w:lang w:val="en-US"/>
        </w:rPr>
        <w:t>)</w:t>
      </w:r>
      <w:r w:rsidR="00F00216" w:rsidRPr="005865D6">
        <w:rPr>
          <w:rFonts w:ascii="Arial" w:hAnsi="Arial" w:cs="Arial"/>
          <w:lang w:val="en-US"/>
        </w:rPr>
        <w:t>.</w:t>
      </w:r>
      <w:r w:rsidR="00114925" w:rsidRPr="005865D6">
        <w:rPr>
          <w:rFonts w:ascii="Arial" w:hAnsi="Arial" w:cs="Arial"/>
          <w:lang w:val="en-US"/>
        </w:rPr>
        <w:t xml:space="preserve"> </w:t>
      </w:r>
    </w:p>
    <w:p w14:paraId="3C632B66" w14:textId="6745FC18" w:rsidR="00113E60" w:rsidRDefault="003D6881" w:rsidP="005A5B1E">
      <w:pPr>
        <w:spacing w:line="480" w:lineRule="auto"/>
        <w:jc w:val="both"/>
        <w:rPr>
          <w:rFonts w:ascii="Arial" w:hAnsi="Arial" w:cs="Arial"/>
          <w:lang w:val="en-US"/>
        </w:rPr>
      </w:pPr>
      <w:r w:rsidRPr="005865D6">
        <w:rPr>
          <w:rFonts w:ascii="Arial" w:hAnsi="Arial" w:cs="Arial"/>
          <w:lang w:val="en-US"/>
        </w:rPr>
        <w:t xml:space="preserve">Age was similarly distributed among patients without atelectasis (40.6, SD:10.1) and those with atelectasis (39.6, SD:9.3) (p=0.498). There were no significant differences in atelectasis occurrence between men (45.5%) and women (31.3%) (p=0.178). </w:t>
      </w:r>
      <w:r w:rsidR="00C227B9" w:rsidRPr="005865D6">
        <w:rPr>
          <w:rFonts w:ascii="Arial" w:hAnsi="Arial" w:cs="Arial"/>
          <w:lang w:val="en-US"/>
        </w:rPr>
        <w:t>Patients with a diagnosis of OSA had atelectasis more frequently (94.4%</w:t>
      </w:r>
      <w:r w:rsidR="008F1EDD">
        <w:rPr>
          <w:rFonts w:ascii="Arial" w:hAnsi="Arial" w:cs="Arial"/>
          <w:lang w:val="en-US"/>
        </w:rPr>
        <w:t>, n</w:t>
      </w:r>
      <w:r w:rsidR="00BD3CE8">
        <w:rPr>
          <w:rFonts w:ascii="Arial" w:hAnsi="Arial" w:cs="Arial"/>
          <w:lang w:val="en-US"/>
        </w:rPr>
        <w:t>=</w:t>
      </w:r>
      <w:r w:rsidR="00350D07">
        <w:rPr>
          <w:rFonts w:ascii="Arial" w:hAnsi="Arial" w:cs="Arial"/>
          <w:lang w:val="en-US"/>
        </w:rPr>
        <w:t>17/</w:t>
      </w:r>
      <w:r w:rsidR="00467AF6">
        <w:rPr>
          <w:rFonts w:ascii="Arial" w:hAnsi="Arial" w:cs="Arial"/>
          <w:lang w:val="en-US"/>
        </w:rPr>
        <w:t>18</w:t>
      </w:r>
      <w:r w:rsidR="00C227B9" w:rsidRPr="005865D6">
        <w:rPr>
          <w:rFonts w:ascii="Arial" w:hAnsi="Arial" w:cs="Arial"/>
          <w:lang w:val="en-US"/>
        </w:rPr>
        <w:t>) than those without (27.5%</w:t>
      </w:r>
      <w:r w:rsidR="00350D07">
        <w:rPr>
          <w:rFonts w:ascii="Arial" w:hAnsi="Arial" w:cs="Arial"/>
          <w:lang w:val="en-US"/>
        </w:rPr>
        <w:t>, n=</w:t>
      </w:r>
      <w:r w:rsidR="00134035">
        <w:rPr>
          <w:rFonts w:ascii="Arial" w:hAnsi="Arial" w:cs="Arial"/>
          <w:lang w:val="en-US"/>
        </w:rPr>
        <w:t>60/</w:t>
      </w:r>
      <w:r w:rsidR="00467AF6">
        <w:rPr>
          <w:rFonts w:ascii="Arial" w:hAnsi="Arial" w:cs="Arial"/>
          <w:lang w:val="en-US"/>
        </w:rPr>
        <w:t>218</w:t>
      </w:r>
      <w:r w:rsidR="00C227B9" w:rsidRPr="005865D6">
        <w:rPr>
          <w:rFonts w:ascii="Arial" w:hAnsi="Arial" w:cs="Arial"/>
          <w:lang w:val="en-US"/>
        </w:rPr>
        <w:t>) (p&lt;0.001).</w:t>
      </w:r>
      <w:r w:rsidR="00501681" w:rsidRPr="005865D6">
        <w:rPr>
          <w:rFonts w:ascii="Arial" w:hAnsi="Arial" w:cs="Arial"/>
          <w:lang w:val="en-US"/>
        </w:rPr>
        <w:t xml:space="preserve"> The location of atelectasis was not different among patients with and without OSA (p=0.313). </w:t>
      </w:r>
      <w:r w:rsidR="00127FA3">
        <w:rPr>
          <w:rFonts w:ascii="Arial" w:hAnsi="Arial" w:cs="Arial"/>
          <w:lang w:val="en-US"/>
        </w:rPr>
        <w:t>Unadjusted and adjusted p</w:t>
      </w:r>
      <w:r w:rsidR="00DA339E">
        <w:rPr>
          <w:rFonts w:ascii="Arial" w:hAnsi="Arial" w:cs="Arial"/>
          <w:lang w:val="en-US"/>
        </w:rPr>
        <w:t xml:space="preserve">revalence ratios of atelectasis </w:t>
      </w:r>
      <w:r w:rsidR="004B56F1">
        <w:rPr>
          <w:rFonts w:ascii="Arial" w:hAnsi="Arial" w:cs="Arial"/>
          <w:lang w:val="en-US"/>
        </w:rPr>
        <w:t xml:space="preserve">by obesity class </w:t>
      </w:r>
      <w:r w:rsidR="00324DF2">
        <w:rPr>
          <w:rFonts w:ascii="Arial" w:hAnsi="Arial" w:cs="Arial"/>
          <w:lang w:val="en-US"/>
        </w:rPr>
        <w:t xml:space="preserve">are shown in </w:t>
      </w:r>
      <w:r w:rsidR="00127FA3" w:rsidRPr="00127FA3">
        <w:rPr>
          <w:rFonts w:ascii="Arial" w:hAnsi="Arial" w:cs="Arial"/>
          <w:b/>
          <w:bCs/>
          <w:lang w:val="en-US"/>
        </w:rPr>
        <w:t>Table 2</w:t>
      </w:r>
      <w:r w:rsidR="00127FA3">
        <w:rPr>
          <w:rFonts w:ascii="Arial" w:hAnsi="Arial" w:cs="Arial"/>
          <w:lang w:val="en-US"/>
        </w:rPr>
        <w:t xml:space="preserve">. </w:t>
      </w:r>
    </w:p>
    <w:p w14:paraId="7A340D77" w14:textId="0519CDDE" w:rsidR="001A4B2E" w:rsidRDefault="00E97872" w:rsidP="001A4B2E">
      <w:pPr>
        <w:spacing w:line="480" w:lineRule="auto"/>
        <w:jc w:val="both"/>
        <w:rPr>
          <w:rFonts w:ascii="Arial" w:hAnsi="Arial" w:cs="Arial"/>
          <w:lang w:val="en-US"/>
        </w:rPr>
      </w:pPr>
      <w:r>
        <w:rPr>
          <w:rFonts w:ascii="Arial" w:hAnsi="Arial" w:cs="Arial"/>
          <w:lang w:val="en-US"/>
        </w:rPr>
        <w:t>Ordinal logistic</w:t>
      </w:r>
      <w:r w:rsidR="001A4B2E" w:rsidRPr="005865D6">
        <w:rPr>
          <w:rFonts w:ascii="Arial" w:hAnsi="Arial" w:cs="Arial"/>
          <w:lang w:val="en-US"/>
        </w:rPr>
        <w:t xml:space="preserve"> regression models</w:t>
      </w:r>
      <w:r w:rsidR="001A4B2E">
        <w:rPr>
          <w:rFonts w:ascii="Arial" w:hAnsi="Arial" w:cs="Arial"/>
          <w:lang w:val="en-US"/>
        </w:rPr>
        <w:t xml:space="preserve"> were fit to </w:t>
      </w:r>
      <w:r w:rsidR="001A4B2E" w:rsidRPr="005865D6">
        <w:rPr>
          <w:rFonts w:ascii="Arial" w:hAnsi="Arial" w:cs="Arial"/>
          <w:lang w:val="en-US"/>
        </w:rPr>
        <w:t xml:space="preserve">assess the relationship between explanatory variables and </w:t>
      </w:r>
      <w:r w:rsidR="001A4B2E">
        <w:rPr>
          <w:rFonts w:ascii="Arial" w:hAnsi="Arial" w:cs="Arial"/>
          <w:lang w:val="en-US"/>
        </w:rPr>
        <w:t xml:space="preserve">5% increases in the extent of CT lung atelectasis percentage. The results of univariable and </w:t>
      </w:r>
      <w:r w:rsidR="001A4B2E" w:rsidRPr="005865D6">
        <w:rPr>
          <w:rFonts w:ascii="Arial" w:hAnsi="Arial" w:cs="Arial"/>
          <w:lang w:val="en-US"/>
        </w:rPr>
        <w:t>multivariable model</w:t>
      </w:r>
      <w:r>
        <w:rPr>
          <w:rFonts w:ascii="Arial" w:hAnsi="Arial" w:cs="Arial"/>
          <w:lang w:val="en-US"/>
        </w:rPr>
        <w:t>s for obesity class and confounder variables</w:t>
      </w:r>
      <w:r w:rsidR="001A4B2E" w:rsidRPr="005865D6">
        <w:rPr>
          <w:rFonts w:ascii="Arial" w:hAnsi="Arial" w:cs="Arial"/>
          <w:lang w:val="en-US"/>
        </w:rPr>
        <w:t xml:space="preserve"> are shown in </w:t>
      </w:r>
      <w:r w:rsidR="001A4B2E" w:rsidRPr="005865D6">
        <w:rPr>
          <w:rFonts w:ascii="Arial" w:hAnsi="Arial" w:cs="Arial"/>
          <w:b/>
          <w:bCs/>
          <w:lang w:val="en-US"/>
        </w:rPr>
        <w:t xml:space="preserve">Table </w:t>
      </w:r>
      <w:r w:rsidR="00487A00">
        <w:rPr>
          <w:rFonts w:ascii="Arial" w:hAnsi="Arial" w:cs="Arial"/>
          <w:b/>
          <w:bCs/>
          <w:lang w:val="en-US"/>
        </w:rPr>
        <w:t>3</w:t>
      </w:r>
      <w:r w:rsidR="001A4B2E" w:rsidRPr="005865D6">
        <w:rPr>
          <w:rFonts w:ascii="Arial" w:hAnsi="Arial" w:cs="Arial"/>
          <w:lang w:val="en-US"/>
        </w:rPr>
        <w:t xml:space="preserve">. Compared to class 1 obesity, class 2 obesity was not significantly associated with </w:t>
      </w:r>
      <w:r w:rsidR="00C8541F">
        <w:rPr>
          <w:rFonts w:ascii="Arial" w:hAnsi="Arial" w:cs="Arial"/>
          <w:lang w:val="en-US"/>
        </w:rPr>
        <w:t>a greater</w:t>
      </w:r>
      <w:r w:rsidR="001A4B2E">
        <w:rPr>
          <w:rFonts w:ascii="Arial" w:hAnsi="Arial" w:cs="Arial"/>
          <w:lang w:val="en-US"/>
        </w:rPr>
        <w:t xml:space="preserve"> atelectasis </w:t>
      </w:r>
      <w:r w:rsidR="000354B0">
        <w:rPr>
          <w:rFonts w:ascii="Arial" w:hAnsi="Arial" w:cs="Arial"/>
          <w:lang w:val="en-US"/>
        </w:rPr>
        <w:t xml:space="preserve">percentage </w:t>
      </w:r>
      <w:r w:rsidR="001A4B2E">
        <w:rPr>
          <w:rFonts w:ascii="Arial" w:hAnsi="Arial" w:cs="Arial"/>
          <w:lang w:val="en-US"/>
        </w:rPr>
        <w:t xml:space="preserve">coverage </w:t>
      </w:r>
      <w:r w:rsidR="001A4B2E" w:rsidRPr="005865D6">
        <w:rPr>
          <w:rFonts w:ascii="Arial" w:hAnsi="Arial" w:cs="Arial"/>
          <w:lang w:val="en-US"/>
        </w:rPr>
        <w:t>(</w:t>
      </w:r>
      <w:proofErr w:type="spellStart"/>
      <w:r w:rsidR="000354B0">
        <w:rPr>
          <w:rFonts w:ascii="Arial" w:hAnsi="Arial" w:cs="Arial"/>
          <w:lang w:val="en-US"/>
        </w:rPr>
        <w:t>aOR</w:t>
      </w:r>
      <w:proofErr w:type="spellEnd"/>
      <w:r w:rsidR="001A4B2E" w:rsidRPr="005865D6">
        <w:rPr>
          <w:rFonts w:ascii="Arial" w:hAnsi="Arial" w:cs="Arial"/>
          <w:lang w:val="en-US"/>
        </w:rPr>
        <w:t>=</w:t>
      </w:r>
      <w:r w:rsidR="00241C4B">
        <w:rPr>
          <w:rFonts w:ascii="Arial" w:hAnsi="Arial" w:cs="Arial"/>
          <w:lang w:val="en-US"/>
        </w:rPr>
        <w:t>1</w:t>
      </w:r>
      <w:r w:rsidR="00395C36">
        <w:rPr>
          <w:rFonts w:ascii="Arial" w:hAnsi="Arial" w:cs="Arial"/>
          <w:lang w:val="en-US"/>
        </w:rPr>
        <w:t>.</w:t>
      </w:r>
      <w:r w:rsidR="00241C4B">
        <w:rPr>
          <w:rFonts w:ascii="Arial" w:hAnsi="Arial" w:cs="Arial"/>
          <w:lang w:val="en-US"/>
        </w:rPr>
        <w:t>48</w:t>
      </w:r>
      <w:r w:rsidR="001A4B2E" w:rsidRPr="005865D6">
        <w:rPr>
          <w:rFonts w:ascii="Arial" w:hAnsi="Arial" w:cs="Arial"/>
          <w:lang w:val="en-US"/>
        </w:rPr>
        <w:t>, 95%CI:</w:t>
      </w:r>
      <w:r w:rsidR="000F56F3">
        <w:rPr>
          <w:rFonts w:ascii="Arial" w:hAnsi="Arial" w:cs="Arial"/>
          <w:lang w:val="en-US"/>
        </w:rPr>
        <w:t xml:space="preserve"> </w:t>
      </w:r>
      <w:r w:rsidR="001A4B2E" w:rsidRPr="005865D6">
        <w:rPr>
          <w:rFonts w:ascii="Arial" w:hAnsi="Arial" w:cs="Arial"/>
          <w:lang w:val="en-US"/>
        </w:rPr>
        <w:t>0.5</w:t>
      </w:r>
      <w:r w:rsidR="00395C36">
        <w:rPr>
          <w:rFonts w:ascii="Arial" w:hAnsi="Arial" w:cs="Arial"/>
          <w:lang w:val="en-US"/>
        </w:rPr>
        <w:t>1</w:t>
      </w:r>
      <w:r w:rsidR="00B504A9">
        <w:rPr>
          <w:rFonts w:ascii="Arial" w:hAnsi="Arial" w:cs="Arial"/>
          <w:lang w:val="en-US"/>
        </w:rPr>
        <w:sym w:font="Symbol" w:char="F02D"/>
      </w:r>
      <w:r w:rsidR="00E12DF9">
        <w:rPr>
          <w:rFonts w:ascii="Arial" w:hAnsi="Arial" w:cs="Arial"/>
          <w:lang w:val="en-US"/>
        </w:rPr>
        <w:t>4</w:t>
      </w:r>
      <w:r w:rsidR="001A4B2E" w:rsidRPr="005865D6">
        <w:rPr>
          <w:rFonts w:ascii="Arial" w:hAnsi="Arial" w:cs="Arial"/>
          <w:lang w:val="en-US"/>
        </w:rPr>
        <w:t>.</w:t>
      </w:r>
      <w:r w:rsidR="00395C36">
        <w:rPr>
          <w:rFonts w:ascii="Arial" w:hAnsi="Arial" w:cs="Arial"/>
          <w:lang w:val="en-US"/>
        </w:rPr>
        <w:t>28</w:t>
      </w:r>
      <w:r w:rsidR="001A4B2E" w:rsidRPr="005865D6">
        <w:rPr>
          <w:rFonts w:ascii="Arial" w:hAnsi="Arial" w:cs="Arial"/>
          <w:lang w:val="en-US"/>
        </w:rPr>
        <w:t>), whereas class 3 obesity was associated with a</w:t>
      </w:r>
      <w:r w:rsidR="006D5231">
        <w:rPr>
          <w:rFonts w:ascii="Arial" w:hAnsi="Arial" w:cs="Arial"/>
          <w:lang w:val="en-US"/>
        </w:rPr>
        <w:t xml:space="preserve"> </w:t>
      </w:r>
      <w:r w:rsidR="00395C36">
        <w:rPr>
          <w:rFonts w:ascii="Arial" w:hAnsi="Arial" w:cs="Arial"/>
          <w:lang w:val="en-US"/>
        </w:rPr>
        <w:t>5</w:t>
      </w:r>
      <w:r w:rsidR="006D5231">
        <w:rPr>
          <w:rFonts w:ascii="Arial" w:hAnsi="Arial" w:cs="Arial"/>
          <w:lang w:val="en-US"/>
        </w:rPr>
        <w:t>-fold</w:t>
      </w:r>
      <w:r w:rsidR="001A4B2E" w:rsidRPr="005865D6">
        <w:rPr>
          <w:rFonts w:ascii="Arial" w:hAnsi="Arial" w:cs="Arial"/>
          <w:lang w:val="en-US"/>
        </w:rPr>
        <w:t xml:space="preserve"> increase in the </w:t>
      </w:r>
      <w:r w:rsidR="006D5231">
        <w:rPr>
          <w:rFonts w:ascii="Arial" w:hAnsi="Arial" w:cs="Arial"/>
          <w:lang w:val="en-US"/>
        </w:rPr>
        <w:t xml:space="preserve">odds of a greater </w:t>
      </w:r>
      <w:r w:rsidR="001A4B2E" w:rsidRPr="005865D6">
        <w:rPr>
          <w:rFonts w:ascii="Arial" w:hAnsi="Arial" w:cs="Arial"/>
          <w:lang w:val="en-US"/>
        </w:rPr>
        <w:t>extent of atelectasis percentage</w:t>
      </w:r>
      <w:r w:rsidR="00E12DF9">
        <w:rPr>
          <w:rFonts w:ascii="Arial" w:hAnsi="Arial" w:cs="Arial"/>
          <w:lang w:val="en-US"/>
        </w:rPr>
        <w:t xml:space="preserve"> </w:t>
      </w:r>
      <w:r w:rsidR="001A4B2E" w:rsidRPr="005865D6">
        <w:rPr>
          <w:rFonts w:ascii="Arial" w:hAnsi="Arial" w:cs="Arial"/>
          <w:lang w:val="en-US"/>
        </w:rPr>
        <w:t>(</w:t>
      </w:r>
      <w:proofErr w:type="spellStart"/>
      <w:r w:rsidR="00E12DF9">
        <w:rPr>
          <w:rFonts w:ascii="Arial" w:hAnsi="Arial" w:cs="Arial"/>
          <w:lang w:val="en-US"/>
        </w:rPr>
        <w:t>aOR</w:t>
      </w:r>
      <w:proofErr w:type="spellEnd"/>
      <w:r w:rsidR="00E12DF9" w:rsidRPr="005865D6">
        <w:rPr>
          <w:rFonts w:ascii="Arial" w:hAnsi="Arial" w:cs="Arial"/>
          <w:lang w:val="en-US"/>
        </w:rPr>
        <w:t>=</w:t>
      </w:r>
      <w:r w:rsidR="00395C36">
        <w:rPr>
          <w:rFonts w:ascii="Arial" w:hAnsi="Arial" w:cs="Arial"/>
          <w:lang w:val="en-US"/>
        </w:rPr>
        <w:t>5</w:t>
      </w:r>
      <w:r w:rsidR="00E12DF9" w:rsidRPr="005865D6">
        <w:rPr>
          <w:rFonts w:ascii="Arial" w:hAnsi="Arial" w:cs="Arial"/>
          <w:lang w:val="en-US"/>
        </w:rPr>
        <w:t>.1</w:t>
      </w:r>
      <w:r w:rsidR="000F56F3">
        <w:rPr>
          <w:rFonts w:ascii="Arial" w:hAnsi="Arial" w:cs="Arial"/>
          <w:lang w:val="en-US"/>
        </w:rPr>
        <w:t>2</w:t>
      </w:r>
      <w:r w:rsidR="00E12DF9" w:rsidRPr="005865D6">
        <w:rPr>
          <w:rFonts w:ascii="Arial" w:hAnsi="Arial" w:cs="Arial"/>
          <w:lang w:val="en-US"/>
        </w:rPr>
        <w:t xml:space="preserve">, 95%CI: </w:t>
      </w:r>
      <w:r w:rsidR="00395C36">
        <w:rPr>
          <w:rFonts w:ascii="Arial" w:hAnsi="Arial" w:cs="Arial"/>
          <w:lang w:val="en-US"/>
        </w:rPr>
        <w:t>2</w:t>
      </w:r>
      <w:r w:rsidR="00635E07">
        <w:rPr>
          <w:rFonts w:ascii="Arial" w:hAnsi="Arial" w:cs="Arial"/>
          <w:lang w:val="en-US"/>
        </w:rPr>
        <w:t>.</w:t>
      </w:r>
      <w:r w:rsidR="00395C36">
        <w:rPr>
          <w:rFonts w:ascii="Arial" w:hAnsi="Arial" w:cs="Arial"/>
          <w:lang w:val="en-US"/>
        </w:rPr>
        <w:t>17</w:t>
      </w:r>
      <w:r w:rsidR="00B504A9">
        <w:rPr>
          <w:rFonts w:ascii="Arial" w:hAnsi="Arial" w:cs="Arial"/>
          <w:lang w:val="en-US"/>
        </w:rPr>
        <w:sym w:font="Symbol" w:char="F02D"/>
      </w:r>
      <w:r w:rsidR="00BE1480">
        <w:rPr>
          <w:rFonts w:ascii="Arial" w:hAnsi="Arial" w:cs="Arial"/>
          <w:lang w:val="en-US"/>
        </w:rPr>
        <w:t>12</w:t>
      </w:r>
      <w:r w:rsidR="00E12DF9" w:rsidRPr="005865D6">
        <w:rPr>
          <w:rFonts w:ascii="Arial" w:hAnsi="Arial" w:cs="Arial"/>
          <w:lang w:val="en-US"/>
        </w:rPr>
        <w:t>.</w:t>
      </w:r>
      <w:r w:rsidR="00BE1480">
        <w:rPr>
          <w:rFonts w:ascii="Arial" w:hAnsi="Arial" w:cs="Arial"/>
          <w:lang w:val="en-US"/>
        </w:rPr>
        <w:t>0</w:t>
      </w:r>
      <w:r w:rsidR="00E12DF9">
        <w:rPr>
          <w:rFonts w:ascii="Arial" w:hAnsi="Arial" w:cs="Arial"/>
          <w:lang w:val="en-US"/>
        </w:rPr>
        <w:t>9</w:t>
      </w:r>
      <w:r w:rsidR="001A4B2E" w:rsidRPr="005865D6">
        <w:rPr>
          <w:rFonts w:ascii="Arial" w:hAnsi="Arial" w:cs="Arial"/>
          <w:lang w:val="en-US"/>
        </w:rPr>
        <w:t>).</w:t>
      </w:r>
      <w:r w:rsidR="00635E07">
        <w:rPr>
          <w:rFonts w:ascii="Arial" w:hAnsi="Arial" w:cs="Arial"/>
          <w:lang w:val="en-US"/>
        </w:rPr>
        <w:t xml:space="preserve"> </w:t>
      </w:r>
      <w:r w:rsidR="006029A8">
        <w:rPr>
          <w:rFonts w:ascii="Arial" w:hAnsi="Arial" w:cs="Arial"/>
          <w:lang w:val="en-US"/>
        </w:rPr>
        <w:t>The</w:t>
      </w:r>
      <w:r w:rsidR="00E64AF3">
        <w:rPr>
          <w:rFonts w:ascii="Arial" w:hAnsi="Arial" w:cs="Arial"/>
          <w:lang w:val="en-US"/>
        </w:rPr>
        <w:t xml:space="preserve"> proportional odds assumption </w:t>
      </w:r>
      <w:r w:rsidR="00800019">
        <w:rPr>
          <w:rFonts w:ascii="Arial" w:hAnsi="Arial" w:cs="Arial"/>
          <w:lang w:val="en-US"/>
        </w:rPr>
        <w:t>did not hold</w:t>
      </w:r>
      <w:r w:rsidR="007F6EED">
        <w:rPr>
          <w:rFonts w:ascii="Arial" w:hAnsi="Arial" w:cs="Arial"/>
          <w:lang w:val="en-US"/>
        </w:rPr>
        <w:t xml:space="preserve"> </w:t>
      </w:r>
      <w:r w:rsidR="00EE3A81">
        <w:rPr>
          <w:rFonts w:ascii="Arial" w:hAnsi="Arial" w:cs="Arial"/>
          <w:lang w:val="en-US"/>
        </w:rPr>
        <w:t>(</w:t>
      </w:r>
      <w:r w:rsidR="00EE3A81" w:rsidRPr="007F6EED">
        <w:rPr>
          <w:rFonts w:ascii="Arial" w:hAnsi="Arial" w:cs="Arial"/>
          <w:lang w:val="en-US"/>
        </w:rPr>
        <w:t>p=0.02</w:t>
      </w:r>
      <w:r w:rsidR="00EE3A81">
        <w:rPr>
          <w:rFonts w:ascii="Arial" w:hAnsi="Arial" w:cs="Arial"/>
          <w:lang w:val="en-US"/>
        </w:rPr>
        <w:t>1);</w:t>
      </w:r>
      <w:r w:rsidR="007F6EED">
        <w:rPr>
          <w:rFonts w:ascii="Arial" w:hAnsi="Arial" w:cs="Arial"/>
          <w:lang w:val="en-US"/>
        </w:rPr>
        <w:t xml:space="preserve"> a</w:t>
      </w:r>
      <w:r w:rsidR="007F6EED" w:rsidRPr="007F6EED">
        <w:rPr>
          <w:rFonts w:ascii="Arial" w:hAnsi="Arial" w:cs="Arial"/>
          <w:lang w:val="en-US"/>
        </w:rPr>
        <w:t xml:space="preserve"> model with nominal effects ha</w:t>
      </w:r>
      <w:r w:rsidR="007F6EED">
        <w:rPr>
          <w:rFonts w:ascii="Arial" w:hAnsi="Arial" w:cs="Arial"/>
          <w:lang w:val="en-US"/>
        </w:rPr>
        <w:t>d</w:t>
      </w:r>
      <w:r w:rsidR="007F6EED" w:rsidRPr="007F6EED">
        <w:rPr>
          <w:rFonts w:ascii="Arial" w:hAnsi="Arial" w:cs="Arial"/>
          <w:lang w:val="en-US"/>
        </w:rPr>
        <w:t xml:space="preserve"> lower AIC (</w:t>
      </w:r>
      <w:r w:rsidR="00EE3A81" w:rsidRPr="007F6EED">
        <w:rPr>
          <w:rFonts w:ascii="Arial" w:hAnsi="Arial" w:cs="Arial"/>
          <w:lang w:val="en-US"/>
        </w:rPr>
        <w:t>360.05</w:t>
      </w:r>
      <w:r w:rsidR="007F6EED" w:rsidRPr="007F6EED">
        <w:rPr>
          <w:rFonts w:ascii="Arial" w:hAnsi="Arial" w:cs="Arial"/>
          <w:lang w:val="en-US"/>
        </w:rPr>
        <w:t>) than the ordinal model (</w:t>
      </w:r>
      <w:r w:rsidR="00EE3A81" w:rsidRPr="007F6EED">
        <w:rPr>
          <w:rFonts w:ascii="Arial" w:hAnsi="Arial" w:cs="Arial"/>
          <w:lang w:val="en-US"/>
        </w:rPr>
        <w:t>363.66</w:t>
      </w:r>
      <w:r w:rsidR="007F6EED" w:rsidRPr="007F6EED">
        <w:rPr>
          <w:rFonts w:ascii="Arial" w:hAnsi="Arial" w:cs="Arial"/>
          <w:lang w:val="en-US"/>
        </w:rPr>
        <w:t xml:space="preserve">) </w:t>
      </w:r>
      <w:r w:rsidR="00215209">
        <w:rPr>
          <w:rFonts w:ascii="Arial" w:hAnsi="Arial" w:cs="Arial"/>
          <w:lang w:val="en-US"/>
        </w:rPr>
        <w:t xml:space="preserve">for the obesity class variable, reason why a </w:t>
      </w:r>
      <w:r w:rsidR="00D86F98">
        <w:rPr>
          <w:rFonts w:ascii="Arial" w:hAnsi="Arial" w:cs="Arial"/>
          <w:lang w:val="en-US"/>
        </w:rPr>
        <w:t xml:space="preserve">partial proportional odds model was </w:t>
      </w:r>
      <w:r w:rsidR="00112E3B">
        <w:rPr>
          <w:rFonts w:ascii="Arial" w:hAnsi="Arial" w:cs="Arial"/>
          <w:lang w:val="en-US"/>
        </w:rPr>
        <w:t>built</w:t>
      </w:r>
      <w:r w:rsidR="00D86F98">
        <w:rPr>
          <w:rFonts w:ascii="Arial" w:hAnsi="Arial" w:cs="Arial"/>
          <w:lang w:val="en-US"/>
        </w:rPr>
        <w:t xml:space="preserve"> to allow </w:t>
      </w:r>
      <w:r w:rsidR="005459DF">
        <w:rPr>
          <w:rFonts w:ascii="Arial" w:hAnsi="Arial" w:cs="Arial"/>
          <w:lang w:val="en-US"/>
        </w:rPr>
        <w:t xml:space="preserve">modelling nominal effects </w:t>
      </w:r>
      <w:r w:rsidR="00E06D35">
        <w:rPr>
          <w:rFonts w:ascii="Arial" w:hAnsi="Arial" w:cs="Arial"/>
          <w:lang w:val="en-US"/>
        </w:rPr>
        <w:t xml:space="preserve">only </w:t>
      </w:r>
      <w:r w:rsidR="005459DF">
        <w:rPr>
          <w:rFonts w:ascii="Arial" w:hAnsi="Arial" w:cs="Arial"/>
          <w:lang w:val="en-US"/>
        </w:rPr>
        <w:t>for obesity class</w:t>
      </w:r>
      <w:r w:rsidR="00EE3A81">
        <w:rPr>
          <w:rFonts w:ascii="Arial" w:hAnsi="Arial" w:cs="Arial"/>
          <w:lang w:val="en-US"/>
        </w:rPr>
        <w:t xml:space="preserve"> (</w:t>
      </w:r>
      <w:r w:rsidR="00EE3A81" w:rsidRPr="009A1F5C">
        <w:rPr>
          <w:rFonts w:ascii="Arial" w:hAnsi="Arial" w:cs="Arial"/>
          <w:b/>
          <w:bCs/>
          <w:lang w:val="en-US"/>
        </w:rPr>
        <w:t>Supplementary Table S1</w:t>
      </w:r>
      <w:r w:rsidR="00EE3A81">
        <w:rPr>
          <w:rFonts w:ascii="Arial" w:hAnsi="Arial" w:cs="Arial"/>
          <w:lang w:val="en-US"/>
        </w:rPr>
        <w:t>)</w:t>
      </w:r>
      <w:r w:rsidR="00194424">
        <w:rPr>
          <w:rFonts w:ascii="Arial" w:hAnsi="Arial" w:cs="Arial"/>
          <w:lang w:val="en-US"/>
        </w:rPr>
        <w:t>.</w:t>
      </w:r>
      <w:r w:rsidR="00B65273">
        <w:rPr>
          <w:rFonts w:ascii="Arial" w:hAnsi="Arial" w:cs="Arial"/>
          <w:lang w:val="en-US"/>
        </w:rPr>
        <w:t xml:space="preserve"> </w:t>
      </w:r>
      <w:r w:rsidR="00194424">
        <w:rPr>
          <w:rFonts w:ascii="Arial" w:hAnsi="Arial" w:cs="Arial"/>
          <w:lang w:val="en-US"/>
        </w:rPr>
        <w:t>W</w:t>
      </w:r>
      <w:r w:rsidR="00B65273">
        <w:rPr>
          <w:rFonts w:ascii="Arial" w:hAnsi="Arial" w:cs="Arial"/>
          <w:lang w:val="en-US"/>
        </w:rPr>
        <w:t xml:space="preserve">ithin the class </w:t>
      </w:r>
      <w:r w:rsidR="008119D5">
        <w:rPr>
          <w:rFonts w:ascii="Arial" w:hAnsi="Arial" w:cs="Arial"/>
          <w:lang w:val="en-US"/>
        </w:rPr>
        <w:t xml:space="preserve">2 obesity </w:t>
      </w:r>
      <w:r w:rsidR="00267C60">
        <w:rPr>
          <w:rFonts w:ascii="Arial" w:hAnsi="Arial" w:cs="Arial"/>
          <w:lang w:val="en-US"/>
        </w:rPr>
        <w:t xml:space="preserve">category, the </w:t>
      </w:r>
      <w:proofErr w:type="spellStart"/>
      <w:r w:rsidR="00F12AFF">
        <w:rPr>
          <w:rFonts w:ascii="Arial" w:hAnsi="Arial" w:cs="Arial"/>
          <w:lang w:val="en-US"/>
        </w:rPr>
        <w:t>aOR</w:t>
      </w:r>
      <w:proofErr w:type="spellEnd"/>
      <w:r w:rsidR="00267C60">
        <w:rPr>
          <w:rFonts w:ascii="Arial" w:hAnsi="Arial" w:cs="Arial"/>
          <w:lang w:val="en-US"/>
        </w:rPr>
        <w:t xml:space="preserve"> tended to increase </w:t>
      </w:r>
      <w:r w:rsidR="001E7575">
        <w:rPr>
          <w:rFonts w:ascii="Arial" w:hAnsi="Arial" w:cs="Arial"/>
          <w:lang w:val="en-US"/>
        </w:rPr>
        <w:t>(range:</w:t>
      </w:r>
      <w:r w:rsidR="00587C1F">
        <w:rPr>
          <w:rFonts w:ascii="Arial" w:hAnsi="Arial" w:cs="Arial"/>
          <w:lang w:val="en-US"/>
        </w:rPr>
        <w:t xml:space="preserve"> 1.2</w:t>
      </w:r>
      <w:r w:rsidR="00EA125F">
        <w:rPr>
          <w:rFonts w:ascii="Arial" w:hAnsi="Arial" w:cs="Arial"/>
          <w:lang w:val="en-US"/>
        </w:rPr>
        <w:t>6</w:t>
      </w:r>
      <w:r w:rsidR="00B504A9">
        <w:rPr>
          <w:rFonts w:ascii="Arial" w:hAnsi="Arial" w:cs="Arial"/>
          <w:lang w:val="en-US"/>
        </w:rPr>
        <w:sym w:font="Symbol" w:char="F02D"/>
      </w:r>
      <w:r w:rsidR="00587C1F">
        <w:rPr>
          <w:rFonts w:ascii="Arial" w:hAnsi="Arial" w:cs="Arial"/>
          <w:lang w:val="en-US"/>
        </w:rPr>
        <w:t>2.</w:t>
      </w:r>
      <w:r w:rsidR="00EA125F">
        <w:rPr>
          <w:rFonts w:ascii="Arial" w:hAnsi="Arial" w:cs="Arial"/>
          <w:lang w:val="en-US"/>
        </w:rPr>
        <w:t>65</w:t>
      </w:r>
      <w:r w:rsidR="001E7575">
        <w:rPr>
          <w:rFonts w:ascii="Arial" w:hAnsi="Arial" w:cs="Arial"/>
          <w:lang w:val="en-US"/>
        </w:rPr>
        <w:t xml:space="preserve">) </w:t>
      </w:r>
      <w:r w:rsidR="00267C60">
        <w:rPr>
          <w:rFonts w:ascii="Arial" w:hAnsi="Arial" w:cs="Arial"/>
          <w:lang w:val="en-US"/>
        </w:rPr>
        <w:t xml:space="preserve">for every </w:t>
      </w:r>
      <w:r w:rsidR="00607AF4">
        <w:rPr>
          <w:rFonts w:ascii="Arial" w:hAnsi="Arial" w:cs="Arial"/>
          <w:lang w:val="en-US"/>
        </w:rPr>
        <w:t>5% jump in atelectasis percentage (all</w:t>
      </w:r>
      <w:r w:rsidR="006359B0">
        <w:rPr>
          <w:rFonts w:ascii="Arial" w:hAnsi="Arial" w:cs="Arial"/>
          <w:lang w:val="en-US"/>
        </w:rPr>
        <w:t xml:space="preserve"> non-significant,</w:t>
      </w:r>
      <w:r w:rsidR="00607AF4">
        <w:rPr>
          <w:rFonts w:ascii="Arial" w:hAnsi="Arial" w:cs="Arial"/>
          <w:lang w:val="en-US"/>
        </w:rPr>
        <w:t xml:space="preserve"> p</w:t>
      </w:r>
      <w:r w:rsidR="006359B0">
        <w:rPr>
          <w:rFonts w:ascii="Arial" w:hAnsi="Arial" w:cs="Arial"/>
          <w:lang w:val="en-US"/>
        </w:rPr>
        <w:t>&gt;</w:t>
      </w:r>
      <w:r w:rsidR="00607AF4">
        <w:rPr>
          <w:rFonts w:ascii="Arial" w:hAnsi="Arial" w:cs="Arial"/>
          <w:lang w:val="en-US"/>
        </w:rPr>
        <w:t>0.05)</w:t>
      </w:r>
      <w:r w:rsidR="008119D5">
        <w:rPr>
          <w:rFonts w:ascii="Arial" w:hAnsi="Arial" w:cs="Arial"/>
          <w:lang w:val="en-US"/>
        </w:rPr>
        <w:t xml:space="preserve">, </w:t>
      </w:r>
      <w:r w:rsidR="006359B0">
        <w:rPr>
          <w:rFonts w:ascii="Arial" w:hAnsi="Arial" w:cs="Arial"/>
          <w:lang w:val="en-US"/>
        </w:rPr>
        <w:t xml:space="preserve">whereas in the class </w:t>
      </w:r>
      <w:r w:rsidR="006359B0">
        <w:rPr>
          <w:rFonts w:ascii="Arial" w:hAnsi="Arial" w:cs="Arial"/>
          <w:lang w:val="en-US"/>
        </w:rPr>
        <w:lastRenderedPageBreak/>
        <w:t xml:space="preserve">3 obesity category, </w:t>
      </w:r>
      <w:r w:rsidR="0063519A">
        <w:rPr>
          <w:rFonts w:ascii="Arial" w:hAnsi="Arial" w:cs="Arial"/>
          <w:lang w:val="en-US"/>
        </w:rPr>
        <w:t xml:space="preserve">increases were </w:t>
      </w:r>
      <w:r w:rsidR="00587C1F">
        <w:rPr>
          <w:rFonts w:ascii="Arial" w:hAnsi="Arial" w:cs="Arial"/>
          <w:lang w:val="en-US"/>
        </w:rPr>
        <w:t>higher in magnitude (range</w:t>
      </w:r>
      <w:r w:rsidR="00841E9F">
        <w:rPr>
          <w:rFonts w:ascii="Arial" w:hAnsi="Arial" w:cs="Arial"/>
          <w:lang w:val="en-US"/>
        </w:rPr>
        <w:t>:</w:t>
      </w:r>
      <w:r w:rsidR="00EA125F">
        <w:rPr>
          <w:rFonts w:ascii="Arial" w:hAnsi="Arial" w:cs="Arial"/>
          <w:lang w:val="en-US"/>
        </w:rPr>
        <w:t xml:space="preserve"> </w:t>
      </w:r>
      <w:r w:rsidR="00841E9F">
        <w:rPr>
          <w:rFonts w:ascii="Arial" w:hAnsi="Arial" w:cs="Arial"/>
          <w:lang w:val="en-US"/>
        </w:rPr>
        <w:t>5.0</w:t>
      </w:r>
      <w:r w:rsidR="00C75A4D">
        <w:rPr>
          <w:rFonts w:ascii="Arial" w:hAnsi="Arial" w:cs="Arial"/>
          <w:lang w:val="en-US"/>
        </w:rPr>
        <w:t>0</w:t>
      </w:r>
      <w:r w:rsidR="00B504A9">
        <w:rPr>
          <w:rFonts w:ascii="Arial" w:hAnsi="Arial" w:cs="Arial"/>
          <w:lang w:val="en-US"/>
        </w:rPr>
        <w:sym w:font="Symbol" w:char="F02D"/>
      </w:r>
      <w:r w:rsidR="009E47FE">
        <w:rPr>
          <w:rFonts w:ascii="Arial" w:hAnsi="Arial" w:cs="Arial"/>
          <w:lang w:val="en-US"/>
        </w:rPr>
        <w:t>8</w:t>
      </w:r>
      <w:r w:rsidR="00841E9F">
        <w:rPr>
          <w:rFonts w:ascii="Arial" w:hAnsi="Arial" w:cs="Arial"/>
          <w:lang w:val="en-US"/>
        </w:rPr>
        <w:t>.</w:t>
      </w:r>
      <w:r w:rsidR="00C75A4D">
        <w:rPr>
          <w:rFonts w:ascii="Arial" w:hAnsi="Arial" w:cs="Arial"/>
          <w:lang w:val="en-US"/>
        </w:rPr>
        <w:t>69</w:t>
      </w:r>
      <w:r w:rsidR="00F45D70">
        <w:rPr>
          <w:rFonts w:ascii="Arial" w:hAnsi="Arial" w:cs="Arial"/>
          <w:lang w:val="en-US"/>
        </w:rPr>
        <w:t xml:space="preserve">) and </w:t>
      </w:r>
      <w:r w:rsidR="00571FA9">
        <w:rPr>
          <w:rFonts w:ascii="Arial" w:hAnsi="Arial" w:cs="Arial"/>
          <w:lang w:val="en-US"/>
        </w:rPr>
        <w:t>statistically significant</w:t>
      </w:r>
      <w:r w:rsidR="00F45D70">
        <w:rPr>
          <w:rFonts w:ascii="Arial" w:hAnsi="Arial" w:cs="Arial"/>
          <w:lang w:val="en-US"/>
        </w:rPr>
        <w:t xml:space="preserve">, except for the jump from </w:t>
      </w:r>
      <w:r w:rsidR="00181F56">
        <w:rPr>
          <w:rFonts w:ascii="Arial" w:hAnsi="Arial" w:cs="Arial"/>
          <w:lang w:val="en-US"/>
        </w:rPr>
        <w:t>1</w:t>
      </w:r>
      <w:r w:rsidR="00C75A4D">
        <w:rPr>
          <w:rFonts w:ascii="Arial" w:hAnsi="Arial" w:cs="Arial"/>
          <w:lang w:val="en-US"/>
        </w:rPr>
        <w:t>0</w:t>
      </w:r>
      <w:r w:rsidR="00181F56">
        <w:rPr>
          <w:rFonts w:ascii="Arial" w:hAnsi="Arial" w:cs="Arial"/>
          <w:lang w:val="en-US"/>
        </w:rPr>
        <w:t xml:space="preserve">% to </w:t>
      </w:r>
      <w:r w:rsidR="00C75A4D">
        <w:rPr>
          <w:rFonts w:ascii="Arial" w:hAnsi="Arial" w:cs="Arial"/>
          <w:lang w:val="en-US"/>
        </w:rPr>
        <w:t>≥15</w:t>
      </w:r>
      <w:r w:rsidR="00181F56">
        <w:rPr>
          <w:rFonts w:ascii="Arial" w:hAnsi="Arial" w:cs="Arial"/>
          <w:lang w:val="en-US"/>
        </w:rPr>
        <w:t>% (</w:t>
      </w:r>
      <w:proofErr w:type="spellStart"/>
      <w:r w:rsidR="003B54ED">
        <w:rPr>
          <w:rFonts w:ascii="Arial" w:hAnsi="Arial" w:cs="Arial"/>
          <w:lang w:val="en-US"/>
        </w:rPr>
        <w:t>aOR</w:t>
      </w:r>
      <w:proofErr w:type="spellEnd"/>
      <w:r w:rsidR="003B54ED">
        <w:rPr>
          <w:rFonts w:ascii="Arial" w:hAnsi="Arial" w:cs="Arial"/>
          <w:lang w:val="en-US"/>
        </w:rPr>
        <w:t>=</w:t>
      </w:r>
      <w:r w:rsidR="003B54ED" w:rsidRPr="003B54ED">
        <w:rPr>
          <w:rFonts w:ascii="Arial" w:hAnsi="Arial" w:cs="Arial"/>
          <w:lang w:val="en-US"/>
        </w:rPr>
        <w:t>5.</w:t>
      </w:r>
      <w:r w:rsidR="002905C7">
        <w:rPr>
          <w:rFonts w:ascii="Arial" w:hAnsi="Arial" w:cs="Arial"/>
          <w:lang w:val="en-US"/>
        </w:rPr>
        <w:t>0</w:t>
      </w:r>
      <w:r w:rsidR="003B54ED" w:rsidRPr="003B54ED">
        <w:rPr>
          <w:rFonts w:ascii="Arial" w:hAnsi="Arial" w:cs="Arial"/>
          <w:lang w:val="en-US"/>
        </w:rPr>
        <w:t>0</w:t>
      </w:r>
      <w:r w:rsidR="003B54ED">
        <w:rPr>
          <w:rFonts w:ascii="Arial" w:hAnsi="Arial" w:cs="Arial"/>
          <w:lang w:val="en-US"/>
        </w:rPr>
        <w:t xml:space="preserve">, 95%CI: </w:t>
      </w:r>
      <w:r w:rsidR="003B54ED" w:rsidRPr="003B54ED">
        <w:rPr>
          <w:rFonts w:ascii="Arial" w:hAnsi="Arial" w:cs="Arial"/>
          <w:lang w:val="en-US"/>
        </w:rPr>
        <w:t>0.5</w:t>
      </w:r>
      <w:r w:rsidR="002905C7">
        <w:rPr>
          <w:rFonts w:ascii="Arial" w:hAnsi="Arial" w:cs="Arial"/>
          <w:lang w:val="en-US"/>
        </w:rPr>
        <w:t>5</w:t>
      </w:r>
      <w:r w:rsidR="003B54ED">
        <w:rPr>
          <w:rFonts w:ascii="Arial" w:hAnsi="Arial" w:cs="Arial"/>
          <w:lang w:val="en-US"/>
        </w:rPr>
        <w:sym w:font="Symbol" w:char="F02D"/>
      </w:r>
      <w:r w:rsidR="003B54ED" w:rsidRPr="003B54ED">
        <w:rPr>
          <w:rFonts w:ascii="Arial" w:hAnsi="Arial" w:cs="Arial"/>
          <w:lang w:val="en-US"/>
        </w:rPr>
        <w:t>4</w:t>
      </w:r>
      <w:r w:rsidR="002905C7">
        <w:rPr>
          <w:rFonts w:ascii="Arial" w:hAnsi="Arial" w:cs="Arial"/>
          <w:lang w:val="en-US"/>
        </w:rPr>
        <w:t>5</w:t>
      </w:r>
      <w:r w:rsidR="003B54ED" w:rsidRPr="003B54ED">
        <w:rPr>
          <w:rFonts w:ascii="Arial" w:hAnsi="Arial" w:cs="Arial"/>
          <w:lang w:val="en-US"/>
        </w:rPr>
        <w:t>.</w:t>
      </w:r>
      <w:r w:rsidR="002905C7">
        <w:rPr>
          <w:rFonts w:ascii="Arial" w:hAnsi="Arial" w:cs="Arial"/>
          <w:lang w:val="en-US"/>
        </w:rPr>
        <w:t>22</w:t>
      </w:r>
      <w:r w:rsidR="00587C1F">
        <w:rPr>
          <w:rFonts w:ascii="Arial" w:hAnsi="Arial" w:cs="Arial"/>
          <w:lang w:val="en-US"/>
        </w:rPr>
        <w:t>)</w:t>
      </w:r>
      <w:r w:rsidR="009A1F5C">
        <w:rPr>
          <w:rFonts w:ascii="Arial" w:hAnsi="Arial" w:cs="Arial"/>
          <w:lang w:val="en-US"/>
        </w:rPr>
        <w:t>.</w:t>
      </w:r>
      <w:r w:rsidR="002B3A88">
        <w:rPr>
          <w:rFonts w:ascii="Arial" w:hAnsi="Arial" w:cs="Arial"/>
          <w:lang w:val="en-US"/>
        </w:rPr>
        <w:t xml:space="preserve"> </w:t>
      </w:r>
    </w:p>
    <w:p w14:paraId="036DC62A" w14:textId="6396A16C" w:rsidR="00F6147F" w:rsidRPr="005865D6" w:rsidRDefault="00F6147F" w:rsidP="001A4B2E">
      <w:pPr>
        <w:spacing w:line="480" w:lineRule="auto"/>
        <w:jc w:val="both"/>
        <w:rPr>
          <w:rFonts w:ascii="Arial" w:hAnsi="Arial" w:cs="Arial"/>
          <w:lang w:val="en-US"/>
        </w:rPr>
      </w:pPr>
      <w:r>
        <w:rPr>
          <w:rFonts w:ascii="Arial" w:hAnsi="Arial" w:cs="Arial"/>
          <w:lang w:val="en-US"/>
        </w:rPr>
        <w:t xml:space="preserve">Due to the heterogeneity observed in atelectasis percentage in </w:t>
      </w:r>
      <w:r w:rsidR="002D3E91">
        <w:rPr>
          <w:rFonts w:ascii="Arial" w:hAnsi="Arial" w:cs="Arial"/>
          <w:lang w:val="en-US"/>
        </w:rPr>
        <w:t>the class</w:t>
      </w:r>
      <w:r>
        <w:rPr>
          <w:rFonts w:ascii="Arial" w:hAnsi="Arial" w:cs="Arial"/>
          <w:lang w:val="en-US"/>
        </w:rPr>
        <w:t xml:space="preserve"> 3</w:t>
      </w:r>
      <w:r w:rsidR="002D3E91">
        <w:rPr>
          <w:rFonts w:ascii="Arial" w:hAnsi="Arial" w:cs="Arial"/>
          <w:lang w:val="en-US"/>
        </w:rPr>
        <w:t xml:space="preserve"> category</w:t>
      </w:r>
      <w:r>
        <w:rPr>
          <w:rFonts w:ascii="Arial" w:hAnsi="Arial" w:cs="Arial"/>
          <w:lang w:val="en-US"/>
        </w:rPr>
        <w:t xml:space="preserve">, post-hoc analyses were conducted to </w:t>
      </w:r>
      <w:r w:rsidR="00356947">
        <w:rPr>
          <w:rFonts w:ascii="Arial" w:hAnsi="Arial" w:cs="Arial"/>
          <w:lang w:val="en-US"/>
        </w:rPr>
        <w:t>assess differences in the</w:t>
      </w:r>
      <w:r w:rsidR="00ED0D77">
        <w:rPr>
          <w:rFonts w:ascii="Arial" w:hAnsi="Arial" w:cs="Arial"/>
          <w:lang w:val="en-US"/>
        </w:rPr>
        <w:t xml:space="preserve"> </w:t>
      </w:r>
      <w:r>
        <w:rPr>
          <w:rFonts w:ascii="Arial" w:hAnsi="Arial" w:cs="Arial"/>
          <w:lang w:val="en-US"/>
        </w:rPr>
        <w:t xml:space="preserve">subgroups shown in </w:t>
      </w:r>
      <w:r w:rsidR="00ED0D77" w:rsidRPr="00ED0D77">
        <w:rPr>
          <w:rFonts w:ascii="Arial" w:hAnsi="Arial" w:cs="Arial"/>
          <w:b/>
          <w:bCs/>
          <w:lang w:val="en-US"/>
        </w:rPr>
        <w:t>F</w:t>
      </w:r>
      <w:r w:rsidRPr="00ED0D77">
        <w:rPr>
          <w:rFonts w:ascii="Arial" w:hAnsi="Arial" w:cs="Arial"/>
          <w:b/>
          <w:bCs/>
          <w:lang w:val="en-US"/>
        </w:rPr>
        <w:t xml:space="preserve">igure </w:t>
      </w:r>
      <w:r w:rsidR="002905C7">
        <w:rPr>
          <w:rFonts w:ascii="Arial" w:hAnsi="Arial" w:cs="Arial"/>
          <w:b/>
          <w:bCs/>
          <w:lang w:val="en-US"/>
        </w:rPr>
        <w:t>2</w:t>
      </w:r>
      <w:r w:rsidR="00F60953">
        <w:rPr>
          <w:rFonts w:ascii="Arial" w:hAnsi="Arial" w:cs="Arial"/>
          <w:b/>
          <w:bCs/>
          <w:lang w:val="en-US"/>
        </w:rPr>
        <w:t>B</w:t>
      </w:r>
      <w:r w:rsidR="00ED0D77">
        <w:rPr>
          <w:rFonts w:ascii="Arial" w:hAnsi="Arial" w:cs="Arial"/>
          <w:lang w:val="en-US"/>
        </w:rPr>
        <w:t xml:space="preserve">. </w:t>
      </w:r>
      <w:r w:rsidR="008D4855">
        <w:rPr>
          <w:rFonts w:ascii="Arial" w:hAnsi="Arial" w:cs="Arial"/>
          <w:lang w:val="en-US"/>
        </w:rPr>
        <w:t xml:space="preserve">The </w:t>
      </w:r>
      <w:r w:rsidR="007B6DE4">
        <w:rPr>
          <w:rFonts w:ascii="Arial" w:hAnsi="Arial" w:cs="Arial"/>
          <w:lang w:val="en-US"/>
        </w:rPr>
        <w:t>prevalence of</w:t>
      </w:r>
      <w:r w:rsidR="00ED460D">
        <w:rPr>
          <w:rFonts w:ascii="Arial" w:hAnsi="Arial" w:cs="Arial"/>
          <w:lang w:val="en-US"/>
        </w:rPr>
        <w:t xml:space="preserve"> atelectasis in the </w:t>
      </w:r>
      <w:r w:rsidR="00ED460D" w:rsidRPr="00ED460D">
        <w:rPr>
          <w:rFonts w:ascii="Arial" w:hAnsi="Arial" w:cs="Arial"/>
          <w:lang w:val="en-US"/>
        </w:rPr>
        <w:t>40</w:t>
      </w:r>
      <w:r w:rsidR="004D4F34">
        <w:rPr>
          <w:rFonts w:ascii="Arial" w:hAnsi="Arial" w:cs="Arial"/>
          <w:lang w:val="en-US"/>
        </w:rPr>
        <w:sym w:font="Symbol" w:char="F02D"/>
      </w:r>
      <w:r w:rsidR="00ED460D" w:rsidRPr="00ED460D">
        <w:rPr>
          <w:rFonts w:ascii="Arial" w:hAnsi="Arial" w:cs="Arial"/>
          <w:lang w:val="en-US"/>
        </w:rPr>
        <w:t>45</w:t>
      </w:r>
      <w:r w:rsidR="00ED460D">
        <w:rPr>
          <w:rFonts w:ascii="Arial" w:hAnsi="Arial" w:cs="Arial"/>
          <w:lang w:val="en-US"/>
        </w:rPr>
        <w:t xml:space="preserve">, </w:t>
      </w:r>
      <w:r w:rsidR="008E319F" w:rsidRPr="008E319F">
        <w:rPr>
          <w:rFonts w:ascii="Arial" w:hAnsi="Arial" w:cs="Arial"/>
          <w:lang w:val="en-US"/>
        </w:rPr>
        <w:t>45</w:t>
      </w:r>
      <w:r w:rsidR="004D4F34">
        <w:rPr>
          <w:rFonts w:ascii="Arial" w:hAnsi="Arial" w:cs="Arial"/>
          <w:lang w:val="en-US"/>
        </w:rPr>
        <w:sym w:font="Symbol" w:char="F02D"/>
      </w:r>
      <w:r w:rsidR="008E319F" w:rsidRPr="008E319F">
        <w:rPr>
          <w:rFonts w:ascii="Arial" w:hAnsi="Arial" w:cs="Arial"/>
          <w:lang w:val="en-US"/>
        </w:rPr>
        <w:t>50</w:t>
      </w:r>
      <w:r w:rsidR="008E319F">
        <w:rPr>
          <w:rFonts w:ascii="Arial" w:hAnsi="Arial" w:cs="Arial"/>
          <w:lang w:val="en-US"/>
        </w:rPr>
        <w:t xml:space="preserve">, and </w:t>
      </w:r>
      <w:r w:rsidR="008E319F" w:rsidRPr="008E319F">
        <w:rPr>
          <w:rFonts w:ascii="Arial" w:hAnsi="Arial" w:cs="Arial"/>
          <w:lang w:val="en-US"/>
        </w:rPr>
        <w:t>≥50</w:t>
      </w:r>
      <w:r w:rsidR="008E319F">
        <w:rPr>
          <w:rFonts w:ascii="Arial" w:hAnsi="Arial" w:cs="Arial"/>
          <w:lang w:val="en-US"/>
        </w:rPr>
        <w:t xml:space="preserve"> kg/m</w:t>
      </w:r>
      <w:r w:rsidR="008E319F" w:rsidRPr="008E319F">
        <w:rPr>
          <w:rFonts w:ascii="Arial" w:hAnsi="Arial" w:cs="Arial"/>
          <w:vertAlign w:val="superscript"/>
          <w:lang w:val="en-US"/>
        </w:rPr>
        <w:t>2</w:t>
      </w:r>
      <w:r w:rsidR="008E319F">
        <w:rPr>
          <w:rFonts w:ascii="Arial" w:hAnsi="Arial" w:cs="Arial"/>
          <w:lang w:val="en-US"/>
        </w:rPr>
        <w:t xml:space="preserve"> subgroups w</w:t>
      </w:r>
      <w:r w:rsidR="00473AA3">
        <w:rPr>
          <w:rFonts w:ascii="Arial" w:hAnsi="Arial" w:cs="Arial"/>
          <w:lang w:val="en-US"/>
        </w:rPr>
        <w:t xml:space="preserve">as </w:t>
      </w:r>
      <w:r w:rsidR="00473AA3" w:rsidRPr="005865D6">
        <w:rPr>
          <w:rFonts w:ascii="Arial" w:hAnsi="Arial" w:cs="Arial"/>
          <w:lang w:val="en-US"/>
        </w:rPr>
        <w:t>12.</w:t>
      </w:r>
      <w:r w:rsidR="00164445">
        <w:rPr>
          <w:rFonts w:ascii="Arial" w:hAnsi="Arial" w:cs="Arial"/>
          <w:lang w:val="en-US"/>
        </w:rPr>
        <w:t>3</w:t>
      </w:r>
      <w:r w:rsidR="00473AA3" w:rsidRPr="005865D6">
        <w:rPr>
          <w:rFonts w:ascii="Arial" w:hAnsi="Arial" w:cs="Arial"/>
          <w:lang w:val="en-US"/>
        </w:rPr>
        <w:t>%</w:t>
      </w:r>
      <w:r w:rsidR="00473AA3">
        <w:rPr>
          <w:rFonts w:ascii="Arial" w:hAnsi="Arial" w:cs="Arial"/>
          <w:lang w:val="en-US"/>
        </w:rPr>
        <w:t xml:space="preserve"> (</w:t>
      </w:r>
      <w:r w:rsidR="00473AA3" w:rsidRPr="005865D6">
        <w:rPr>
          <w:rFonts w:ascii="Arial" w:hAnsi="Arial" w:cs="Arial"/>
          <w:lang w:val="en-US"/>
        </w:rPr>
        <w:t xml:space="preserve">95%CI: </w:t>
      </w:r>
      <w:r w:rsidR="001621CD">
        <w:rPr>
          <w:rFonts w:ascii="Arial" w:hAnsi="Arial" w:cs="Arial"/>
          <w:lang w:val="en-US"/>
        </w:rPr>
        <w:t>5</w:t>
      </w:r>
      <w:r w:rsidR="00473AA3" w:rsidRPr="005865D6">
        <w:rPr>
          <w:rFonts w:ascii="Arial" w:hAnsi="Arial" w:cs="Arial"/>
          <w:lang w:val="en-US"/>
        </w:rPr>
        <w:t>.</w:t>
      </w:r>
      <w:r w:rsidR="001621CD">
        <w:rPr>
          <w:rFonts w:ascii="Arial" w:hAnsi="Arial" w:cs="Arial"/>
          <w:lang w:val="en-US"/>
        </w:rPr>
        <w:t>49</w:t>
      </w:r>
      <w:r w:rsidR="00B504A9">
        <w:rPr>
          <w:rFonts w:ascii="Arial" w:hAnsi="Arial" w:cs="Arial"/>
          <w:lang w:val="en-US"/>
        </w:rPr>
        <w:sym w:font="Symbol" w:char="F02D"/>
      </w:r>
      <w:r w:rsidR="00473AA3" w:rsidRPr="005865D6">
        <w:rPr>
          <w:rFonts w:ascii="Arial" w:hAnsi="Arial" w:cs="Arial"/>
          <w:lang w:val="en-US"/>
        </w:rPr>
        <w:t>24.</w:t>
      </w:r>
      <w:r w:rsidR="001621CD">
        <w:rPr>
          <w:rFonts w:ascii="Arial" w:hAnsi="Arial" w:cs="Arial"/>
          <w:lang w:val="en-US"/>
        </w:rPr>
        <w:t>29</w:t>
      </w:r>
      <w:r w:rsidR="00473AA3" w:rsidRPr="005865D6">
        <w:rPr>
          <w:rFonts w:ascii="Arial" w:hAnsi="Arial" w:cs="Arial"/>
          <w:lang w:val="en-US"/>
        </w:rPr>
        <w:t>)</w:t>
      </w:r>
      <w:r w:rsidR="00473AA3">
        <w:rPr>
          <w:rFonts w:ascii="Arial" w:hAnsi="Arial" w:cs="Arial"/>
          <w:lang w:val="en-US"/>
        </w:rPr>
        <w:t xml:space="preserve">, </w:t>
      </w:r>
      <w:r w:rsidR="009F72D2">
        <w:rPr>
          <w:rFonts w:ascii="Arial" w:hAnsi="Arial" w:cs="Arial"/>
          <w:lang w:val="en-US"/>
        </w:rPr>
        <w:t>48</w:t>
      </w:r>
      <w:r w:rsidR="00473AA3" w:rsidRPr="005865D6">
        <w:rPr>
          <w:rFonts w:ascii="Arial" w:hAnsi="Arial" w:cs="Arial"/>
          <w:lang w:val="en-US"/>
        </w:rPr>
        <w:t>.</w:t>
      </w:r>
      <w:r w:rsidR="009F72D2">
        <w:rPr>
          <w:rFonts w:ascii="Arial" w:hAnsi="Arial" w:cs="Arial"/>
          <w:lang w:val="en-US"/>
        </w:rPr>
        <w:t>4</w:t>
      </w:r>
      <w:r w:rsidR="00473AA3" w:rsidRPr="005865D6">
        <w:rPr>
          <w:rFonts w:ascii="Arial" w:hAnsi="Arial" w:cs="Arial"/>
          <w:lang w:val="en-US"/>
        </w:rPr>
        <w:t>%</w:t>
      </w:r>
      <w:r w:rsidR="00473AA3">
        <w:rPr>
          <w:rFonts w:ascii="Arial" w:hAnsi="Arial" w:cs="Arial"/>
          <w:lang w:val="en-US"/>
        </w:rPr>
        <w:t xml:space="preserve"> (</w:t>
      </w:r>
      <w:r w:rsidR="00473AA3" w:rsidRPr="005865D6">
        <w:rPr>
          <w:rFonts w:ascii="Arial" w:hAnsi="Arial" w:cs="Arial"/>
          <w:lang w:val="en-US"/>
        </w:rPr>
        <w:t xml:space="preserve">95%CI: </w:t>
      </w:r>
      <w:r w:rsidR="009F72D2">
        <w:rPr>
          <w:rFonts w:ascii="Arial" w:hAnsi="Arial" w:cs="Arial"/>
          <w:lang w:val="en-US"/>
        </w:rPr>
        <w:t>30</w:t>
      </w:r>
      <w:r w:rsidR="00473AA3" w:rsidRPr="005865D6">
        <w:rPr>
          <w:rFonts w:ascii="Arial" w:hAnsi="Arial" w:cs="Arial"/>
          <w:lang w:val="en-US"/>
        </w:rPr>
        <w:t>.</w:t>
      </w:r>
      <w:r w:rsidR="009F72D2">
        <w:rPr>
          <w:rFonts w:ascii="Arial" w:hAnsi="Arial" w:cs="Arial"/>
          <w:lang w:val="en-US"/>
        </w:rPr>
        <w:t>56</w:t>
      </w:r>
      <w:r w:rsidR="00B504A9">
        <w:rPr>
          <w:rFonts w:ascii="Arial" w:hAnsi="Arial" w:cs="Arial"/>
          <w:lang w:val="en-US"/>
        </w:rPr>
        <w:sym w:font="Symbol" w:char="F02D"/>
      </w:r>
      <w:r w:rsidR="00B504A9">
        <w:rPr>
          <w:rFonts w:ascii="Arial" w:hAnsi="Arial" w:cs="Arial"/>
          <w:lang w:val="en-US"/>
        </w:rPr>
        <w:t>66</w:t>
      </w:r>
      <w:r w:rsidR="00473AA3" w:rsidRPr="005865D6">
        <w:rPr>
          <w:rFonts w:ascii="Arial" w:hAnsi="Arial" w:cs="Arial"/>
          <w:lang w:val="en-US"/>
        </w:rPr>
        <w:t>.6</w:t>
      </w:r>
      <w:r w:rsidR="00B504A9">
        <w:rPr>
          <w:rFonts w:ascii="Arial" w:hAnsi="Arial" w:cs="Arial"/>
          <w:lang w:val="en-US"/>
        </w:rPr>
        <w:t>0</w:t>
      </w:r>
      <w:r w:rsidR="00473AA3" w:rsidRPr="005865D6">
        <w:rPr>
          <w:rFonts w:ascii="Arial" w:hAnsi="Arial" w:cs="Arial"/>
          <w:lang w:val="en-US"/>
        </w:rPr>
        <w:t>)</w:t>
      </w:r>
      <w:r w:rsidR="00B504A9">
        <w:rPr>
          <w:rFonts w:ascii="Arial" w:hAnsi="Arial" w:cs="Arial"/>
          <w:lang w:val="en-US"/>
        </w:rPr>
        <w:t xml:space="preserve">, </w:t>
      </w:r>
      <w:r w:rsidR="00473AA3" w:rsidRPr="005865D6">
        <w:rPr>
          <w:rFonts w:ascii="Arial" w:hAnsi="Arial" w:cs="Arial"/>
          <w:lang w:val="en-US"/>
        </w:rPr>
        <w:t xml:space="preserve">and </w:t>
      </w:r>
      <w:r w:rsidR="00095EBB" w:rsidRPr="00095EBB">
        <w:rPr>
          <w:rFonts w:ascii="Arial" w:hAnsi="Arial" w:cs="Arial"/>
          <w:lang w:val="en-US"/>
        </w:rPr>
        <w:t>68.75</w:t>
      </w:r>
      <w:r w:rsidR="00473AA3" w:rsidRPr="005865D6">
        <w:rPr>
          <w:rFonts w:ascii="Arial" w:hAnsi="Arial" w:cs="Arial"/>
          <w:lang w:val="en-US"/>
        </w:rPr>
        <w:t xml:space="preserve">% </w:t>
      </w:r>
      <w:r w:rsidR="00473AA3">
        <w:rPr>
          <w:rFonts w:ascii="Arial" w:hAnsi="Arial" w:cs="Arial"/>
          <w:lang w:val="en-US"/>
        </w:rPr>
        <w:t>(</w:t>
      </w:r>
      <w:r w:rsidR="00473AA3" w:rsidRPr="005865D6">
        <w:rPr>
          <w:rFonts w:ascii="Arial" w:hAnsi="Arial" w:cs="Arial"/>
          <w:lang w:val="en-US"/>
        </w:rPr>
        <w:t xml:space="preserve">95%CI: </w:t>
      </w:r>
      <w:r w:rsidR="00095EBB" w:rsidRPr="00095EBB">
        <w:rPr>
          <w:rFonts w:ascii="Arial" w:hAnsi="Arial" w:cs="Arial"/>
          <w:lang w:val="en-US"/>
        </w:rPr>
        <w:t>86.66</w:t>
      </w:r>
      <w:r w:rsidR="00B504A9">
        <w:rPr>
          <w:rFonts w:ascii="Arial" w:hAnsi="Arial" w:cs="Arial"/>
          <w:lang w:val="en-US"/>
        </w:rPr>
        <w:sym w:font="Symbol" w:char="F02D"/>
      </w:r>
      <w:r w:rsidR="00095EBB">
        <w:rPr>
          <w:rFonts w:ascii="Arial" w:hAnsi="Arial" w:cs="Arial"/>
          <w:lang w:val="en-US"/>
        </w:rPr>
        <w:t>100</w:t>
      </w:r>
      <w:r w:rsidR="00473AA3" w:rsidRPr="005865D6">
        <w:rPr>
          <w:rFonts w:ascii="Arial" w:hAnsi="Arial" w:cs="Arial"/>
          <w:lang w:val="en-US"/>
        </w:rPr>
        <w:t>.</w:t>
      </w:r>
      <w:r w:rsidR="00095EBB">
        <w:rPr>
          <w:rFonts w:ascii="Arial" w:hAnsi="Arial" w:cs="Arial"/>
          <w:lang w:val="en-US"/>
        </w:rPr>
        <w:t>00</w:t>
      </w:r>
      <w:r w:rsidR="00473AA3" w:rsidRPr="005865D6">
        <w:rPr>
          <w:rFonts w:ascii="Arial" w:hAnsi="Arial" w:cs="Arial"/>
          <w:lang w:val="en-US"/>
        </w:rPr>
        <w:t>)</w:t>
      </w:r>
      <w:r w:rsidR="00473AA3">
        <w:rPr>
          <w:rFonts w:ascii="Arial" w:hAnsi="Arial" w:cs="Arial"/>
          <w:lang w:val="en-US"/>
        </w:rPr>
        <w:t>, respectively.</w:t>
      </w:r>
      <w:r w:rsidR="000841E5">
        <w:rPr>
          <w:rFonts w:ascii="Arial" w:hAnsi="Arial" w:cs="Arial"/>
          <w:lang w:val="en-US"/>
        </w:rPr>
        <w:t xml:space="preserve"> </w:t>
      </w:r>
      <w:r w:rsidR="002905C7">
        <w:rPr>
          <w:rFonts w:ascii="Arial" w:hAnsi="Arial" w:cs="Arial"/>
          <w:lang w:val="en-US"/>
        </w:rPr>
        <w:t xml:space="preserve">Prevalence ratios are shown in </w:t>
      </w:r>
      <w:r w:rsidR="002905C7" w:rsidRPr="002905C7">
        <w:rPr>
          <w:rFonts w:ascii="Arial" w:hAnsi="Arial" w:cs="Arial"/>
          <w:b/>
          <w:bCs/>
          <w:lang w:val="en-US"/>
        </w:rPr>
        <w:t>Table 2</w:t>
      </w:r>
      <w:r w:rsidR="002905C7">
        <w:rPr>
          <w:rFonts w:ascii="Arial" w:hAnsi="Arial" w:cs="Arial"/>
          <w:lang w:val="en-US"/>
        </w:rPr>
        <w:t>.</w:t>
      </w:r>
      <w:r w:rsidR="008E319F">
        <w:rPr>
          <w:rFonts w:ascii="Arial" w:hAnsi="Arial" w:cs="Arial"/>
          <w:lang w:val="en-US"/>
        </w:rPr>
        <w:t xml:space="preserve"> </w:t>
      </w:r>
      <w:r w:rsidR="00ED0D77">
        <w:rPr>
          <w:rFonts w:ascii="Arial" w:hAnsi="Arial" w:cs="Arial"/>
          <w:lang w:val="en-US"/>
        </w:rPr>
        <w:t>Ordinal logistic regression analyses showed that</w:t>
      </w:r>
      <w:r w:rsidR="004D4F34">
        <w:rPr>
          <w:rFonts w:ascii="Arial" w:hAnsi="Arial" w:cs="Arial"/>
          <w:lang w:val="en-US"/>
        </w:rPr>
        <w:t xml:space="preserve"> </w:t>
      </w:r>
      <w:r w:rsidR="00215862">
        <w:rPr>
          <w:rFonts w:ascii="Arial" w:hAnsi="Arial" w:cs="Arial"/>
          <w:lang w:val="en-US"/>
        </w:rPr>
        <w:t>compared to the 3</w:t>
      </w:r>
      <w:r w:rsidR="00215862" w:rsidRPr="00ED460D">
        <w:rPr>
          <w:rFonts w:ascii="Arial" w:hAnsi="Arial" w:cs="Arial"/>
          <w:lang w:val="en-US"/>
        </w:rPr>
        <w:t>0</w:t>
      </w:r>
      <w:r w:rsidR="00215862">
        <w:rPr>
          <w:rFonts w:ascii="Arial" w:hAnsi="Arial" w:cs="Arial"/>
          <w:lang w:val="en-US"/>
        </w:rPr>
        <w:sym w:font="Symbol" w:char="F02D"/>
      </w:r>
      <w:r w:rsidR="00215862">
        <w:rPr>
          <w:rFonts w:ascii="Arial" w:hAnsi="Arial" w:cs="Arial"/>
          <w:lang w:val="en-US"/>
        </w:rPr>
        <w:t>3</w:t>
      </w:r>
      <w:r w:rsidR="00215862" w:rsidRPr="00ED460D">
        <w:rPr>
          <w:rFonts w:ascii="Arial" w:hAnsi="Arial" w:cs="Arial"/>
          <w:lang w:val="en-US"/>
        </w:rPr>
        <w:t>5</w:t>
      </w:r>
      <w:r w:rsidR="00215862">
        <w:rPr>
          <w:rFonts w:ascii="Arial" w:hAnsi="Arial" w:cs="Arial"/>
          <w:lang w:val="en-US"/>
        </w:rPr>
        <w:t xml:space="preserve"> kg/m</w:t>
      </w:r>
      <w:r w:rsidR="00215862" w:rsidRPr="008E319F">
        <w:rPr>
          <w:rFonts w:ascii="Arial" w:hAnsi="Arial" w:cs="Arial"/>
          <w:vertAlign w:val="superscript"/>
          <w:lang w:val="en-US"/>
        </w:rPr>
        <w:t>2</w:t>
      </w:r>
      <w:r w:rsidR="00215862" w:rsidRPr="005865D6">
        <w:rPr>
          <w:rFonts w:ascii="Arial" w:hAnsi="Arial" w:cs="Arial"/>
          <w:lang w:val="en-US"/>
        </w:rPr>
        <w:t xml:space="preserve"> </w:t>
      </w:r>
      <w:r w:rsidR="00215862">
        <w:rPr>
          <w:rFonts w:ascii="Arial" w:hAnsi="Arial" w:cs="Arial"/>
          <w:lang w:val="en-US"/>
        </w:rPr>
        <w:t>category</w:t>
      </w:r>
      <w:r w:rsidR="003944A2">
        <w:rPr>
          <w:rFonts w:ascii="Arial" w:hAnsi="Arial" w:cs="Arial"/>
          <w:lang w:val="en-US"/>
        </w:rPr>
        <w:t>,</w:t>
      </w:r>
      <w:r w:rsidR="00215862">
        <w:rPr>
          <w:rFonts w:ascii="Arial" w:hAnsi="Arial" w:cs="Arial"/>
          <w:lang w:val="en-US"/>
        </w:rPr>
        <w:t xml:space="preserve"> </w:t>
      </w:r>
      <w:r w:rsidR="003944A2">
        <w:rPr>
          <w:rFonts w:ascii="Arial" w:hAnsi="Arial" w:cs="Arial"/>
          <w:lang w:val="en-US"/>
        </w:rPr>
        <w:t xml:space="preserve">the odds of a higher atelectasis percentage did not increase </w:t>
      </w:r>
      <w:r w:rsidR="004D4F34">
        <w:rPr>
          <w:rFonts w:ascii="Arial" w:hAnsi="Arial" w:cs="Arial"/>
          <w:lang w:val="en-US"/>
        </w:rPr>
        <w:t xml:space="preserve">in the </w:t>
      </w:r>
      <w:r w:rsidR="004D4F34" w:rsidRPr="00ED460D">
        <w:rPr>
          <w:rFonts w:ascii="Arial" w:hAnsi="Arial" w:cs="Arial"/>
          <w:lang w:val="en-US"/>
        </w:rPr>
        <w:t>40</w:t>
      </w:r>
      <w:r w:rsidR="004D4F34">
        <w:rPr>
          <w:rFonts w:ascii="Arial" w:hAnsi="Arial" w:cs="Arial"/>
          <w:lang w:val="en-US"/>
        </w:rPr>
        <w:sym w:font="Symbol" w:char="F02D"/>
      </w:r>
      <w:r w:rsidR="004D4F34" w:rsidRPr="00ED460D">
        <w:rPr>
          <w:rFonts w:ascii="Arial" w:hAnsi="Arial" w:cs="Arial"/>
          <w:lang w:val="en-US"/>
        </w:rPr>
        <w:t>45</w:t>
      </w:r>
      <w:r w:rsidR="004D4F34">
        <w:rPr>
          <w:rFonts w:ascii="Arial" w:hAnsi="Arial" w:cs="Arial"/>
          <w:lang w:val="en-US"/>
        </w:rPr>
        <w:t xml:space="preserve"> </w:t>
      </w:r>
      <w:r w:rsidR="0060728F">
        <w:rPr>
          <w:rFonts w:ascii="Arial" w:hAnsi="Arial" w:cs="Arial"/>
          <w:lang w:val="en-US"/>
        </w:rPr>
        <w:t>kg/m</w:t>
      </w:r>
      <w:r w:rsidR="0060728F" w:rsidRPr="008E319F">
        <w:rPr>
          <w:rFonts w:ascii="Arial" w:hAnsi="Arial" w:cs="Arial"/>
          <w:vertAlign w:val="superscript"/>
          <w:lang w:val="en-US"/>
        </w:rPr>
        <w:t>2</w:t>
      </w:r>
      <w:r w:rsidR="0060728F">
        <w:rPr>
          <w:rFonts w:ascii="Arial" w:hAnsi="Arial" w:cs="Arial"/>
          <w:lang w:val="en-US"/>
        </w:rPr>
        <w:t xml:space="preserve"> group </w:t>
      </w:r>
      <w:r w:rsidR="0060728F" w:rsidRPr="005865D6">
        <w:rPr>
          <w:rFonts w:ascii="Arial" w:hAnsi="Arial" w:cs="Arial"/>
          <w:lang w:val="en-US"/>
        </w:rPr>
        <w:t>(</w:t>
      </w:r>
      <w:proofErr w:type="spellStart"/>
      <w:r w:rsidR="0060728F">
        <w:rPr>
          <w:rFonts w:ascii="Arial" w:hAnsi="Arial" w:cs="Arial"/>
          <w:lang w:val="en-US"/>
        </w:rPr>
        <w:t>aOR</w:t>
      </w:r>
      <w:proofErr w:type="spellEnd"/>
      <w:r w:rsidR="0060728F" w:rsidRPr="005865D6">
        <w:rPr>
          <w:rFonts w:ascii="Arial" w:hAnsi="Arial" w:cs="Arial"/>
          <w:lang w:val="en-US"/>
        </w:rPr>
        <w:t>=</w:t>
      </w:r>
      <w:r w:rsidR="00825B8C" w:rsidRPr="00C7513C">
        <w:rPr>
          <w:rFonts w:ascii="Arial" w:hAnsi="Arial" w:cs="Arial"/>
        </w:rPr>
        <w:t>0.</w:t>
      </w:r>
      <w:r w:rsidR="0066216D">
        <w:rPr>
          <w:rFonts w:ascii="Arial" w:hAnsi="Arial" w:cs="Arial"/>
        </w:rPr>
        <w:t>77</w:t>
      </w:r>
      <w:r w:rsidR="0060728F" w:rsidRPr="005865D6">
        <w:rPr>
          <w:rFonts w:ascii="Arial" w:hAnsi="Arial" w:cs="Arial"/>
          <w:lang w:val="en-US"/>
        </w:rPr>
        <w:t xml:space="preserve">, 95%CI: </w:t>
      </w:r>
      <w:r w:rsidR="00835929">
        <w:rPr>
          <w:rFonts w:ascii="Arial" w:hAnsi="Arial" w:cs="Arial"/>
          <w:lang w:val="en-US"/>
        </w:rPr>
        <w:t>0</w:t>
      </w:r>
      <w:r w:rsidR="0060728F">
        <w:rPr>
          <w:rFonts w:ascii="Arial" w:hAnsi="Arial" w:cs="Arial"/>
          <w:lang w:val="en-US"/>
        </w:rPr>
        <w:t>.</w:t>
      </w:r>
      <w:r w:rsidR="000A2BD6">
        <w:rPr>
          <w:rFonts w:ascii="Arial" w:hAnsi="Arial" w:cs="Arial"/>
          <w:lang w:val="en-US"/>
        </w:rPr>
        <w:t>50</w:t>
      </w:r>
      <w:r w:rsidR="0060728F">
        <w:rPr>
          <w:rFonts w:ascii="Arial" w:hAnsi="Arial" w:cs="Arial"/>
          <w:lang w:val="en-US"/>
        </w:rPr>
        <w:sym w:font="Symbol" w:char="F02D"/>
      </w:r>
      <w:r w:rsidR="000A2BD6">
        <w:rPr>
          <w:rFonts w:ascii="Arial" w:hAnsi="Arial" w:cs="Arial"/>
          <w:lang w:val="en-US"/>
        </w:rPr>
        <w:t>4</w:t>
      </w:r>
      <w:r w:rsidR="0060728F" w:rsidRPr="005865D6">
        <w:rPr>
          <w:rFonts w:ascii="Arial" w:hAnsi="Arial" w:cs="Arial"/>
          <w:lang w:val="en-US"/>
        </w:rPr>
        <w:t>.</w:t>
      </w:r>
      <w:r w:rsidR="000A2BD6">
        <w:rPr>
          <w:rFonts w:ascii="Arial" w:hAnsi="Arial" w:cs="Arial"/>
          <w:lang w:val="en-US"/>
        </w:rPr>
        <w:t>2</w:t>
      </w:r>
      <w:r w:rsidR="00835929">
        <w:rPr>
          <w:rFonts w:ascii="Arial" w:hAnsi="Arial" w:cs="Arial"/>
          <w:lang w:val="en-US"/>
        </w:rPr>
        <w:t>0</w:t>
      </w:r>
      <w:r w:rsidR="0060728F" w:rsidRPr="005865D6">
        <w:rPr>
          <w:rFonts w:ascii="Arial" w:hAnsi="Arial" w:cs="Arial"/>
          <w:lang w:val="en-US"/>
        </w:rPr>
        <w:t>)</w:t>
      </w:r>
      <w:r w:rsidR="00835929">
        <w:rPr>
          <w:rFonts w:ascii="Arial" w:hAnsi="Arial" w:cs="Arial"/>
          <w:lang w:val="en-US"/>
        </w:rPr>
        <w:t xml:space="preserve">, whereas </w:t>
      </w:r>
      <w:r w:rsidR="00EF59F7">
        <w:rPr>
          <w:rFonts w:ascii="Arial" w:hAnsi="Arial" w:cs="Arial"/>
          <w:lang w:val="en-US"/>
        </w:rPr>
        <w:t xml:space="preserve">the odds </w:t>
      </w:r>
      <w:r w:rsidR="00115421">
        <w:rPr>
          <w:rFonts w:ascii="Arial" w:hAnsi="Arial" w:cs="Arial"/>
          <w:lang w:val="en-US"/>
        </w:rPr>
        <w:t xml:space="preserve">of higher atelectasis affection </w:t>
      </w:r>
      <w:r w:rsidR="00EF59F7">
        <w:rPr>
          <w:rFonts w:ascii="Arial" w:hAnsi="Arial" w:cs="Arial"/>
          <w:lang w:val="en-US"/>
        </w:rPr>
        <w:t xml:space="preserve">increased in several orders of magnitude </w:t>
      </w:r>
      <w:r w:rsidR="00835929">
        <w:rPr>
          <w:rFonts w:ascii="Arial" w:hAnsi="Arial" w:cs="Arial"/>
          <w:lang w:val="en-US"/>
        </w:rPr>
        <w:t xml:space="preserve">in the </w:t>
      </w:r>
      <w:r w:rsidR="00835929" w:rsidRPr="008E319F">
        <w:rPr>
          <w:rFonts w:ascii="Arial" w:hAnsi="Arial" w:cs="Arial"/>
          <w:lang w:val="en-US"/>
        </w:rPr>
        <w:t>45</w:t>
      </w:r>
      <w:r w:rsidR="00835929">
        <w:rPr>
          <w:rFonts w:ascii="Arial" w:hAnsi="Arial" w:cs="Arial"/>
          <w:lang w:val="en-US"/>
        </w:rPr>
        <w:sym w:font="Symbol" w:char="F02D"/>
      </w:r>
      <w:r w:rsidR="00835929" w:rsidRPr="008E319F">
        <w:rPr>
          <w:rFonts w:ascii="Arial" w:hAnsi="Arial" w:cs="Arial"/>
          <w:lang w:val="en-US"/>
        </w:rPr>
        <w:t>50</w:t>
      </w:r>
      <w:r w:rsidR="00EF59F7">
        <w:rPr>
          <w:rFonts w:ascii="Arial" w:hAnsi="Arial" w:cs="Arial"/>
          <w:lang w:val="en-US"/>
        </w:rPr>
        <w:t xml:space="preserve"> </w:t>
      </w:r>
      <w:r w:rsidR="00EF59F7" w:rsidRPr="005865D6">
        <w:rPr>
          <w:rFonts w:ascii="Arial" w:hAnsi="Arial" w:cs="Arial"/>
          <w:lang w:val="en-US"/>
        </w:rPr>
        <w:t>(</w:t>
      </w:r>
      <w:proofErr w:type="spellStart"/>
      <w:r w:rsidR="00EF59F7">
        <w:rPr>
          <w:rFonts w:ascii="Arial" w:hAnsi="Arial" w:cs="Arial"/>
          <w:lang w:val="en-US"/>
        </w:rPr>
        <w:t>aOR</w:t>
      </w:r>
      <w:proofErr w:type="spellEnd"/>
      <w:r w:rsidR="00EF59F7" w:rsidRPr="005865D6">
        <w:rPr>
          <w:rFonts w:ascii="Arial" w:hAnsi="Arial" w:cs="Arial"/>
          <w:lang w:val="en-US"/>
        </w:rPr>
        <w:t>=</w:t>
      </w:r>
      <w:r w:rsidR="000A2BD6">
        <w:rPr>
          <w:rFonts w:ascii="Arial" w:hAnsi="Arial" w:cs="Arial"/>
        </w:rPr>
        <w:t>6</w:t>
      </w:r>
      <w:r w:rsidR="00EF59F7" w:rsidRPr="00C7513C">
        <w:rPr>
          <w:rFonts w:ascii="Arial" w:hAnsi="Arial" w:cs="Arial"/>
        </w:rPr>
        <w:t>.</w:t>
      </w:r>
      <w:r w:rsidR="000A2BD6">
        <w:rPr>
          <w:rFonts w:ascii="Arial" w:hAnsi="Arial" w:cs="Arial"/>
        </w:rPr>
        <w:t>2</w:t>
      </w:r>
      <w:r w:rsidR="00087CB0">
        <w:rPr>
          <w:rFonts w:ascii="Arial" w:hAnsi="Arial" w:cs="Arial"/>
        </w:rPr>
        <w:t>0</w:t>
      </w:r>
      <w:r w:rsidR="00EF59F7" w:rsidRPr="005865D6">
        <w:rPr>
          <w:rFonts w:ascii="Arial" w:hAnsi="Arial" w:cs="Arial"/>
          <w:lang w:val="en-US"/>
        </w:rPr>
        <w:t xml:space="preserve">, 95%CI: </w:t>
      </w:r>
      <w:r w:rsidR="00087CB0">
        <w:rPr>
          <w:rFonts w:ascii="Arial" w:hAnsi="Arial" w:cs="Arial"/>
          <w:lang w:val="en-US"/>
        </w:rPr>
        <w:t>2</w:t>
      </w:r>
      <w:r w:rsidR="00EF59F7">
        <w:rPr>
          <w:rFonts w:ascii="Arial" w:hAnsi="Arial" w:cs="Arial"/>
          <w:lang w:val="en-US"/>
        </w:rPr>
        <w:t>.</w:t>
      </w:r>
      <w:r w:rsidR="00C72C8B">
        <w:rPr>
          <w:rFonts w:ascii="Arial" w:hAnsi="Arial" w:cs="Arial"/>
          <w:lang w:val="en-US"/>
        </w:rPr>
        <w:t>32</w:t>
      </w:r>
      <w:r w:rsidR="00EF59F7">
        <w:rPr>
          <w:rFonts w:ascii="Arial" w:hAnsi="Arial" w:cs="Arial"/>
          <w:lang w:val="en-US"/>
        </w:rPr>
        <w:sym w:font="Symbol" w:char="F02D"/>
      </w:r>
      <w:r w:rsidR="00183F6A">
        <w:rPr>
          <w:rFonts w:ascii="Arial" w:hAnsi="Arial" w:cs="Arial"/>
          <w:lang w:val="en-US"/>
        </w:rPr>
        <w:t>1</w:t>
      </w:r>
      <w:r w:rsidR="00C72C8B">
        <w:rPr>
          <w:rFonts w:ascii="Arial" w:hAnsi="Arial" w:cs="Arial"/>
          <w:lang w:val="en-US"/>
        </w:rPr>
        <w:t>6</w:t>
      </w:r>
      <w:r w:rsidR="00EF59F7" w:rsidRPr="005865D6">
        <w:rPr>
          <w:rFonts w:ascii="Arial" w:hAnsi="Arial" w:cs="Arial"/>
          <w:lang w:val="en-US"/>
        </w:rPr>
        <w:t>.</w:t>
      </w:r>
      <w:r w:rsidR="00C72C8B">
        <w:rPr>
          <w:rFonts w:ascii="Arial" w:hAnsi="Arial" w:cs="Arial"/>
          <w:lang w:val="en-US"/>
        </w:rPr>
        <w:t>57</w:t>
      </w:r>
      <w:r w:rsidR="00EF59F7" w:rsidRPr="005865D6">
        <w:rPr>
          <w:rFonts w:ascii="Arial" w:hAnsi="Arial" w:cs="Arial"/>
          <w:lang w:val="en-US"/>
        </w:rPr>
        <w:t>)</w:t>
      </w:r>
      <w:r w:rsidR="00835929">
        <w:rPr>
          <w:rFonts w:ascii="Arial" w:hAnsi="Arial" w:cs="Arial"/>
          <w:lang w:val="en-US"/>
        </w:rPr>
        <w:t xml:space="preserve">, and </w:t>
      </w:r>
      <w:r w:rsidR="00835929" w:rsidRPr="008E319F">
        <w:rPr>
          <w:rFonts w:ascii="Arial" w:hAnsi="Arial" w:cs="Arial"/>
          <w:lang w:val="en-US"/>
        </w:rPr>
        <w:t>≥50</w:t>
      </w:r>
      <w:r w:rsidR="00835929">
        <w:rPr>
          <w:rFonts w:ascii="Arial" w:hAnsi="Arial" w:cs="Arial"/>
          <w:lang w:val="en-US"/>
        </w:rPr>
        <w:t xml:space="preserve"> kg/m</w:t>
      </w:r>
      <w:r w:rsidR="00835929" w:rsidRPr="008E319F">
        <w:rPr>
          <w:rFonts w:ascii="Arial" w:hAnsi="Arial" w:cs="Arial"/>
          <w:vertAlign w:val="superscript"/>
          <w:lang w:val="en-US"/>
        </w:rPr>
        <w:t>2</w:t>
      </w:r>
      <w:r w:rsidR="00835929">
        <w:rPr>
          <w:rFonts w:ascii="Arial" w:hAnsi="Arial" w:cs="Arial"/>
          <w:lang w:val="en-US"/>
        </w:rPr>
        <w:t xml:space="preserve"> </w:t>
      </w:r>
      <w:r w:rsidR="00EF59F7" w:rsidRPr="005865D6">
        <w:rPr>
          <w:rFonts w:ascii="Arial" w:hAnsi="Arial" w:cs="Arial"/>
          <w:lang w:val="en-US"/>
        </w:rPr>
        <w:t>(</w:t>
      </w:r>
      <w:proofErr w:type="spellStart"/>
      <w:r w:rsidR="00EF59F7">
        <w:rPr>
          <w:rFonts w:ascii="Arial" w:hAnsi="Arial" w:cs="Arial"/>
          <w:lang w:val="en-US"/>
        </w:rPr>
        <w:t>aOR</w:t>
      </w:r>
      <w:proofErr w:type="spellEnd"/>
      <w:r w:rsidR="00EF59F7" w:rsidRPr="005865D6">
        <w:rPr>
          <w:rFonts w:ascii="Arial" w:hAnsi="Arial" w:cs="Arial"/>
          <w:lang w:val="en-US"/>
        </w:rPr>
        <w:t>=</w:t>
      </w:r>
      <w:r w:rsidR="00C72C8B">
        <w:rPr>
          <w:rFonts w:ascii="Arial" w:hAnsi="Arial" w:cs="Arial"/>
        </w:rPr>
        <w:t>54</w:t>
      </w:r>
      <w:r w:rsidR="00EF59F7" w:rsidRPr="00C7513C">
        <w:rPr>
          <w:rFonts w:ascii="Arial" w:hAnsi="Arial" w:cs="Arial"/>
        </w:rPr>
        <w:t>.</w:t>
      </w:r>
      <w:r w:rsidR="00C72C8B">
        <w:rPr>
          <w:rFonts w:ascii="Arial" w:hAnsi="Arial" w:cs="Arial"/>
        </w:rPr>
        <w:t>85</w:t>
      </w:r>
      <w:r w:rsidR="00EF59F7" w:rsidRPr="005865D6">
        <w:rPr>
          <w:rFonts w:ascii="Arial" w:hAnsi="Arial" w:cs="Arial"/>
          <w:lang w:val="en-US"/>
        </w:rPr>
        <w:t xml:space="preserve">, 95%CI: </w:t>
      </w:r>
      <w:r w:rsidR="00C72C8B">
        <w:rPr>
          <w:rFonts w:ascii="Arial" w:hAnsi="Arial" w:cs="Arial"/>
          <w:lang w:val="en-US"/>
        </w:rPr>
        <w:t>18</w:t>
      </w:r>
      <w:r w:rsidR="00EF59F7">
        <w:rPr>
          <w:rFonts w:ascii="Arial" w:hAnsi="Arial" w:cs="Arial"/>
          <w:lang w:val="en-US"/>
        </w:rPr>
        <w:t>.</w:t>
      </w:r>
      <w:r w:rsidR="00183F6A">
        <w:rPr>
          <w:rFonts w:ascii="Arial" w:hAnsi="Arial" w:cs="Arial"/>
          <w:lang w:val="en-US"/>
        </w:rPr>
        <w:t>4</w:t>
      </w:r>
      <w:r w:rsidR="00C72C8B">
        <w:rPr>
          <w:rFonts w:ascii="Arial" w:hAnsi="Arial" w:cs="Arial"/>
          <w:lang w:val="en-US"/>
        </w:rPr>
        <w:t>6</w:t>
      </w:r>
      <w:r w:rsidR="00EF59F7">
        <w:rPr>
          <w:rFonts w:ascii="Arial" w:hAnsi="Arial" w:cs="Arial"/>
          <w:lang w:val="en-US"/>
        </w:rPr>
        <w:sym w:font="Symbol" w:char="F02D"/>
      </w:r>
      <w:r w:rsidR="00635872">
        <w:rPr>
          <w:rFonts w:ascii="Arial" w:hAnsi="Arial" w:cs="Arial"/>
          <w:lang w:val="en-US"/>
        </w:rPr>
        <w:t>1</w:t>
      </w:r>
      <w:r w:rsidR="00C72C8B">
        <w:rPr>
          <w:rFonts w:ascii="Arial" w:hAnsi="Arial" w:cs="Arial"/>
          <w:lang w:val="en-US"/>
        </w:rPr>
        <w:t>62</w:t>
      </w:r>
      <w:r w:rsidR="00EF59F7" w:rsidRPr="005865D6">
        <w:rPr>
          <w:rFonts w:ascii="Arial" w:hAnsi="Arial" w:cs="Arial"/>
          <w:lang w:val="en-US"/>
        </w:rPr>
        <w:t>.</w:t>
      </w:r>
      <w:r w:rsidR="00C72C8B">
        <w:rPr>
          <w:rFonts w:ascii="Arial" w:hAnsi="Arial" w:cs="Arial"/>
          <w:lang w:val="en-US"/>
        </w:rPr>
        <w:t>94</w:t>
      </w:r>
      <w:r w:rsidR="00EF59F7" w:rsidRPr="005865D6">
        <w:rPr>
          <w:rFonts w:ascii="Arial" w:hAnsi="Arial" w:cs="Arial"/>
          <w:lang w:val="en-US"/>
        </w:rPr>
        <w:t>)</w:t>
      </w:r>
      <w:r w:rsidR="00EF59F7">
        <w:rPr>
          <w:rFonts w:ascii="Arial" w:hAnsi="Arial" w:cs="Arial"/>
          <w:lang w:val="en-US"/>
        </w:rPr>
        <w:t xml:space="preserve"> </w:t>
      </w:r>
      <w:r w:rsidR="00635872">
        <w:rPr>
          <w:rFonts w:ascii="Arial" w:hAnsi="Arial" w:cs="Arial"/>
          <w:lang w:val="en-US"/>
        </w:rPr>
        <w:t>groups</w:t>
      </w:r>
      <w:r w:rsidR="00C169B8">
        <w:rPr>
          <w:rFonts w:ascii="Arial" w:hAnsi="Arial" w:cs="Arial"/>
          <w:lang w:val="en-US"/>
        </w:rPr>
        <w:t xml:space="preserve"> (</w:t>
      </w:r>
      <w:r w:rsidR="00C169B8" w:rsidRPr="009A1F5C">
        <w:rPr>
          <w:rFonts w:ascii="Arial" w:hAnsi="Arial" w:cs="Arial"/>
          <w:b/>
          <w:bCs/>
          <w:lang w:val="en-US"/>
        </w:rPr>
        <w:t>Supplementary Table S</w:t>
      </w:r>
      <w:r w:rsidR="00C169B8">
        <w:rPr>
          <w:rFonts w:ascii="Arial" w:hAnsi="Arial" w:cs="Arial"/>
          <w:b/>
          <w:bCs/>
          <w:lang w:val="en-US"/>
        </w:rPr>
        <w:t>2</w:t>
      </w:r>
      <w:r w:rsidR="00C169B8">
        <w:rPr>
          <w:rFonts w:ascii="Arial" w:hAnsi="Arial" w:cs="Arial"/>
          <w:lang w:val="en-US"/>
        </w:rPr>
        <w:t>)</w:t>
      </w:r>
      <w:r w:rsidR="00D9051C">
        <w:rPr>
          <w:rFonts w:ascii="Arial" w:hAnsi="Arial" w:cs="Arial"/>
          <w:lang w:val="en-US"/>
        </w:rPr>
        <w:t xml:space="preserve">. </w:t>
      </w:r>
      <w:r w:rsidR="00990068">
        <w:rPr>
          <w:rFonts w:ascii="Arial" w:hAnsi="Arial" w:cs="Arial"/>
          <w:lang w:val="en-US"/>
        </w:rPr>
        <w:t xml:space="preserve">The partial proportional odds model </w:t>
      </w:r>
      <w:r w:rsidR="00D9051C">
        <w:rPr>
          <w:rFonts w:ascii="Arial" w:hAnsi="Arial" w:cs="Arial"/>
          <w:lang w:val="en-US"/>
        </w:rPr>
        <w:t xml:space="preserve">led to unreliable estimates due to the Hauck-Donner effect and is thus not reported.  </w:t>
      </w:r>
    </w:p>
    <w:p w14:paraId="5D619E8A" w14:textId="7060F74B" w:rsidR="00113E60" w:rsidRPr="001A4B2E" w:rsidRDefault="001A4B2E" w:rsidP="005A5B1E">
      <w:pPr>
        <w:spacing w:line="480" w:lineRule="auto"/>
        <w:jc w:val="both"/>
        <w:rPr>
          <w:rFonts w:ascii="Arial" w:hAnsi="Arial" w:cs="Arial"/>
          <w:b/>
          <w:bCs/>
          <w:i/>
          <w:iCs/>
          <w:lang w:val="en-US"/>
        </w:rPr>
      </w:pPr>
      <w:r w:rsidRPr="001A4B2E">
        <w:rPr>
          <w:rFonts w:ascii="Arial" w:hAnsi="Arial" w:cs="Arial"/>
          <w:b/>
          <w:bCs/>
          <w:i/>
          <w:iCs/>
          <w:lang w:val="en-US"/>
        </w:rPr>
        <w:t>SpO2 during the pre-anesthetic assessment</w:t>
      </w:r>
    </w:p>
    <w:p w14:paraId="51BCA9C1" w14:textId="5EB83F7A" w:rsidR="00114925" w:rsidRDefault="00113E60" w:rsidP="005A5B1E">
      <w:pPr>
        <w:spacing w:line="480" w:lineRule="auto"/>
        <w:jc w:val="both"/>
        <w:rPr>
          <w:rFonts w:ascii="Arial" w:eastAsia="Arial" w:hAnsi="Arial" w:cs="Arial"/>
          <w:color w:val="000000"/>
          <w:lang w:val="en-US"/>
        </w:rPr>
      </w:pPr>
      <w:r w:rsidRPr="005865D6">
        <w:rPr>
          <w:rFonts w:ascii="Arial" w:hAnsi="Arial" w:cs="Arial"/>
          <w:lang w:val="en-US"/>
        </w:rPr>
        <w:t>The median SpO2 was 96</w:t>
      </w:r>
      <w:r w:rsidR="000E53E7" w:rsidRPr="005865D6">
        <w:rPr>
          <w:rFonts w:ascii="Arial" w:hAnsi="Arial" w:cs="Arial"/>
          <w:lang w:val="en-US"/>
        </w:rPr>
        <w:t>%</w:t>
      </w:r>
      <w:r w:rsidRPr="005865D6">
        <w:rPr>
          <w:rFonts w:ascii="Arial" w:hAnsi="Arial" w:cs="Arial"/>
          <w:lang w:val="en-US"/>
        </w:rPr>
        <w:t xml:space="preserve"> (IQR: 93</w:t>
      </w:r>
      <w:r w:rsidR="00293AAD">
        <w:rPr>
          <w:rFonts w:ascii="Arial" w:hAnsi="Arial" w:cs="Arial"/>
          <w:lang w:val="en-US"/>
        </w:rPr>
        <w:sym w:font="Symbol" w:char="F02D"/>
      </w:r>
      <w:r w:rsidRPr="005865D6">
        <w:rPr>
          <w:rFonts w:ascii="Arial" w:hAnsi="Arial" w:cs="Arial"/>
          <w:lang w:val="en-US"/>
        </w:rPr>
        <w:t xml:space="preserve">97), with a minimum value of 88%. </w:t>
      </w:r>
      <w:r w:rsidR="00633389">
        <w:rPr>
          <w:rFonts w:ascii="Arial" w:hAnsi="Arial" w:cs="Arial"/>
          <w:lang w:val="en-US"/>
        </w:rPr>
        <w:t>A total</w:t>
      </w:r>
      <w:r w:rsidRPr="005865D6">
        <w:rPr>
          <w:rFonts w:ascii="Arial" w:hAnsi="Arial" w:cs="Arial"/>
          <w:lang w:val="en-US"/>
        </w:rPr>
        <w:t xml:space="preserve"> n=146 (61.9%) had normal SpO2 (above 94%), whereas n=75 (31.8%) had a value in the 90</w:t>
      </w:r>
      <w:r w:rsidR="00293AAD">
        <w:rPr>
          <w:rFonts w:ascii="Arial" w:hAnsi="Arial" w:cs="Arial"/>
          <w:lang w:val="en-US"/>
        </w:rPr>
        <w:sym w:font="Symbol" w:char="F02D"/>
      </w:r>
      <w:r w:rsidRPr="005865D6">
        <w:rPr>
          <w:rFonts w:ascii="Arial" w:hAnsi="Arial" w:cs="Arial"/>
          <w:lang w:val="en-US"/>
        </w:rPr>
        <w:t xml:space="preserve">94% range, and n=15 (6.4%) had ≤90%. BMI exhibited a negative non-linear </w:t>
      </w:r>
      <w:r w:rsidR="00433A68">
        <w:rPr>
          <w:rFonts w:ascii="Arial" w:hAnsi="Arial" w:cs="Arial"/>
          <w:lang w:val="en-US"/>
        </w:rPr>
        <w:t>non-</w:t>
      </w:r>
      <w:r w:rsidRPr="005865D6">
        <w:rPr>
          <w:rFonts w:ascii="Arial" w:hAnsi="Arial" w:cs="Arial"/>
          <w:lang w:val="en-US"/>
        </w:rPr>
        <w:t>monotonic relationship with SpO2 (</w:t>
      </w:r>
      <w:r w:rsidRPr="005865D6">
        <w:rPr>
          <w:rFonts w:ascii="Arial" w:hAnsi="Arial" w:cs="Arial"/>
          <w:b/>
          <w:bCs/>
          <w:lang w:val="en-US"/>
        </w:rPr>
        <w:t xml:space="preserve">Figure </w:t>
      </w:r>
      <w:r w:rsidR="00433A68">
        <w:rPr>
          <w:rFonts w:ascii="Arial" w:hAnsi="Arial" w:cs="Arial"/>
          <w:b/>
          <w:bCs/>
          <w:lang w:val="en-US"/>
        </w:rPr>
        <w:t>1B</w:t>
      </w:r>
      <w:r w:rsidR="009B362B">
        <w:rPr>
          <w:rFonts w:ascii="Arial" w:hAnsi="Arial" w:cs="Arial"/>
          <w:lang w:val="en-US"/>
        </w:rPr>
        <w:t>)</w:t>
      </w:r>
      <w:r w:rsidRPr="005865D6">
        <w:rPr>
          <w:rFonts w:ascii="Arial" w:hAnsi="Arial" w:cs="Arial"/>
          <w:lang w:val="en-US"/>
        </w:rPr>
        <w:t xml:space="preserve">. </w:t>
      </w:r>
      <w:r w:rsidR="001123CE" w:rsidRPr="005865D6">
        <w:rPr>
          <w:rFonts w:ascii="Arial" w:hAnsi="Arial" w:cs="Arial"/>
          <w:lang w:val="en-US"/>
        </w:rPr>
        <w:t>SpO2 was significantly lower in patients with atelectasis (92, IQR: 91</w:t>
      </w:r>
      <w:r w:rsidR="00A872FF">
        <w:rPr>
          <w:rFonts w:ascii="Arial" w:hAnsi="Arial" w:cs="Arial"/>
          <w:lang w:val="en-US"/>
        </w:rPr>
        <w:sym w:font="Symbol" w:char="F02D"/>
      </w:r>
      <w:r w:rsidR="001123CE" w:rsidRPr="005865D6">
        <w:rPr>
          <w:rFonts w:ascii="Arial" w:hAnsi="Arial" w:cs="Arial"/>
          <w:lang w:val="en-US"/>
        </w:rPr>
        <w:t>93) compared to those without (97, IQR: 96</w:t>
      </w:r>
      <w:r w:rsidR="00293AAD">
        <w:rPr>
          <w:rFonts w:ascii="Arial" w:hAnsi="Arial" w:cs="Arial"/>
          <w:lang w:val="en-US"/>
        </w:rPr>
        <w:sym w:font="Symbol" w:char="F02D"/>
      </w:r>
      <w:r w:rsidR="001123CE" w:rsidRPr="005865D6">
        <w:rPr>
          <w:rFonts w:ascii="Arial" w:hAnsi="Arial" w:cs="Arial"/>
          <w:lang w:val="en-US"/>
        </w:rPr>
        <w:t xml:space="preserve">98) (p&lt;0.001), and lower </w:t>
      </w:r>
      <w:r w:rsidR="00337D47" w:rsidRPr="005865D6">
        <w:rPr>
          <w:rFonts w:ascii="Arial" w:hAnsi="Arial" w:cs="Arial"/>
          <w:lang w:val="en-US"/>
        </w:rPr>
        <w:t>in patients with bilateral atelectasis (91.5, IQR: 90</w:t>
      </w:r>
      <w:r w:rsidR="00293AAD">
        <w:rPr>
          <w:rFonts w:ascii="Arial" w:hAnsi="Arial" w:cs="Arial"/>
          <w:lang w:val="en-US"/>
        </w:rPr>
        <w:sym w:font="Symbol" w:char="F02D"/>
      </w:r>
      <w:r w:rsidR="00337D47" w:rsidRPr="005865D6">
        <w:rPr>
          <w:rFonts w:ascii="Arial" w:hAnsi="Arial" w:cs="Arial"/>
          <w:lang w:val="en-US"/>
        </w:rPr>
        <w:t>92) compared to those with unilateral atelectasis (92, IQR: 92</w:t>
      </w:r>
      <w:r w:rsidR="00293AAD">
        <w:rPr>
          <w:rFonts w:ascii="Arial" w:hAnsi="Arial" w:cs="Arial"/>
          <w:lang w:val="en-US"/>
        </w:rPr>
        <w:sym w:font="Symbol" w:char="F02D"/>
      </w:r>
      <w:r w:rsidR="00337D47" w:rsidRPr="005865D6">
        <w:rPr>
          <w:rFonts w:ascii="Arial" w:hAnsi="Arial" w:cs="Arial"/>
          <w:lang w:val="en-US"/>
        </w:rPr>
        <w:t>93) (p=0.006)</w:t>
      </w:r>
      <w:r w:rsidR="001123CE" w:rsidRPr="005865D6">
        <w:rPr>
          <w:rFonts w:ascii="Arial" w:hAnsi="Arial" w:cs="Arial"/>
          <w:lang w:val="en-US"/>
        </w:rPr>
        <w:t>.</w:t>
      </w:r>
      <w:r w:rsidR="00337D47" w:rsidRPr="005865D6">
        <w:rPr>
          <w:rFonts w:ascii="Arial" w:hAnsi="Arial" w:cs="Arial"/>
          <w:lang w:val="en-US"/>
        </w:rPr>
        <w:t xml:space="preserve"> </w:t>
      </w:r>
      <w:r w:rsidR="00C364ED" w:rsidRPr="005865D6">
        <w:rPr>
          <w:rFonts w:ascii="Arial" w:hAnsi="Arial" w:cs="Arial"/>
          <w:lang w:val="en-US"/>
        </w:rPr>
        <w:t>There was a decreasing trend in SpO2 with higher atelectasis percentage extension (</w:t>
      </w:r>
      <w:r w:rsidR="00C364ED" w:rsidRPr="005865D6">
        <w:rPr>
          <w:rFonts w:ascii="Arial" w:hAnsi="Arial" w:cs="Arial"/>
          <w:b/>
          <w:bCs/>
          <w:lang w:val="en-US"/>
        </w:rPr>
        <w:t xml:space="preserve">Figure </w:t>
      </w:r>
      <w:r w:rsidR="00337B75">
        <w:rPr>
          <w:rFonts w:ascii="Arial" w:hAnsi="Arial" w:cs="Arial"/>
          <w:b/>
          <w:bCs/>
          <w:lang w:val="en-US"/>
        </w:rPr>
        <w:t>1C</w:t>
      </w:r>
      <w:r w:rsidR="00C364ED" w:rsidRPr="005865D6">
        <w:rPr>
          <w:rFonts w:ascii="Arial" w:hAnsi="Arial" w:cs="Arial"/>
          <w:lang w:val="en-US"/>
        </w:rPr>
        <w:t>).</w:t>
      </w:r>
      <w:r w:rsidR="00474639" w:rsidRPr="00474639">
        <w:rPr>
          <w:rFonts w:ascii="Arial" w:hAnsi="Arial" w:cs="Arial"/>
          <w:lang w:val="en-US"/>
        </w:rPr>
        <w:t xml:space="preserve"> </w:t>
      </w:r>
      <w:r w:rsidR="00474639" w:rsidRPr="005865D6">
        <w:rPr>
          <w:rFonts w:ascii="Arial" w:hAnsi="Arial" w:cs="Arial"/>
          <w:lang w:val="en-US"/>
        </w:rPr>
        <w:t>Patients with sleep apnea had a lower median SpO2 (92, IQR: 91</w:t>
      </w:r>
      <w:r w:rsidR="00474639">
        <w:rPr>
          <w:rFonts w:ascii="Arial" w:hAnsi="Arial" w:cs="Arial"/>
          <w:lang w:val="en-US"/>
        </w:rPr>
        <w:sym w:font="Symbol" w:char="F02D"/>
      </w:r>
      <w:r w:rsidR="00474639" w:rsidRPr="005865D6">
        <w:rPr>
          <w:rFonts w:ascii="Arial" w:hAnsi="Arial" w:cs="Arial"/>
          <w:lang w:val="en-US"/>
        </w:rPr>
        <w:t>93) than those without (96, IQR: 93</w:t>
      </w:r>
      <w:r w:rsidR="00474639">
        <w:rPr>
          <w:rFonts w:ascii="Arial" w:hAnsi="Arial" w:cs="Arial"/>
          <w:lang w:val="en-US"/>
        </w:rPr>
        <w:sym w:font="Symbol" w:char="F02D"/>
      </w:r>
      <w:r w:rsidR="00474639" w:rsidRPr="005865D6">
        <w:rPr>
          <w:rFonts w:ascii="Arial" w:hAnsi="Arial" w:cs="Arial"/>
          <w:lang w:val="en-US"/>
        </w:rPr>
        <w:t>97) (p&lt;0.001).</w:t>
      </w:r>
      <w:r w:rsidR="00B879AD">
        <w:rPr>
          <w:rFonts w:ascii="Arial" w:hAnsi="Arial" w:cs="Arial"/>
          <w:lang w:val="en-US"/>
        </w:rPr>
        <w:t xml:space="preserve"> </w:t>
      </w:r>
      <w:r w:rsidR="00623483">
        <w:rPr>
          <w:rFonts w:ascii="Arial" w:hAnsi="Arial" w:cs="Arial"/>
          <w:lang w:val="en-US"/>
        </w:rPr>
        <w:t xml:space="preserve">SpO2 </w:t>
      </w:r>
      <w:r w:rsidR="00B879AD">
        <w:rPr>
          <w:rFonts w:ascii="Arial" w:hAnsi="Arial" w:cs="Arial"/>
          <w:lang w:val="en-US"/>
        </w:rPr>
        <w:t xml:space="preserve">was not correlated </w:t>
      </w:r>
      <w:r w:rsidR="00030610">
        <w:rPr>
          <w:rFonts w:ascii="Arial" w:hAnsi="Arial" w:cs="Arial"/>
          <w:lang w:val="en-US"/>
        </w:rPr>
        <w:t>(</w:t>
      </w:r>
      <w:r w:rsidR="00030610" w:rsidRPr="00030610">
        <w:rPr>
          <w:rFonts w:ascii="Arial" w:hAnsi="Arial" w:cs="Arial"/>
          <w:lang w:val="en-US"/>
        </w:rPr>
        <w:t>rho= -0.065, p=0.32</w:t>
      </w:r>
      <w:r w:rsidR="00030610">
        <w:rPr>
          <w:rFonts w:ascii="Arial" w:hAnsi="Arial" w:cs="Arial"/>
          <w:lang w:val="en-US"/>
        </w:rPr>
        <w:t xml:space="preserve">) </w:t>
      </w:r>
      <w:r w:rsidR="00623483">
        <w:rPr>
          <w:rFonts w:ascii="Arial" w:hAnsi="Arial" w:cs="Arial"/>
          <w:lang w:val="en-US"/>
        </w:rPr>
        <w:t xml:space="preserve">with </w:t>
      </w:r>
      <w:r w:rsidR="00B879AD">
        <w:rPr>
          <w:rFonts w:ascii="Arial" w:hAnsi="Arial" w:cs="Arial"/>
          <w:lang w:val="en-US"/>
        </w:rPr>
        <w:t>th</w:t>
      </w:r>
      <w:r w:rsidR="00BF55EA">
        <w:rPr>
          <w:rFonts w:ascii="Arial" w:hAnsi="Arial" w:cs="Arial"/>
          <w:lang w:val="en-US"/>
        </w:rPr>
        <w:t>e values</w:t>
      </w:r>
      <w:r w:rsidR="00623483">
        <w:rPr>
          <w:rFonts w:ascii="Arial" w:hAnsi="Arial" w:cs="Arial"/>
          <w:lang w:val="en-US"/>
        </w:rPr>
        <w:t xml:space="preserve"> of hemoglobin</w:t>
      </w:r>
      <w:r w:rsidR="00BF55EA">
        <w:rPr>
          <w:rFonts w:ascii="Arial" w:hAnsi="Arial" w:cs="Arial"/>
          <w:lang w:val="en-US"/>
        </w:rPr>
        <w:t xml:space="preserve"> </w:t>
      </w:r>
      <w:r w:rsidR="00777EFF">
        <w:rPr>
          <w:rFonts w:ascii="Arial" w:hAnsi="Arial" w:cs="Arial"/>
          <w:lang w:val="en-US"/>
        </w:rPr>
        <w:t>(mean:</w:t>
      </w:r>
      <w:r w:rsidR="00777EFF" w:rsidRPr="005865D6">
        <w:rPr>
          <w:rFonts w:ascii="Arial" w:eastAsia="Arial" w:hAnsi="Arial" w:cs="Arial"/>
          <w:color w:val="000000"/>
          <w:lang w:val="en-US"/>
        </w:rPr>
        <w:t>14.5</w:t>
      </w:r>
      <w:r w:rsidR="00777EFF">
        <w:rPr>
          <w:rFonts w:ascii="Arial" w:eastAsia="Arial" w:hAnsi="Arial" w:cs="Arial"/>
          <w:color w:val="000000"/>
          <w:lang w:val="en-US"/>
        </w:rPr>
        <w:t>, SD:</w:t>
      </w:r>
      <w:r w:rsidR="00777EFF" w:rsidRPr="005865D6">
        <w:rPr>
          <w:rFonts w:ascii="Arial" w:eastAsia="Arial" w:hAnsi="Arial" w:cs="Arial"/>
          <w:color w:val="000000"/>
          <w:lang w:val="en-US"/>
        </w:rPr>
        <w:t>1.21</w:t>
      </w:r>
      <w:r w:rsidR="00777EFF">
        <w:rPr>
          <w:rFonts w:ascii="Arial" w:eastAsia="Arial" w:hAnsi="Arial" w:cs="Arial"/>
          <w:color w:val="000000"/>
          <w:lang w:val="en-US"/>
        </w:rPr>
        <w:t xml:space="preserve"> </w:t>
      </w:r>
      <w:r w:rsidR="00777EFF">
        <w:rPr>
          <w:rFonts w:ascii="Arial" w:eastAsia="Arial" w:hAnsi="Arial" w:cs="Arial"/>
          <w:color w:val="000000"/>
          <w:lang w:val="en-US"/>
        </w:rPr>
        <w:lastRenderedPageBreak/>
        <w:t>g/dL</w:t>
      </w:r>
      <w:r w:rsidR="00777EFF" w:rsidRPr="005865D6">
        <w:rPr>
          <w:rFonts w:ascii="Arial" w:eastAsia="Arial" w:hAnsi="Arial" w:cs="Arial"/>
          <w:color w:val="000000"/>
          <w:lang w:val="en-US"/>
        </w:rPr>
        <w:t>)</w:t>
      </w:r>
      <w:r w:rsidR="00777EFF">
        <w:rPr>
          <w:rFonts w:ascii="Arial" w:eastAsia="Arial" w:hAnsi="Arial" w:cs="Arial"/>
          <w:color w:val="000000"/>
          <w:lang w:val="en-US"/>
        </w:rPr>
        <w:t xml:space="preserve"> </w:t>
      </w:r>
      <w:r w:rsidR="00BF55EA">
        <w:rPr>
          <w:rFonts w:ascii="Arial" w:hAnsi="Arial" w:cs="Arial"/>
          <w:lang w:val="en-US"/>
        </w:rPr>
        <w:t>observed in this study</w:t>
      </w:r>
      <w:r w:rsidR="001F06FB">
        <w:rPr>
          <w:rFonts w:ascii="Arial" w:eastAsia="Arial" w:hAnsi="Arial" w:cs="Arial"/>
          <w:color w:val="000000"/>
          <w:lang w:val="en-US"/>
        </w:rPr>
        <w:t xml:space="preserve">. </w:t>
      </w:r>
      <w:r w:rsidR="00772BB4">
        <w:rPr>
          <w:rFonts w:ascii="Arial" w:eastAsia="Arial" w:hAnsi="Arial" w:cs="Arial"/>
          <w:color w:val="000000"/>
          <w:lang w:val="en-US"/>
        </w:rPr>
        <w:t xml:space="preserve">Similarly, </w:t>
      </w:r>
      <w:r w:rsidR="00FA0036">
        <w:rPr>
          <w:rFonts w:ascii="Arial" w:eastAsia="Arial" w:hAnsi="Arial" w:cs="Arial"/>
          <w:color w:val="000000"/>
          <w:lang w:val="en-US"/>
        </w:rPr>
        <w:t xml:space="preserve">mean altitude of the place of residence </w:t>
      </w:r>
      <w:r w:rsidR="00915CD8">
        <w:rPr>
          <w:rFonts w:ascii="Arial" w:eastAsia="Arial" w:hAnsi="Arial" w:cs="Arial"/>
          <w:color w:val="000000"/>
          <w:lang w:val="en-US"/>
        </w:rPr>
        <w:t xml:space="preserve">(range: </w:t>
      </w:r>
      <w:r w:rsidR="005C2A61">
        <w:rPr>
          <w:rFonts w:ascii="Arial" w:eastAsia="Arial" w:hAnsi="Arial" w:cs="Arial"/>
          <w:color w:val="000000"/>
          <w:lang w:val="en-US"/>
        </w:rPr>
        <w:t>31</w:t>
      </w:r>
      <w:r w:rsidR="00F234B4">
        <w:rPr>
          <w:rFonts w:ascii="Arial" w:hAnsi="Arial" w:cs="Arial"/>
          <w:lang w:val="en-US"/>
        </w:rPr>
        <w:sym w:font="Symbol" w:char="F02D"/>
      </w:r>
      <w:r w:rsidR="005C2A61">
        <w:rPr>
          <w:rFonts w:ascii="Arial" w:eastAsia="Arial" w:hAnsi="Arial" w:cs="Arial"/>
          <w:color w:val="000000"/>
          <w:lang w:val="en-US"/>
        </w:rPr>
        <w:t xml:space="preserve">1861 </w:t>
      </w:r>
      <w:proofErr w:type="spellStart"/>
      <w:r w:rsidR="001C0D15" w:rsidRPr="001C0D15">
        <w:rPr>
          <w:rFonts w:ascii="Arial" w:eastAsia="Arial" w:hAnsi="Arial" w:cs="Arial"/>
          <w:color w:val="000000"/>
          <w:lang w:val="en-US"/>
        </w:rPr>
        <w:t>m.a.s.l</w:t>
      </w:r>
      <w:proofErr w:type="spellEnd"/>
      <w:r w:rsidR="001C0D15" w:rsidRPr="001C0D15">
        <w:rPr>
          <w:rFonts w:ascii="Arial" w:eastAsia="Arial" w:hAnsi="Arial" w:cs="Arial"/>
          <w:color w:val="000000"/>
          <w:lang w:val="en-US"/>
        </w:rPr>
        <w:t>.</w:t>
      </w:r>
      <w:r w:rsidR="00915CD8">
        <w:rPr>
          <w:rFonts w:ascii="Arial" w:eastAsia="Arial" w:hAnsi="Arial" w:cs="Arial"/>
          <w:color w:val="000000"/>
          <w:lang w:val="en-US"/>
        </w:rPr>
        <w:t>)</w:t>
      </w:r>
      <w:r w:rsidR="001C0D15">
        <w:rPr>
          <w:rFonts w:ascii="Arial" w:eastAsia="Arial" w:hAnsi="Arial" w:cs="Arial"/>
          <w:color w:val="000000"/>
          <w:lang w:val="en-US"/>
        </w:rPr>
        <w:t>, age</w:t>
      </w:r>
      <w:r w:rsidR="005961D3">
        <w:rPr>
          <w:rFonts w:ascii="Arial" w:eastAsia="Arial" w:hAnsi="Arial" w:cs="Arial"/>
          <w:color w:val="000000"/>
          <w:lang w:val="en-US"/>
        </w:rPr>
        <w:t xml:space="preserve"> </w:t>
      </w:r>
      <w:r w:rsidR="005961D3" w:rsidRPr="005961D3">
        <w:rPr>
          <w:rFonts w:ascii="Arial" w:eastAsia="Arial" w:hAnsi="Arial" w:cs="Arial"/>
          <w:color w:val="000000"/>
          <w:lang w:val="en-US"/>
        </w:rPr>
        <w:t>(rho= 0.022, p=0.74)</w:t>
      </w:r>
      <w:r w:rsidR="001C0D15">
        <w:rPr>
          <w:rFonts w:ascii="Arial" w:eastAsia="Arial" w:hAnsi="Arial" w:cs="Arial"/>
          <w:color w:val="000000"/>
          <w:lang w:val="en-US"/>
        </w:rPr>
        <w:t>, and sex</w:t>
      </w:r>
      <w:r w:rsidR="00915CD8">
        <w:rPr>
          <w:rFonts w:ascii="Arial" w:eastAsia="Arial" w:hAnsi="Arial" w:cs="Arial"/>
          <w:color w:val="000000"/>
          <w:lang w:val="en-US"/>
        </w:rPr>
        <w:t xml:space="preserve"> </w:t>
      </w:r>
      <w:r w:rsidR="00380425" w:rsidRPr="00380425">
        <w:rPr>
          <w:rFonts w:ascii="Arial" w:eastAsia="Arial" w:hAnsi="Arial" w:cs="Arial"/>
          <w:color w:val="000000"/>
          <w:lang w:val="en-US"/>
        </w:rPr>
        <w:t>(p=0.413)</w:t>
      </w:r>
      <w:r w:rsidR="00380425">
        <w:rPr>
          <w:rFonts w:ascii="Arial" w:eastAsia="Arial" w:hAnsi="Arial" w:cs="Arial"/>
          <w:color w:val="000000"/>
          <w:lang w:val="en-US"/>
        </w:rPr>
        <w:t xml:space="preserve"> </w:t>
      </w:r>
      <w:r w:rsidR="00FA0036">
        <w:rPr>
          <w:rFonts w:ascii="Arial" w:eastAsia="Arial" w:hAnsi="Arial" w:cs="Arial"/>
          <w:color w:val="000000"/>
          <w:lang w:val="en-US"/>
        </w:rPr>
        <w:t>w</w:t>
      </w:r>
      <w:r w:rsidR="001C0D15">
        <w:rPr>
          <w:rFonts w:ascii="Arial" w:eastAsia="Arial" w:hAnsi="Arial" w:cs="Arial"/>
          <w:color w:val="000000"/>
          <w:lang w:val="en-US"/>
        </w:rPr>
        <w:t>ere</w:t>
      </w:r>
      <w:r w:rsidR="00FA0036">
        <w:rPr>
          <w:rFonts w:ascii="Arial" w:eastAsia="Arial" w:hAnsi="Arial" w:cs="Arial"/>
          <w:color w:val="000000"/>
          <w:lang w:val="en-US"/>
        </w:rPr>
        <w:t xml:space="preserve"> not associated with </w:t>
      </w:r>
      <w:r w:rsidR="00915CD8">
        <w:rPr>
          <w:rFonts w:ascii="Arial" w:eastAsia="Arial" w:hAnsi="Arial" w:cs="Arial"/>
          <w:color w:val="000000"/>
          <w:lang w:val="en-US"/>
        </w:rPr>
        <w:t xml:space="preserve">SpO2. </w:t>
      </w:r>
    </w:p>
    <w:p w14:paraId="17170534" w14:textId="7CAF0B20" w:rsidR="007B1CEF" w:rsidRDefault="005F7CF6" w:rsidP="005A5B1E">
      <w:pPr>
        <w:spacing w:line="480" w:lineRule="auto"/>
        <w:jc w:val="both"/>
        <w:rPr>
          <w:rFonts w:ascii="Arial" w:hAnsi="Arial" w:cs="Arial"/>
          <w:lang w:val="en-US"/>
        </w:rPr>
      </w:pPr>
      <w:r>
        <w:rPr>
          <w:rFonts w:ascii="Arial" w:hAnsi="Arial" w:cs="Arial"/>
          <w:lang w:val="en-US"/>
        </w:rPr>
        <w:t xml:space="preserve">Generalized additive models were created to </w:t>
      </w:r>
      <w:r w:rsidR="00A22384">
        <w:rPr>
          <w:rFonts w:ascii="Arial" w:hAnsi="Arial" w:cs="Arial"/>
          <w:lang w:val="en-US"/>
        </w:rPr>
        <w:t>model</w:t>
      </w:r>
      <w:r>
        <w:rPr>
          <w:rFonts w:ascii="Arial" w:hAnsi="Arial" w:cs="Arial"/>
          <w:lang w:val="en-US"/>
        </w:rPr>
        <w:t xml:space="preserve"> the non-linear relationship between BMI and</w:t>
      </w:r>
      <w:r w:rsidR="00A22384">
        <w:rPr>
          <w:rFonts w:ascii="Arial" w:hAnsi="Arial" w:cs="Arial"/>
          <w:lang w:val="en-US"/>
        </w:rPr>
        <w:t xml:space="preserve"> SpO2</w:t>
      </w:r>
      <w:r w:rsidR="00F36BB0">
        <w:rPr>
          <w:rFonts w:ascii="Arial" w:hAnsi="Arial" w:cs="Arial"/>
          <w:lang w:val="en-US"/>
        </w:rPr>
        <w:t>, allowing the incorporation of additional linear and categorical terms</w:t>
      </w:r>
      <w:r w:rsidR="00FD2C39">
        <w:rPr>
          <w:rFonts w:ascii="Arial" w:hAnsi="Arial" w:cs="Arial"/>
          <w:lang w:val="en-US"/>
        </w:rPr>
        <w:t xml:space="preserve"> (</w:t>
      </w:r>
      <w:r w:rsidR="00FD2C39" w:rsidRPr="009A1F5C">
        <w:rPr>
          <w:rFonts w:ascii="Arial" w:hAnsi="Arial" w:cs="Arial"/>
          <w:b/>
          <w:bCs/>
          <w:lang w:val="en-US"/>
        </w:rPr>
        <w:t>Supplementary Table S</w:t>
      </w:r>
      <w:r w:rsidR="00FD2C39">
        <w:rPr>
          <w:rFonts w:ascii="Arial" w:hAnsi="Arial" w:cs="Arial"/>
          <w:b/>
          <w:bCs/>
          <w:lang w:val="en-US"/>
        </w:rPr>
        <w:t>3</w:t>
      </w:r>
      <w:r w:rsidR="00FD2C39">
        <w:rPr>
          <w:rFonts w:ascii="Arial" w:hAnsi="Arial" w:cs="Arial"/>
          <w:lang w:val="en-US"/>
        </w:rPr>
        <w:t>)</w:t>
      </w:r>
      <w:r w:rsidR="00F36BB0">
        <w:rPr>
          <w:rFonts w:ascii="Arial" w:hAnsi="Arial" w:cs="Arial"/>
          <w:lang w:val="en-US"/>
        </w:rPr>
        <w:t xml:space="preserve">. </w:t>
      </w:r>
      <w:r w:rsidR="002814E4">
        <w:rPr>
          <w:rFonts w:ascii="Arial" w:hAnsi="Arial" w:cs="Arial"/>
          <w:lang w:val="en-US"/>
        </w:rPr>
        <w:t xml:space="preserve">A non-linear term of BMI </w:t>
      </w:r>
      <w:r w:rsidR="00E4427A">
        <w:rPr>
          <w:rFonts w:ascii="Arial" w:hAnsi="Arial" w:cs="Arial"/>
          <w:lang w:val="en-US"/>
        </w:rPr>
        <w:t xml:space="preserve">alone </w:t>
      </w:r>
      <w:r w:rsidR="002814E4">
        <w:rPr>
          <w:rFonts w:ascii="Arial" w:hAnsi="Arial" w:cs="Arial"/>
          <w:lang w:val="en-US"/>
        </w:rPr>
        <w:t xml:space="preserve">explained </w:t>
      </w:r>
      <w:r w:rsidR="00CF659C">
        <w:rPr>
          <w:rFonts w:ascii="Arial" w:hAnsi="Arial" w:cs="Arial"/>
          <w:lang w:val="en-US"/>
        </w:rPr>
        <w:t>3</w:t>
      </w:r>
      <w:r w:rsidR="00B572EE">
        <w:rPr>
          <w:rFonts w:ascii="Arial" w:hAnsi="Arial" w:cs="Arial"/>
          <w:lang w:val="en-US"/>
        </w:rPr>
        <w:t>2</w:t>
      </w:r>
      <w:r w:rsidR="00CF659C">
        <w:rPr>
          <w:rFonts w:ascii="Arial" w:hAnsi="Arial" w:cs="Arial"/>
          <w:lang w:val="en-US"/>
        </w:rPr>
        <w:t>.</w:t>
      </w:r>
      <w:r w:rsidR="00B572EE">
        <w:rPr>
          <w:rFonts w:ascii="Arial" w:hAnsi="Arial" w:cs="Arial"/>
          <w:lang w:val="en-US"/>
        </w:rPr>
        <w:t>9</w:t>
      </w:r>
      <w:r w:rsidR="00CF659C">
        <w:rPr>
          <w:rFonts w:ascii="Arial" w:hAnsi="Arial" w:cs="Arial"/>
          <w:lang w:val="en-US"/>
        </w:rPr>
        <w:t>% of the variability in SpO2</w:t>
      </w:r>
      <w:r w:rsidR="00733179">
        <w:rPr>
          <w:rFonts w:ascii="Arial" w:hAnsi="Arial" w:cs="Arial"/>
          <w:lang w:val="en-US"/>
        </w:rPr>
        <w:t xml:space="preserve"> (</w:t>
      </w:r>
      <w:r w:rsidR="00733179" w:rsidRPr="005865D6">
        <w:rPr>
          <w:rFonts w:ascii="Arial" w:hAnsi="Arial" w:cs="Arial"/>
          <w:b/>
          <w:bCs/>
          <w:lang w:val="en-US"/>
        </w:rPr>
        <w:t xml:space="preserve">Figure </w:t>
      </w:r>
      <w:r w:rsidR="001F5499">
        <w:rPr>
          <w:rFonts w:ascii="Arial" w:hAnsi="Arial" w:cs="Arial"/>
          <w:b/>
          <w:bCs/>
          <w:lang w:val="en-US"/>
        </w:rPr>
        <w:t>3</w:t>
      </w:r>
      <w:r w:rsidR="00733179">
        <w:rPr>
          <w:rFonts w:ascii="Arial" w:hAnsi="Arial" w:cs="Arial"/>
          <w:b/>
          <w:bCs/>
          <w:lang w:val="en-US"/>
        </w:rPr>
        <w:t>A)</w:t>
      </w:r>
      <w:r w:rsidR="00CF659C">
        <w:rPr>
          <w:rFonts w:ascii="Arial" w:hAnsi="Arial" w:cs="Arial"/>
          <w:lang w:val="en-US"/>
        </w:rPr>
        <w:t xml:space="preserve">, whereas </w:t>
      </w:r>
      <w:r w:rsidR="00733179">
        <w:rPr>
          <w:rFonts w:ascii="Arial" w:hAnsi="Arial" w:cs="Arial"/>
          <w:lang w:val="en-US"/>
        </w:rPr>
        <w:t xml:space="preserve">OSA alone explained </w:t>
      </w:r>
      <w:r w:rsidR="00032212">
        <w:rPr>
          <w:rFonts w:ascii="Arial" w:hAnsi="Arial" w:cs="Arial"/>
          <w:lang w:val="en-US"/>
        </w:rPr>
        <w:t>1</w:t>
      </w:r>
      <w:r w:rsidR="00B572EE">
        <w:rPr>
          <w:rFonts w:ascii="Arial" w:hAnsi="Arial" w:cs="Arial"/>
          <w:lang w:val="en-US"/>
        </w:rPr>
        <w:t>0</w:t>
      </w:r>
      <w:r w:rsidR="00032212">
        <w:rPr>
          <w:rFonts w:ascii="Arial" w:hAnsi="Arial" w:cs="Arial"/>
          <w:lang w:val="en-US"/>
        </w:rPr>
        <w:t>.</w:t>
      </w:r>
      <w:r w:rsidR="00B572EE">
        <w:rPr>
          <w:rFonts w:ascii="Arial" w:hAnsi="Arial" w:cs="Arial"/>
          <w:lang w:val="en-US"/>
        </w:rPr>
        <w:t>3</w:t>
      </w:r>
      <w:r w:rsidR="00032212">
        <w:rPr>
          <w:rFonts w:ascii="Arial" w:hAnsi="Arial" w:cs="Arial"/>
          <w:lang w:val="en-US"/>
        </w:rPr>
        <w:t xml:space="preserve">%, and atelectasis percent alone accounted for </w:t>
      </w:r>
      <w:r w:rsidR="00980E1C" w:rsidRPr="00980E1C">
        <w:rPr>
          <w:rFonts w:ascii="Arial" w:hAnsi="Arial" w:cs="Arial"/>
          <w:lang w:val="en-US"/>
        </w:rPr>
        <w:t>6</w:t>
      </w:r>
      <w:r w:rsidR="00981177">
        <w:rPr>
          <w:rFonts w:ascii="Arial" w:hAnsi="Arial" w:cs="Arial"/>
          <w:lang w:val="en-US"/>
        </w:rPr>
        <w:t>2</w:t>
      </w:r>
      <w:r w:rsidR="00980E1C" w:rsidRPr="00980E1C">
        <w:rPr>
          <w:rFonts w:ascii="Arial" w:hAnsi="Arial" w:cs="Arial"/>
          <w:lang w:val="en-US"/>
        </w:rPr>
        <w:t>.</w:t>
      </w:r>
      <w:r w:rsidR="00981177">
        <w:rPr>
          <w:rFonts w:ascii="Arial" w:hAnsi="Arial" w:cs="Arial"/>
          <w:lang w:val="en-US"/>
        </w:rPr>
        <w:t>6</w:t>
      </w:r>
      <w:r w:rsidR="00980E1C">
        <w:rPr>
          <w:rFonts w:ascii="Arial" w:hAnsi="Arial" w:cs="Arial"/>
          <w:lang w:val="en-US"/>
        </w:rPr>
        <w:t xml:space="preserve">% of the variation in SpO2. </w:t>
      </w:r>
      <w:r w:rsidR="00237769">
        <w:rPr>
          <w:rFonts w:ascii="Arial" w:hAnsi="Arial" w:cs="Arial"/>
          <w:lang w:val="en-US"/>
        </w:rPr>
        <w:t>When combining</w:t>
      </w:r>
      <w:r w:rsidR="00166950">
        <w:rPr>
          <w:rFonts w:ascii="Arial" w:hAnsi="Arial" w:cs="Arial"/>
          <w:lang w:val="en-US"/>
        </w:rPr>
        <w:t xml:space="preserve"> the smoothed BMI term with OSA</w:t>
      </w:r>
      <w:r w:rsidR="005E33E9">
        <w:rPr>
          <w:rFonts w:ascii="Arial" w:hAnsi="Arial" w:cs="Arial"/>
          <w:lang w:val="en-US"/>
        </w:rPr>
        <w:t xml:space="preserve"> (</w:t>
      </w:r>
      <w:r w:rsidR="005E33E9" w:rsidRPr="005865D6">
        <w:rPr>
          <w:rFonts w:ascii="Arial" w:hAnsi="Arial" w:cs="Arial"/>
          <w:b/>
          <w:bCs/>
          <w:lang w:val="en-US"/>
        </w:rPr>
        <w:t xml:space="preserve">Figure </w:t>
      </w:r>
      <w:r w:rsidR="001F5499">
        <w:rPr>
          <w:rFonts w:ascii="Arial" w:hAnsi="Arial" w:cs="Arial"/>
          <w:b/>
          <w:bCs/>
          <w:lang w:val="en-US"/>
        </w:rPr>
        <w:t>3</w:t>
      </w:r>
      <w:r w:rsidR="005A727D">
        <w:rPr>
          <w:rFonts w:ascii="Arial" w:hAnsi="Arial" w:cs="Arial"/>
          <w:b/>
          <w:bCs/>
          <w:lang w:val="en-US"/>
        </w:rPr>
        <w:t>B</w:t>
      </w:r>
      <w:r w:rsidR="005E33E9">
        <w:rPr>
          <w:rFonts w:ascii="Arial" w:hAnsi="Arial" w:cs="Arial"/>
          <w:lang w:val="en-US"/>
        </w:rPr>
        <w:t>)</w:t>
      </w:r>
      <w:r w:rsidR="007028F2">
        <w:rPr>
          <w:rFonts w:ascii="Arial" w:hAnsi="Arial" w:cs="Arial"/>
          <w:lang w:val="en-US"/>
        </w:rPr>
        <w:t>,</w:t>
      </w:r>
      <w:r w:rsidR="005A727D">
        <w:rPr>
          <w:rFonts w:ascii="Arial" w:hAnsi="Arial" w:cs="Arial"/>
          <w:lang w:val="en-US"/>
        </w:rPr>
        <w:t xml:space="preserve"> </w:t>
      </w:r>
      <w:r w:rsidR="00877C4D">
        <w:rPr>
          <w:rFonts w:ascii="Arial" w:hAnsi="Arial" w:cs="Arial"/>
          <w:lang w:val="en-US"/>
        </w:rPr>
        <w:t xml:space="preserve">the </w:t>
      </w:r>
      <w:r w:rsidR="00981177">
        <w:rPr>
          <w:rFonts w:ascii="Arial" w:hAnsi="Arial" w:cs="Arial"/>
          <w:lang w:val="en-US"/>
        </w:rPr>
        <w:t>explained deviance</w:t>
      </w:r>
      <w:r w:rsidR="007028F2">
        <w:rPr>
          <w:rFonts w:ascii="Arial" w:hAnsi="Arial" w:cs="Arial"/>
          <w:lang w:val="en-US"/>
        </w:rPr>
        <w:t xml:space="preserve"> increased to </w:t>
      </w:r>
      <w:r w:rsidR="00981177">
        <w:rPr>
          <w:rFonts w:ascii="Arial" w:hAnsi="Arial" w:cs="Arial"/>
          <w:lang w:val="en-US"/>
        </w:rPr>
        <w:t>38</w:t>
      </w:r>
      <w:r w:rsidR="007028F2">
        <w:rPr>
          <w:rFonts w:ascii="Arial" w:hAnsi="Arial" w:cs="Arial"/>
          <w:lang w:val="en-US"/>
        </w:rPr>
        <w:t>.</w:t>
      </w:r>
      <w:r w:rsidR="00981177">
        <w:rPr>
          <w:rFonts w:ascii="Arial" w:hAnsi="Arial" w:cs="Arial"/>
          <w:lang w:val="en-US"/>
        </w:rPr>
        <w:t>8</w:t>
      </w:r>
      <w:r w:rsidR="007028F2">
        <w:rPr>
          <w:rFonts w:ascii="Arial" w:hAnsi="Arial" w:cs="Arial"/>
          <w:lang w:val="en-US"/>
        </w:rPr>
        <w:t xml:space="preserve">% but </w:t>
      </w:r>
      <w:r w:rsidR="00D8253D">
        <w:rPr>
          <w:rFonts w:ascii="Arial" w:hAnsi="Arial" w:cs="Arial"/>
          <w:lang w:val="en-US"/>
        </w:rPr>
        <w:t>the partial effect of BMI</w:t>
      </w:r>
      <w:r w:rsidR="00D61E95">
        <w:rPr>
          <w:rFonts w:ascii="Arial" w:hAnsi="Arial" w:cs="Arial"/>
          <w:lang w:val="en-US"/>
        </w:rPr>
        <w:t xml:space="preserve"> on SpO2 </w:t>
      </w:r>
      <w:r w:rsidR="00B4317E">
        <w:rPr>
          <w:rFonts w:ascii="Arial" w:hAnsi="Arial" w:cs="Arial"/>
          <w:lang w:val="en-US"/>
        </w:rPr>
        <w:t xml:space="preserve">was not </w:t>
      </w:r>
      <w:r w:rsidR="001A652C">
        <w:rPr>
          <w:rFonts w:ascii="Arial" w:hAnsi="Arial" w:cs="Arial"/>
          <w:lang w:val="en-US"/>
        </w:rPr>
        <w:t xml:space="preserve">significantly </w:t>
      </w:r>
      <w:r w:rsidR="00877D7F">
        <w:rPr>
          <w:rFonts w:ascii="Arial" w:hAnsi="Arial" w:cs="Arial"/>
          <w:lang w:val="en-US"/>
        </w:rPr>
        <w:t>altered</w:t>
      </w:r>
      <w:r w:rsidR="00B4317E">
        <w:rPr>
          <w:rFonts w:ascii="Arial" w:hAnsi="Arial" w:cs="Arial"/>
          <w:lang w:val="en-US"/>
        </w:rPr>
        <w:t xml:space="preserve">. However, when modelling BMI </w:t>
      </w:r>
      <w:r w:rsidR="00A24532">
        <w:rPr>
          <w:rFonts w:ascii="Arial" w:hAnsi="Arial" w:cs="Arial"/>
          <w:lang w:val="en-US"/>
        </w:rPr>
        <w:t>plus</w:t>
      </w:r>
      <w:r w:rsidR="005A727D">
        <w:rPr>
          <w:rFonts w:ascii="Arial" w:hAnsi="Arial" w:cs="Arial"/>
          <w:lang w:val="en-US"/>
        </w:rPr>
        <w:t xml:space="preserve"> atelectasis percent (</w:t>
      </w:r>
      <w:r w:rsidR="005A727D" w:rsidRPr="005865D6">
        <w:rPr>
          <w:rFonts w:ascii="Arial" w:hAnsi="Arial" w:cs="Arial"/>
          <w:b/>
          <w:bCs/>
          <w:lang w:val="en-US"/>
        </w:rPr>
        <w:t xml:space="preserve">Figure </w:t>
      </w:r>
      <w:r w:rsidR="001F5499">
        <w:rPr>
          <w:rFonts w:ascii="Arial" w:hAnsi="Arial" w:cs="Arial"/>
          <w:b/>
          <w:bCs/>
          <w:lang w:val="en-US"/>
        </w:rPr>
        <w:t>3</w:t>
      </w:r>
      <w:r w:rsidR="005A727D">
        <w:rPr>
          <w:rFonts w:ascii="Arial" w:hAnsi="Arial" w:cs="Arial"/>
          <w:b/>
          <w:bCs/>
          <w:lang w:val="en-US"/>
        </w:rPr>
        <w:t>C</w:t>
      </w:r>
      <w:r w:rsidR="005A727D" w:rsidRPr="005A727D">
        <w:rPr>
          <w:rFonts w:ascii="Arial" w:hAnsi="Arial" w:cs="Arial"/>
          <w:lang w:val="en-US"/>
        </w:rPr>
        <w:t>)</w:t>
      </w:r>
      <w:r w:rsidR="005A727D">
        <w:rPr>
          <w:rFonts w:ascii="Arial" w:hAnsi="Arial" w:cs="Arial"/>
          <w:lang w:val="en-US"/>
        </w:rPr>
        <w:t>,</w:t>
      </w:r>
      <w:r w:rsidR="0053088F">
        <w:rPr>
          <w:rFonts w:ascii="Arial" w:hAnsi="Arial" w:cs="Arial"/>
          <w:lang w:val="en-US"/>
        </w:rPr>
        <w:t xml:space="preserve"> </w:t>
      </w:r>
      <w:r w:rsidR="002565CC">
        <w:rPr>
          <w:rFonts w:ascii="Arial" w:hAnsi="Arial" w:cs="Arial"/>
          <w:lang w:val="en-US"/>
        </w:rPr>
        <w:t xml:space="preserve">this model explained </w:t>
      </w:r>
      <w:r w:rsidR="00C153DC">
        <w:rPr>
          <w:rFonts w:ascii="Arial" w:hAnsi="Arial" w:cs="Arial"/>
          <w:lang w:val="en-US"/>
        </w:rPr>
        <w:t>6</w:t>
      </w:r>
      <w:r w:rsidR="00A24532">
        <w:rPr>
          <w:rFonts w:ascii="Arial" w:hAnsi="Arial" w:cs="Arial"/>
          <w:lang w:val="en-US"/>
        </w:rPr>
        <w:t>2</w:t>
      </w:r>
      <w:r w:rsidR="00C153DC">
        <w:rPr>
          <w:rFonts w:ascii="Arial" w:hAnsi="Arial" w:cs="Arial"/>
          <w:lang w:val="en-US"/>
        </w:rPr>
        <w:t>.</w:t>
      </w:r>
      <w:r w:rsidR="00235201">
        <w:rPr>
          <w:rFonts w:ascii="Arial" w:hAnsi="Arial" w:cs="Arial"/>
          <w:lang w:val="en-US"/>
        </w:rPr>
        <w:t>9</w:t>
      </w:r>
      <w:r w:rsidR="00C153DC">
        <w:rPr>
          <w:rFonts w:ascii="Arial" w:hAnsi="Arial" w:cs="Arial"/>
          <w:lang w:val="en-US"/>
        </w:rPr>
        <w:t>%</w:t>
      </w:r>
      <w:r w:rsidR="00B4317E">
        <w:rPr>
          <w:rFonts w:ascii="Arial" w:hAnsi="Arial" w:cs="Arial"/>
          <w:lang w:val="en-US"/>
        </w:rPr>
        <w:t xml:space="preserve"> of </w:t>
      </w:r>
      <w:r w:rsidR="002565CC">
        <w:rPr>
          <w:rFonts w:ascii="Arial" w:hAnsi="Arial" w:cs="Arial"/>
          <w:lang w:val="en-US"/>
        </w:rPr>
        <w:t>deviance</w:t>
      </w:r>
      <w:r w:rsidR="00B4317E">
        <w:rPr>
          <w:rFonts w:ascii="Arial" w:hAnsi="Arial" w:cs="Arial"/>
          <w:lang w:val="en-US"/>
        </w:rPr>
        <w:t xml:space="preserve">, with a large attenuation in the partial effect of BMI on </w:t>
      </w:r>
      <w:r w:rsidR="0063039D">
        <w:rPr>
          <w:rFonts w:ascii="Arial" w:hAnsi="Arial" w:cs="Arial"/>
          <w:lang w:val="en-US"/>
        </w:rPr>
        <w:t>SpO2</w:t>
      </w:r>
      <w:r w:rsidR="002565CC">
        <w:rPr>
          <w:rFonts w:ascii="Arial" w:hAnsi="Arial" w:cs="Arial"/>
          <w:lang w:val="en-US"/>
        </w:rPr>
        <w:t>, rendering BMI non-significantly associated with SpO2 (</w:t>
      </w:r>
      <w:r w:rsidR="008E6476">
        <w:rPr>
          <w:rFonts w:ascii="Arial" w:hAnsi="Arial" w:cs="Arial"/>
          <w:lang w:val="en-US"/>
        </w:rPr>
        <w:t>p=0.2</w:t>
      </w:r>
      <w:r w:rsidR="002565CC">
        <w:rPr>
          <w:rFonts w:ascii="Arial" w:hAnsi="Arial" w:cs="Arial"/>
          <w:lang w:val="en-US"/>
        </w:rPr>
        <w:t>)</w:t>
      </w:r>
      <w:r w:rsidR="00C153DC">
        <w:rPr>
          <w:rFonts w:ascii="Arial" w:hAnsi="Arial" w:cs="Arial"/>
          <w:lang w:val="en-US"/>
        </w:rPr>
        <w:t xml:space="preserve">. A combined model of these three variables explained </w:t>
      </w:r>
      <w:r w:rsidR="00A37CFA">
        <w:rPr>
          <w:rFonts w:ascii="Arial" w:hAnsi="Arial" w:cs="Arial"/>
          <w:lang w:val="en-US"/>
        </w:rPr>
        <w:t>6</w:t>
      </w:r>
      <w:r w:rsidR="008E6476">
        <w:rPr>
          <w:rFonts w:ascii="Arial" w:hAnsi="Arial" w:cs="Arial"/>
          <w:lang w:val="en-US"/>
        </w:rPr>
        <w:t>3</w:t>
      </w:r>
      <w:r w:rsidR="00A37CFA">
        <w:rPr>
          <w:rFonts w:ascii="Arial" w:hAnsi="Arial" w:cs="Arial"/>
          <w:lang w:val="en-US"/>
        </w:rPr>
        <w:t>.</w:t>
      </w:r>
      <w:r w:rsidR="0007133C">
        <w:rPr>
          <w:rFonts w:ascii="Arial" w:hAnsi="Arial" w:cs="Arial"/>
          <w:lang w:val="en-US"/>
        </w:rPr>
        <w:t>1</w:t>
      </w:r>
      <w:r w:rsidR="00A37CFA">
        <w:rPr>
          <w:rFonts w:ascii="Arial" w:hAnsi="Arial" w:cs="Arial"/>
          <w:lang w:val="en-US"/>
        </w:rPr>
        <w:t xml:space="preserve">% of </w:t>
      </w:r>
      <w:r w:rsidR="008E6476">
        <w:rPr>
          <w:rFonts w:ascii="Arial" w:hAnsi="Arial" w:cs="Arial"/>
          <w:lang w:val="en-US"/>
        </w:rPr>
        <w:t>deviance,</w:t>
      </w:r>
      <w:r w:rsidR="009C695B">
        <w:rPr>
          <w:rFonts w:ascii="Arial" w:hAnsi="Arial" w:cs="Arial"/>
          <w:lang w:val="en-US"/>
        </w:rPr>
        <w:t xml:space="preserve"> </w:t>
      </w:r>
      <w:r w:rsidR="009D31DC">
        <w:rPr>
          <w:rFonts w:ascii="Arial" w:hAnsi="Arial" w:cs="Arial"/>
          <w:lang w:val="en-US"/>
        </w:rPr>
        <w:t>wh</w:t>
      </w:r>
      <w:r w:rsidR="002A5768">
        <w:rPr>
          <w:rFonts w:ascii="Arial" w:hAnsi="Arial" w:cs="Arial"/>
          <w:lang w:val="en-US"/>
        </w:rPr>
        <w:t xml:space="preserve">ilst the model adjusted for these variables </w:t>
      </w:r>
      <w:r w:rsidR="00C50196">
        <w:rPr>
          <w:rFonts w:ascii="Arial" w:hAnsi="Arial" w:cs="Arial"/>
          <w:lang w:val="en-US"/>
        </w:rPr>
        <w:t>plus sex, age, and hemoglobin</w:t>
      </w:r>
      <w:r w:rsidR="002A5768">
        <w:rPr>
          <w:rFonts w:ascii="Arial" w:hAnsi="Arial" w:cs="Arial"/>
          <w:lang w:val="en-US"/>
        </w:rPr>
        <w:t xml:space="preserve"> </w:t>
      </w:r>
      <w:r w:rsidR="00C50196">
        <w:rPr>
          <w:rFonts w:ascii="Arial" w:hAnsi="Arial" w:cs="Arial"/>
          <w:lang w:val="en-US"/>
        </w:rPr>
        <w:t>(</w:t>
      </w:r>
      <w:r w:rsidR="00A57A40" w:rsidRPr="005865D6">
        <w:rPr>
          <w:rFonts w:ascii="Arial" w:hAnsi="Arial" w:cs="Arial"/>
          <w:b/>
          <w:bCs/>
          <w:lang w:val="en-US"/>
        </w:rPr>
        <w:t xml:space="preserve">Figure </w:t>
      </w:r>
      <w:r w:rsidR="001F5499">
        <w:rPr>
          <w:rFonts w:ascii="Arial" w:hAnsi="Arial" w:cs="Arial"/>
          <w:b/>
          <w:bCs/>
          <w:lang w:val="en-US"/>
        </w:rPr>
        <w:t>3</w:t>
      </w:r>
      <w:r w:rsidR="00A57A40">
        <w:rPr>
          <w:rFonts w:ascii="Arial" w:hAnsi="Arial" w:cs="Arial"/>
          <w:b/>
          <w:bCs/>
          <w:lang w:val="en-US"/>
        </w:rPr>
        <w:t>D</w:t>
      </w:r>
      <w:r w:rsidR="00C50196">
        <w:rPr>
          <w:rFonts w:ascii="Arial" w:hAnsi="Arial" w:cs="Arial"/>
          <w:lang w:val="en-US"/>
        </w:rPr>
        <w:t xml:space="preserve">) </w:t>
      </w:r>
      <w:r w:rsidR="002A5768">
        <w:rPr>
          <w:rFonts w:ascii="Arial" w:hAnsi="Arial" w:cs="Arial"/>
          <w:lang w:val="en-US"/>
        </w:rPr>
        <w:t xml:space="preserve">led to </w:t>
      </w:r>
      <w:r w:rsidR="008E6476">
        <w:rPr>
          <w:rFonts w:ascii="Arial" w:hAnsi="Arial" w:cs="Arial"/>
          <w:lang w:val="en-US"/>
        </w:rPr>
        <w:t xml:space="preserve">an explained deviance </w:t>
      </w:r>
      <w:r w:rsidR="002852E0">
        <w:rPr>
          <w:rFonts w:ascii="Arial" w:hAnsi="Arial" w:cs="Arial"/>
          <w:lang w:val="en-US"/>
        </w:rPr>
        <w:t>of 6</w:t>
      </w:r>
      <w:r w:rsidR="008E6476">
        <w:rPr>
          <w:rFonts w:ascii="Arial" w:hAnsi="Arial" w:cs="Arial"/>
          <w:lang w:val="en-US"/>
        </w:rPr>
        <w:t>3</w:t>
      </w:r>
      <w:r w:rsidR="002852E0">
        <w:rPr>
          <w:rFonts w:ascii="Arial" w:hAnsi="Arial" w:cs="Arial"/>
          <w:lang w:val="en-US"/>
        </w:rPr>
        <w:t>.</w:t>
      </w:r>
      <w:r w:rsidR="008E6476">
        <w:rPr>
          <w:rFonts w:ascii="Arial" w:hAnsi="Arial" w:cs="Arial"/>
          <w:lang w:val="en-US"/>
        </w:rPr>
        <w:t>8</w:t>
      </w:r>
      <w:r w:rsidR="00A57A40">
        <w:rPr>
          <w:rFonts w:ascii="Arial" w:hAnsi="Arial" w:cs="Arial"/>
          <w:lang w:val="en-US"/>
        </w:rPr>
        <w:t xml:space="preserve">% </w:t>
      </w:r>
      <w:r w:rsidR="00EE7D7E">
        <w:rPr>
          <w:rFonts w:ascii="Arial" w:hAnsi="Arial" w:cs="Arial"/>
          <w:lang w:val="en-US"/>
        </w:rPr>
        <w:t>but</w:t>
      </w:r>
      <w:r w:rsidR="0063039D">
        <w:rPr>
          <w:rFonts w:ascii="Arial" w:hAnsi="Arial" w:cs="Arial"/>
          <w:lang w:val="en-US"/>
        </w:rPr>
        <w:t xml:space="preserve"> </w:t>
      </w:r>
      <w:r w:rsidR="008E6476">
        <w:rPr>
          <w:rFonts w:ascii="Arial" w:hAnsi="Arial" w:cs="Arial"/>
          <w:lang w:val="en-US"/>
        </w:rPr>
        <w:t>no</w:t>
      </w:r>
      <w:r w:rsidR="0063039D">
        <w:rPr>
          <w:rFonts w:ascii="Arial" w:hAnsi="Arial" w:cs="Arial"/>
          <w:lang w:val="en-US"/>
        </w:rPr>
        <w:t xml:space="preserve"> </w:t>
      </w:r>
      <w:r w:rsidR="00EE7D7E">
        <w:rPr>
          <w:rFonts w:ascii="Arial" w:hAnsi="Arial" w:cs="Arial"/>
          <w:lang w:val="en-US"/>
        </w:rPr>
        <w:t>further attenuation in the partial effect of BMI</w:t>
      </w:r>
      <w:r w:rsidR="00A57A40">
        <w:rPr>
          <w:rFonts w:ascii="Arial" w:hAnsi="Arial" w:cs="Arial"/>
          <w:lang w:val="en-US"/>
        </w:rPr>
        <w:t xml:space="preserve">. </w:t>
      </w:r>
      <w:r w:rsidR="00877D7F">
        <w:rPr>
          <w:rFonts w:ascii="Arial" w:hAnsi="Arial" w:cs="Arial"/>
          <w:lang w:val="en-US"/>
        </w:rPr>
        <w:t>In all models, atelectasis percent was significantly associated with a redu</w:t>
      </w:r>
      <w:r w:rsidR="00BC2E75">
        <w:rPr>
          <w:rFonts w:ascii="Arial" w:hAnsi="Arial" w:cs="Arial"/>
          <w:lang w:val="en-US"/>
        </w:rPr>
        <w:t>ction in the odds of having</w:t>
      </w:r>
      <w:r w:rsidR="009539B6">
        <w:rPr>
          <w:rFonts w:ascii="Arial" w:hAnsi="Arial" w:cs="Arial"/>
          <w:lang w:val="en-US"/>
        </w:rPr>
        <w:t xml:space="preserve"> high SpO2 value</w:t>
      </w:r>
      <w:r w:rsidR="00223556">
        <w:rPr>
          <w:rFonts w:ascii="Arial" w:hAnsi="Arial" w:cs="Arial"/>
          <w:lang w:val="en-US"/>
        </w:rPr>
        <w:t>s</w:t>
      </w:r>
      <w:r w:rsidR="009539B6">
        <w:rPr>
          <w:rFonts w:ascii="Arial" w:hAnsi="Arial" w:cs="Arial"/>
          <w:lang w:val="en-US"/>
        </w:rPr>
        <w:t xml:space="preserve">. </w:t>
      </w:r>
      <w:r w:rsidR="00535F61">
        <w:rPr>
          <w:rFonts w:ascii="Arial" w:hAnsi="Arial" w:cs="Arial"/>
          <w:lang w:val="en-US"/>
        </w:rPr>
        <w:t xml:space="preserve">Noteworthy, there was heteroskedasticity in the residuals </w:t>
      </w:r>
      <w:r w:rsidR="00AD1671">
        <w:rPr>
          <w:rFonts w:ascii="Arial" w:hAnsi="Arial" w:cs="Arial"/>
          <w:lang w:val="en-US"/>
        </w:rPr>
        <w:t xml:space="preserve">of </w:t>
      </w:r>
      <w:r w:rsidR="003B35B3">
        <w:rPr>
          <w:rFonts w:ascii="Arial" w:hAnsi="Arial" w:cs="Arial"/>
          <w:lang w:val="en-US"/>
        </w:rPr>
        <w:t>adjusted models</w:t>
      </w:r>
      <w:r w:rsidR="00AD1671">
        <w:rPr>
          <w:rFonts w:ascii="Arial" w:hAnsi="Arial" w:cs="Arial"/>
          <w:lang w:val="en-US"/>
        </w:rPr>
        <w:t xml:space="preserve">, with </w:t>
      </w:r>
      <w:r w:rsidR="00C45388">
        <w:rPr>
          <w:rFonts w:ascii="Arial" w:hAnsi="Arial" w:cs="Arial"/>
          <w:lang w:val="en-US"/>
        </w:rPr>
        <w:t xml:space="preserve">very </w:t>
      </w:r>
      <w:r w:rsidR="00AD1671">
        <w:rPr>
          <w:rFonts w:ascii="Arial" w:hAnsi="Arial" w:cs="Arial"/>
          <w:lang w:val="en-US"/>
        </w:rPr>
        <w:t xml:space="preserve">low error </w:t>
      </w:r>
      <w:r w:rsidR="00535F61">
        <w:rPr>
          <w:rFonts w:ascii="Arial" w:hAnsi="Arial" w:cs="Arial"/>
          <w:lang w:val="en-US"/>
        </w:rPr>
        <w:t xml:space="preserve">at </w:t>
      </w:r>
      <w:r w:rsidR="00AD1671">
        <w:rPr>
          <w:rFonts w:ascii="Arial" w:hAnsi="Arial" w:cs="Arial"/>
          <w:lang w:val="en-US"/>
        </w:rPr>
        <w:t xml:space="preserve">SpO2 </w:t>
      </w:r>
      <w:r w:rsidR="00974018">
        <w:rPr>
          <w:rFonts w:ascii="Arial" w:hAnsi="Arial" w:cs="Arial"/>
          <w:lang w:val="en-US"/>
        </w:rPr>
        <w:t>≤</w:t>
      </w:r>
      <w:r w:rsidR="003B35B3">
        <w:rPr>
          <w:rFonts w:ascii="Arial" w:hAnsi="Arial" w:cs="Arial"/>
          <w:lang w:val="en-US"/>
        </w:rPr>
        <w:t xml:space="preserve">95% and </w:t>
      </w:r>
      <w:r w:rsidR="00956084">
        <w:rPr>
          <w:rFonts w:ascii="Arial" w:hAnsi="Arial" w:cs="Arial"/>
          <w:lang w:val="en-US"/>
        </w:rPr>
        <w:t xml:space="preserve">increasing error at higher SpO2 values, </w:t>
      </w:r>
      <w:r w:rsidR="00DF15C7">
        <w:rPr>
          <w:rFonts w:ascii="Arial" w:hAnsi="Arial" w:cs="Arial"/>
          <w:lang w:val="en-US"/>
        </w:rPr>
        <w:t xml:space="preserve">possibly </w:t>
      </w:r>
      <w:r w:rsidR="00262ED9">
        <w:rPr>
          <w:rFonts w:ascii="Arial" w:hAnsi="Arial" w:cs="Arial"/>
          <w:lang w:val="en-US"/>
        </w:rPr>
        <w:t xml:space="preserve">reflecting that explanation of low SpO2 values with these variables was </w:t>
      </w:r>
      <w:r w:rsidR="00302C01">
        <w:rPr>
          <w:rFonts w:ascii="Arial" w:hAnsi="Arial" w:cs="Arial"/>
          <w:lang w:val="en-US"/>
        </w:rPr>
        <w:t>very good</w:t>
      </w:r>
      <w:r w:rsidR="00262ED9">
        <w:rPr>
          <w:rFonts w:ascii="Arial" w:hAnsi="Arial" w:cs="Arial"/>
          <w:lang w:val="en-US"/>
        </w:rPr>
        <w:t xml:space="preserve">, but </w:t>
      </w:r>
      <w:r w:rsidR="00644A07">
        <w:rPr>
          <w:rFonts w:ascii="Arial" w:hAnsi="Arial" w:cs="Arial"/>
          <w:lang w:val="en-US"/>
        </w:rPr>
        <w:t xml:space="preserve">that </w:t>
      </w:r>
      <w:r w:rsidR="00302C01">
        <w:rPr>
          <w:rFonts w:ascii="Arial" w:hAnsi="Arial" w:cs="Arial"/>
          <w:lang w:val="en-US"/>
        </w:rPr>
        <w:t xml:space="preserve">SpO2 </w:t>
      </w:r>
      <w:r w:rsidR="00832CF7">
        <w:rPr>
          <w:rFonts w:ascii="Arial" w:hAnsi="Arial" w:cs="Arial"/>
          <w:lang w:val="en-US"/>
        </w:rPr>
        <w:t xml:space="preserve">values &gt;95% were not </w:t>
      </w:r>
      <w:r w:rsidR="00CC6D04">
        <w:rPr>
          <w:rFonts w:ascii="Arial" w:hAnsi="Arial" w:cs="Arial"/>
          <w:lang w:val="en-US"/>
        </w:rPr>
        <w:t>well</w:t>
      </w:r>
      <w:r w:rsidR="00BB7955">
        <w:rPr>
          <w:rFonts w:ascii="Arial" w:hAnsi="Arial" w:cs="Arial"/>
          <w:lang w:val="en-US"/>
        </w:rPr>
        <w:t xml:space="preserve"> explained by these terms</w:t>
      </w:r>
      <w:r w:rsidR="00302C01">
        <w:rPr>
          <w:rFonts w:ascii="Arial" w:hAnsi="Arial" w:cs="Arial"/>
          <w:lang w:val="en-US"/>
        </w:rPr>
        <w:t>.</w:t>
      </w:r>
      <w:r w:rsidR="00BB7955">
        <w:rPr>
          <w:rFonts w:ascii="Arial" w:hAnsi="Arial" w:cs="Arial"/>
          <w:lang w:val="en-US"/>
        </w:rPr>
        <w:t xml:space="preserve"> </w:t>
      </w:r>
    </w:p>
    <w:p w14:paraId="7B4BE579" w14:textId="77777777" w:rsidR="007B1CEF" w:rsidRDefault="007B1CEF" w:rsidP="007B1CEF">
      <w:pPr>
        <w:rPr>
          <w:rFonts w:ascii="Arial" w:hAnsi="Arial" w:cs="Arial"/>
          <w:lang w:val="en-US"/>
        </w:rPr>
      </w:pPr>
    </w:p>
    <w:p w14:paraId="598B5DB9" w14:textId="016410B3" w:rsidR="007B1CEF" w:rsidRDefault="007B1CEF" w:rsidP="005A5B1E">
      <w:pPr>
        <w:spacing w:line="480" w:lineRule="auto"/>
        <w:jc w:val="both"/>
        <w:rPr>
          <w:rFonts w:ascii="Arial" w:hAnsi="Arial" w:cs="Arial"/>
          <w:b/>
          <w:bCs/>
          <w:lang w:val="en-US"/>
        </w:rPr>
      </w:pPr>
      <w:r>
        <w:rPr>
          <w:rFonts w:ascii="Arial" w:hAnsi="Arial" w:cs="Arial"/>
          <w:b/>
          <w:bCs/>
          <w:lang w:val="en-US"/>
        </w:rPr>
        <w:t>DISCUSSION</w:t>
      </w:r>
    </w:p>
    <w:p w14:paraId="3D280B64" w14:textId="77777777" w:rsidR="007B1CEF" w:rsidRDefault="007B1CEF" w:rsidP="005A5B1E">
      <w:pPr>
        <w:spacing w:line="480" w:lineRule="auto"/>
        <w:jc w:val="both"/>
        <w:rPr>
          <w:rFonts w:ascii="Arial" w:hAnsi="Arial" w:cs="Arial"/>
          <w:b/>
          <w:bCs/>
          <w:lang w:val="en-US"/>
        </w:rPr>
      </w:pPr>
    </w:p>
    <w:p w14:paraId="5F6CA553" w14:textId="77777777" w:rsidR="007B1CEF" w:rsidRPr="007B1CEF" w:rsidRDefault="007B1CEF" w:rsidP="005A5B1E">
      <w:pPr>
        <w:spacing w:line="480" w:lineRule="auto"/>
        <w:jc w:val="both"/>
        <w:rPr>
          <w:rFonts w:ascii="Arial" w:hAnsi="Arial" w:cs="Arial"/>
          <w:b/>
          <w:bCs/>
          <w:lang w:val="en-US"/>
        </w:rPr>
      </w:pPr>
    </w:p>
    <w:p w14:paraId="0329FFD9" w14:textId="692F6039" w:rsidR="00DD0390" w:rsidRPr="005865D6" w:rsidRDefault="00EE7D7E" w:rsidP="005A5B1E">
      <w:pPr>
        <w:spacing w:line="480" w:lineRule="auto"/>
        <w:jc w:val="both"/>
        <w:rPr>
          <w:rFonts w:ascii="Arial" w:hAnsi="Arial" w:cs="Arial"/>
          <w:lang w:val="en-US"/>
        </w:rPr>
      </w:pPr>
      <w:r>
        <w:rPr>
          <w:rFonts w:ascii="Arial" w:hAnsi="Arial" w:cs="Arial"/>
          <w:lang w:val="en-US"/>
        </w:rPr>
        <w:lastRenderedPageBreak/>
        <w:t xml:space="preserve">Altogether, these results show that the effect of </w:t>
      </w:r>
      <w:r w:rsidR="009735A9">
        <w:rPr>
          <w:rFonts w:ascii="Arial" w:hAnsi="Arial" w:cs="Arial"/>
          <w:lang w:val="en-US"/>
        </w:rPr>
        <w:t xml:space="preserve">BMI on </w:t>
      </w:r>
      <w:r w:rsidR="00CC6D04">
        <w:rPr>
          <w:rFonts w:ascii="Arial" w:hAnsi="Arial" w:cs="Arial"/>
          <w:lang w:val="en-US"/>
        </w:rPr>
        <w:t xml:space="preserve">low </w:t>
      </w:r>
      <w:r w:rsidR="009735A9">
        <w:rPr>
          <w:rFonts w:ascii="Arial" w:hAnsi="Arial" w:cs="Arial"/>
          <w:lang w:val="en-US"/>
        </w:rPr>
        <w:t xml:space="preserve">SpO2 was </w:t>
      </w:r>
      <w:r w:rsidR="00535F61">
        <w:rPr>
          <w:rFonts w:ascii="Arial" w:hAnsi="Arial" w:cs="Arial"/>
          <w:lang w:val="en-US"/>
        </w:rPr>
        <w:t>largely explained by atelectasis percentage alone.</w:t>
      </w:r>
    </w:p>
    <w:p w14:paraId="30CB154F" w14:textId="77777777" w:rsidR="00600A51" w:rsidRDefault="00600A51" w:rsidP="008F00A9">
      <w:pPr>
        <w:rPr>
          <w:rFonts w:ascii="Arial" w:hAnsi="Arial" w:cs="Arial"/>
          <w:lang w:val="en-US"/>
        </w:rPr>
      </w:pPr>
    </w:p>
    <w:p w14:paraId="7E5A1ACC" w14:textId="77777777" w:rsidR="00F642CE" w:rsidRDefault="00F642CE" w:rsidP="00600A51">
      <w:pPr>
        <w:rPr>
          <w:rFonts w:ascii="Arial" w:hAnsi="Arial" w:cs="Arial"/>
          <w:lang w:val="en-US"/>
        </w:rPr>
      </w:pPr>
    </w:p>
    <w:p w14:paraId="13410EF3" w14:textId="44B05B7F" w:rsidR="00F642CE" w:rsidRDefault="00F642CE" w:rsidP="00600A51">
      <w:pPr>
        <w:rPr>
          <w:rFonts w:ascii="Arial" w:hAnsi="Arial" w:cs="Arial"/>
          <w:lang w:val="en-US"/>
        </w:rPr>
      </w:pPr>
      <w:r>
        <w:rPr>
          <w:rFonts w:ascii="Arial" w:hAnsi="Arial" w:cs="Arial"/>
          <w:lang w:val="en-US"/>
        </w:rPr>
        <w:t xml:space="preserve">A high response rate was achieved (84%). </w:t>
      </w:r>
    </w:p>
    <w:p w14:paraId="29F2DAC6" w14:textId="77777777" w:rsidR="00600A51" w:rsidRDefault="00600A51" w:rsidP="008F00A9">
      <w:pPr>
        <w:rPr>
          <w:rFonts w:ascii="Arial" w:hAnsi="Arial" w:cs="Arial"/>
          <w:lang w:val="en-US"/>
        </w:rPr>
      </w:pPr>
    </w:p>
    <w:p w14:paraId="64BF9D8B" w14:textId="5990BF18" w:rsidR="00600A51" w:rsidRPr="005865D6" w:rsidRDefault="00600A51" w:rsidP="00600A51">
      <w:pPr>
        <w:spacing w:line="480" w:lineRule="auto"/>
        <w:jc w:val="both"/>
        <w:rPr>
          <w:rFonts w:ascii="Arial" w:hAnsi="Arial" w:cs="Arial"/>
          <w:b/>
          <w:bCs/>
          <w:lang w:val="en-US"/>
        </w:rPr>
      </w:pPr>
      <w:r>
        <w:rPr>
          <w:rFonts w:ascii="Arial" w:hAnsi="Arial" w:cs="Arial"/>
          <w:b/>
          <w:bCs/>
          <w:lang w:val="en-US"/>
        </w:rPr>
        <w:t>CONCLUSION</w:t>
      </w:r>
    </w:p>
    <w:p w14:paraId="736AD174" w14:textId="2338E8DA" w:rsidR="008F00A9" w:rsidRPr="005865D6" w:rsidRDefault="000518EB" w:rsidP="00600A51">
      <w:pPr>
        <w:rPr>
          <w:rFonts w:ascii="Arial" w:hAnsi="Arial" w:cs="Arial"/>
          <w:lang w:val="en-US"/>
        </w:rPr>
        <w:sectPr w:rsidR="008F00A9" w:rsidRPr="005865D6">
          <w:pgSz w:w="12240" w:h="15840"/>
          <w:pgMar w:top="1417" w:right="1701" w:bottom="1417" w:left="1701" w:header="708" w:footer="708" w:gutter="0"/>
          <w:cols w:space="708"/>
          <w:docGrid w:linePitch="360"/>
        </w:sectPr>
      </w:pPr>
      <w:r w:rsidRPr="005865D6">
        <w:rPr>
          <w:rFonts w:ascii="Arial" w:hAnsi="Arial" w:cs="Arial"/>
          <w:lang w:val="en-US"/>
        </w:rPr>
        <w:br w:type="page"/>
      </w:r>
    </w:p>
    <w:p w14:paraId="3EFCF828" w14:textId="1272E011" w:rsidR="00CD495D" w:rsidRPr="005865D6" w:rsidRDefault="008F00A9" w:rsidP="008F00A9">
      <w:pPr>
        <w:pStyle w:val="TableCaption"/>
        <w:keepNext/>
        <w:pBdr>
          <w:top w:val="none" w:sz="0" w:space="0" w:color="000000"/>
          <w:left w:val="none" w:sz="0" w:space="0" w:color="000000"/>
          <w:bottom w:val="none" w:sz="0" w:space="0" w:color="000000"/>
          <w:right w:val="none" w:sz="0" w:space="0" w:color="000000"/>
        </w:pBdr>
        <w:spacing w:before="60" w:after="240"/>
        <w:ind w:right="60"/>
        <w:jc w:val="left"/>
        <w:rPr>
          <w:rFonts w:ascii="Arial" w:hAnsi="Arial" w:cs="Arial"/>
          <w:b w:val="0"/>
          <w:bCs/>
          <w:i w:val="0"/>
          <w:iCs/>
          <w:sz w:val="22"/>
          <w:szCs w:val="22"/>
        </w:rPr>
      </w:pPr>
      <w:r w:rsidRPr="005865D6">
        <w:rPr>
          <w:rFonts w:ascii="Arial" w:hAnsi="Arial" w:cs="Arial"/>
          <w:i w:val="0"/>
          <w:iCs/>
          <w:sz w:val="22"/>
          <w:szCs w:val="22"/>
        </w:rPr>
        <w:lastRenderedPageBreak/>
        <w:t xml:space="preserve">Table 1. </w:t>
      </w:r>
      <w:r w:rsidRPr="005865D6">
        <w:rPr>
          <w:rFonts w:ascii="Arial" w:hAnsi="Arial" w:cs="Arial"/>
          <w:b w:val="0"/>
          <w:bCs/>
          <w:i w:val="0"/>
          <w:iCs/>
          <w:sz w:val="22"/>
          <w:szCs w:val="22"/>
        </w:rPr>
        <w:t>Clinical characteristics of patients, according to obesity class.</w:t>
      </w:r>
    </w:p>
    <w:tbl>
      <w:tblPr>
        <w:tblW w:w="0" w:type="auto"/>
        <w:jc w:val="center"/>
        <w:tblLayout w:type="fixed"/>
        <w:tblLook w:val="0420" w:firstRow="1" w:lastRow="0" w:firstColumn="0" w:lastColumn="0" w:noHBand="0" w:noVBand="1"/>
      </w:tblPr>
      <w:tblGrid>
        <w:gridCol w:w="3582"/>
        <w:gridCol w:w="2001"/>
        <w:gridCol w:w="2001"/>
        <w:gridCol w:w="2001"/>
        <w:gridCol w:w="2001"/>
      </w:tblGrid>
      <w:tr w:rsidR="008F00A9" w:rsidRPr="005865D6" w14:paraId="6B58A065" w14:textId="77777777" w:rsidTr="00C31A40">
        <w:trPr>
          <w:tblHeader/>
          <w:jc w:val="center"/>
        </w:trPr>
        <w:tc>
          <w:tcPr>
            <w:tcW w:w="358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F628A4"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color w:val="000000"/>
                <w:lang w:val="en-US"/>
              </w:rPr>
              <w:t> </w:t>
            </w:r>
          </w:p>
        </w:tc>
        <w:tc>
          <w:tcPr>
            <w:tcW w:w="200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81FC03" w14:textId="3E42AE46"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CD495D">
              <w:rPr>
                <w:rFonts w:ascii="Arial" w:eastAsia="Arial" w:hAnsi="Arial" w:cs="Arial"/>
                <w:b/>
                <w:bCs/>
                <w:color w:val="000000"/>
                <w:lang w:val="en-US"/>
              </w:rPr>
              <w:t>Total</w:t>
            </w:r>
            <w:r w:rsidRPr="005865D6">
              <w:rPr>
                <w:rFonts w:ascii="Arial" w:eastAsia="Arial" w:hAnsi="Arial" w:cs="Arial"/>
                <w:color w:val="000000"/>
                <w:lang w:val="en-US"/>
              </w:rPr>
              <w:br/>
              <w:t>(</w:t>
            </w:r>
            <w:r w:rsidR="003F2CB7" w:rsidRPr="005865D6">
              <w:rPr>
                <w:rFonts w:ascii="Arial" w:eastAsia="Arial" w:hAnsi="Arial" w:cs="Arial"/>
                <w:color w:val="000000"/>
                <w:lang w:val="en-US"/>
              </w:rPr>
              <w:t>n</w:t>
            </w:r>
            <w:r w:rsidRPr="005865D6">
              <w:rPr>
                <w:rFonts w:ascii="Arial" w:eastAsia="Arial" w:hAnsi="Arial" w:cs="Arial"/>
                <w:color w:val="000000"/>
                <w:lang w:val="en-US"/>
              </w:rPr>
              <w:t>=236)</w:t>
            </w:r>
          </w:p>
        </w:tc>
        <w:tc>
          <w:tcPr>
            <w:tcW w:w="200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ADD029" w14:textId="55780254"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CD495D">
              <w:rPr>
                <w:rFonts w:ascii="Arial" w:eastAsia="Arial" w:hAnsi="Arial" w:cs="Arial"/>
                <w:b/>
                <w:bCs/>
                <w:color w:val="000000"/>
                <w:lang w:val="en-US"/>
              </w:rPr>
              <w:t>Class 1 Obesity</w:t>
            </w:r>
            <w:r w:rsidRPr="005865D6">
              <w:rPr>
                <w:rFonts w:ascii="Arial" w:eastAsia="Arial" w:hAnsi="Arial" w:cs="Arial"/>
                <w:color w:val="000000"/>
                <w:lang w:val="en-US"/>
              </w:rPr>
              <w:br/>
              <w:t>(</w:t>
            </w:r>
            <w:r w:rsidR="003F2CB7" w:rsidRPr="005865D6">
              <w:rPr>
                <w:rFonts w:ascii="Arial" w:eastAsia="Arial" w:hAnsi="Arial" w:cs="Arial"/>
                <w:color w:val="000000"/>
                <w:lang w:val="en-US"/>
              </w:rPr>
              <w:t>n</w:t>
            </w:r>
            <w:r w:rsidRPr="005865D6">
              <w:rPr>
                <w:rFonts w:ascii="Arial" w:eastAsia="Arial" w:hAnsi="Arial" w:cs="Arial"/>
                <w:color w:val="000000"/>
                <w:lang w:val="en-US"/>
              </w:rPr>
              <w:t>=62)</w:t>
            </w:r>
          </w:p>
        </w:tc>
        <w:tc>
          <w:tcPr>
            <w:tcW w:w="200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17A345" w14:textId="6D01F2D9"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CD495D">
              <w:rPr>
                <w:rFonts w:ascii="Arial" w:eastAsia="Arial" w:hAnsi="Arial" w:cs="Arial"/>
                <w:b/>
                <w:bCs/>
                <w:color w:val="000000"/>
                <w:lang w:val="en-US"/>
              </w:rPr>
              <w:t>Class 2 Obesity</w:t>
            </w:r>
            <w:r w:rsidRPr="005865D6">
              <w:rPr>
                <w:rFonts w:ascii="Arial" w:eastAsia="Arial" w:hAnsi="Arial" w:cs="Arial"/>
                <w:color w:val="000000"/>
                <w:lang w:val="en-US"/>
              </w:rPr>
              <w:br/>
              <w:t>(</w:t>
            </w:r>
            <w:r w:rsidR="003F2CB7" w:rsidRPr="005865D6">
              <w:rPr>
                <w:rFonts w:ascii="Arial" w:eastAsia="Arial" w:hAnsi="Arial" w:cs="Arial"/>
                <w:color w:val="000000"/>
                <w:lang w:val="en-US"/>
              </w:rPr>
              <w:t>n</w:t>
            </w:r>
            <w:r w:rsidRPr="005865D6">
              <w:rPr>
                <w:rFonts w:ascii="Arial" w:eastAsia="Arial" w:hAnsi="Arial" w:cs="Arial"/>
                <w:color w:val="000000"/>
                <w:lang w:val="en-US"/>
              </w:rPr>
              <w:t>=53)</w:t>
            </w:r>
          </w:p>
        </w:tc>
        <w:tc>
          <w:tcPr>
            <w:tcW w:w="200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DF309B" w14:textId="4F2D8D89"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CD495D">
              <w:rPr>
                <w:rFonts w:ascii="Arial" w:eastAsia="Arial" w:hAnsi="Arial" w:cs="Arial"/>
                <w:b/>
                <w:bCs/>
                <w:color w:val="000000"/>
                <w:lang w:val="en-US"/>
              </w:rPr>
              <w:t>Class 3 Obesity</w:t>
            </w:r>
            <w:r w:rsidRPr="005865D6">
              <w:rPr>
                <w:rFonts w:ascii="Arial" w:eastAsia="Arial" w:hAnsi="Arial" w:cs="Arial"/>
                <w:color w:val="000000"/>
                <w:lang w:val="en-US"/>
              </w:rPr>
              <w:br/>
              <w:t>(</w:t>
            </w:r>
            <w:r w:rsidR="003F2CB7" w:rsidRPr="005865D6">
              <w:rPr>
                <w:rFonts w:ascii="Arial" w:eastAsia="Arial" w:hAnsi="Arial" w:cs="Arial"/>
                <w:color w:val="000000"/>
                <w:lang w:val="en-US"/>
              </w:rPr>
              <w:t>n</w:t>
            </w:r>
            <w:r w:rsidRPr="005865D6">
              <w:rPr>
                <w:rFonts w:ascii="Arial" w:eastAsia="Arial" w:hAnsi="Arial" w:cs="Arial"/>
                <w:color w:val="000000"/>
                <w:lang w:val="en-US"/>
              </w:rPr>
              <w:t>=121)</w:t>
            </w:r>
          </w:p>
        </w:tc>
      </w:tr>
      <w:tr w:rsidR="008F00A9" w:rsidRPr="005865D6" w14:paraId="4AC4A18E" w14:textId="77777777" w:rsidTr="00C31A40">
        <w:trPr>
          <w:jc w:val="center"/>
        </w:trPr>
        <w:tc>
          <w:tcPr>
            <w:tcW w:w="358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E26B9"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b/>
                <w:color w:val="000000"/>
                <w:lang w:val="en-US"/>
              </w:rPr>
              <w:t>Sex</w:t>
            </w:r>
          </w:p>
        </w:tc>
        <w:tc>
          <w:tcPr>
            <w:tcW w:w="200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04D91"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C7CA8"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70FB9"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30C1D"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r>
      <w:tr w:rsidR="008F00A9" w:rsidRPr="005865D6" w14:paraId="3C9F72D4"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6A970"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color w:val="000000"/>
                <w:lang w:val="en-US"/>
              </w:rPr>
              <w:t>  Woman</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F1A43"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214 (90.7%)</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F3776"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60 (96.8%)</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F6968"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48 (90.6%)</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B95D1"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106 (87.6%)</w:t>
            </w:r>
          </w:p>
        </w:tc>
      </w:tr>
      <w:tr w:rsidR="008F00A9" w:rsidRPr="005865D6" w14:paraId="54C4F5B8"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50B2D"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color w:val="000000"/>
                <w:lang w:val="en-US"/>
              </w:rPr>
              <w:t>  Man</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AA738"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22 (9.3%)</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E026E"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2 (3.2%)</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0362A"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5 (9.4%)</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ABB02"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15 (12.4%)</w:t>
            </w:r>
          </w:p>
        </w:tc>
      </w:tr>
      <w:tr w:rsidR="008F00A9" w:rsidRPr="005865D6" w14:paraId="7F79F1C2"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38450" w14:textId="1EC16864"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b/>
                <w:color w:val="000000"/>
                <w:lang w:val="en-US"/>
              </w:rPr>
              <w:t>Age (years)</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7BD31"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1C942"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2B541"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05501"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r>
      <w:tr w:rsidR="008F00A9" w:rsidRPr="005865D6" w14:paraId="10338816"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3A779"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color w:val="000000"/>
                <w:lang w:val="en-US"/>
              </w:rPr>
              <w:t>  Mean (SD)</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CB7CF"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40.3 (9.87)</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4346D"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42.1 (10.3)</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C0439"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40.8 (9.25)</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AFB9C"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39.1 (9.82)</w:t>
            </w:r>
          </w:p>
        </w:tc>
      </w:tr>
      <w:tr w:rsidR="008F00A9" w:rsidRPr="005865D6" w14:paraId="2D1A47F7"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86393" w14:textId="286760F5"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b/>
                <w:color w:val="000000"/>
                <w:lang w:val="en-US"/>
              </w:rPr>
              <w:t>Weight (kilograms</w:t>
            </w:r>
            <w:r w:rsidR="003F2CB7" w:rsidRPr="005865D6">
              <w:rPr>
                <w:rFonts w:ascii="Arial" w:eastAsia="Arial" w:hAnsi="Arial" w:cs="Arial"/>
                <w:b/>
                <w:color w:val="000000"/>
                <w:lang w:val="en-US"/>
              </w:rPr>
              <w:t xml:space="preserve">, </w:t>
            </w:r>
            <w:r w:rsidRPr="005865D6">
              <w:rPr>
                <w:rFonts w:ascii="Arial" w:eastAsia="Arial" w:hAnsi="Arial" w:cs="Arial"/>
                <w:b/>
                <w:color w:val="000000"/>
                <w:lang w:val="en-US"/>
              </w:rPr>
              <w:t>kg)</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0BEFE"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BDFC8"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4B666"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6507C"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r>
      <w:tr w:rsidR="008F00A9" w:rsidRPr="005865D6" w14:paraId="43F6125A"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4BEAB"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color w:val="000000"/>
                <w:lang w:val="en-US"/>
              </w:rPr>
              <w:t>  Median [Q1, Q3]</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38EF3"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111 [97.4, 130]</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FB83F"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88.8 [84.2, 95.7]</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C3D06"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107 [102, 112]</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DFE01"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128 [114, 142]</w:t>
            </w:r>
          </w:p>
        </w:tc>
      </w:tr>
      <w:tr w:rsidR="008F00A9" w:rsidRPr="005865D6" w14:paraId="1CD99850"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AE40E" w14:textId="0622B3D0"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b/>
                <w:color w:val="000000"/>
                <w:lang w:val="en-US"/>
              </w:rPr>
              <w:t>Height (meters</w:t>
            </w:r>
            <w:r w:rsidR="003F2CB7" w:rsidRPr="005865D6">
              <w:rPr>
                <w:rFonts w:ascii="Arial" w:eastAsia="Arial" w:hAnsi="Arial" w:cs="Arial"/>
                <w:b/>
                <w:color w:val="000000"/>
                <w:lang w:val="en-US"/>
              </w:rPr>
              <w:t xml:space="preserve">, </w:t>
            </w:r>
            <w:r w:rsidRPr="005865D6">
              <w:rPr>
                <w:rFonts w:ascii="Arial" w:eastAsia="Arial" w:hAnsi="Arial" w:cs="Arial"/>
                <w:b/>
                <w:color w:val="000000"/>
                <w:lang w:val="en-US"/>
              </w:rPr>
              <w:t>m)</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BD35D"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86E4C"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C5FCF"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447F6"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r>
      <w:tr w:rsidR="008F00A9" w:rsidRPr="005865D6" w14:paraId="178018CC"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34EDA"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color w:val="000000"/>
                <w:lang w:val="en-US"/>
              </w:rPr>
              <w:t>  Mean (SD)</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4CE98" w14:textId="2A237931"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1.67 (0.08)</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68F69" w14:textId="06D8FEAD"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1.66 (0.06)</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88218" w14:textId="48CEEC54"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1.69 (0.0</w:t>
            </w:r>
            <w:r w:rsidR="00015100">
              <w:rPr>
                <w:rFonts w:ascii="Arial" w:eastAsia="Arial" w:hAnsi="Arial" w:cs="Arial"/>
                <w:color w:val="000000"/>
                <w:lang w:val="en-US"/>
              </w:rPr>
              <w:t>9</w:t>
            </w:r>
            <w:r w:rsidRPr="005865D6">
              <w:rPr>
                <w:rFonts w:ascii="Arial" w:eastAsia="Arial" w:hAnsi="Arial" w:cs="Arial"/>
                <w:color w:val="000000"/>
                <w:lang w:val="en-US"/>
              </w:rPr>
              <w:t>)</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3891E" w14:textId="3B41410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1.67 (0.09)</w:t>
            </w:r>
          </w:p>
        </w:tc>
      </w:tr>
      <w:tr w:rsidR="008F00A9" w:rsidRPr="005865D6" w14:paraId="6356F582"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3F5DF" w14:textId="08995916"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b/>
                <w:color w:val="000000"/>
                <w:lang w:val="en-US"/>
              </w:rPr>
              <w:t>BMI</w:t>
            </w:r>
            <w:r w:rsidR="003F2CB7" w:rsidRPr="005865D6">
              <w:rPr>
                <w:rFonts w:ascii="Arial" w:eastAsia="Arial" w:hAnsi="Arial" w:cs="Arial"/>
                <w:b/>
                <w:color w:val="000000"/>
                <w:lang w:val="en-US"/>
              </w:rPr>
              <w:t xml:space="preserve"> (kg/m</w:t>
            </w:r>
            <w:r w:rsidR="003F2CB7" w:rsidRPr="005865D6">
              <w:rPr>
                <w:rFonts w:ascii="Arial" w:eastAsia="Arial" w:hAnsi="Arial" w:cs="Arial"/>
                <w:b/>
                <w:color w:val="000000"/>
                <w:vertAlign w:val="superscript"/>
                <w:lang w:val="en-US"/>
              </w:rPr>
              <w:t>2</w:t>
            </w:r>
            <w:r w:rsidR="003F2CB7" w:rsidRPr="005865D6">
              <w:rPr>
                <w:rFonts w:ascii="Arial" w:eastAsia="Arial" w:hAnsi="Arial" w:cs="Arial"/>
                <w:b/>
                <w:color w:val="000000"/>
                <w:lang w:val="en-US"/>
              </w:rPr>
              <w:t>)</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C227C"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3CAE8"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C1AA4"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70927"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r>
      <w:tr w:rsidR="008F00A9" w:rsidRPr="005865D6" w14:paraId="0170FBAC"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28C2F"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color w:val="000000"/>
                <w:lang w:val="en-US"/>
              </w:rPr>
              <w:t>  Median [Q1, Q3]</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8B898"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40.3 [34.6, 46.0]</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E9109"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33.0 [31.5, 33.8]</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EDCD0"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38.3 [36.6, 39.1]</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9E989"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45.6 [42.2, 51.1]</w:t>
            </w:r>
          </w:p>
        </w:tc>
      </w:tr>
      <w:tr w:rsidR="008F00A9" w:rsidRPr="005865D6" w14:paraId="19542FD9"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3B339"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b/>
                <w:color w:val="000000"/>
                <w:lang w:val="en-US"/>
              </w:rPr>
              <w:t>Surgical procedure</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F8552"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A8A83"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07079"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7A43A"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r>
      <w:tr w:rsidR="008F00A9" w:rsidRPr="005865D6" w14:paraId="29EC42D1"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C452A"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color w:val="000000"/>
                <w:lang w:val="en-US"/>
              </w:rPr>
              <w:t>  SG</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631FA"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189 (80.1%)</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815DE"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52 (83.9%)</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BBB85"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41 (77.4%)</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596F0"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96 (79.3%)</w:t>
            </w:r>
          </w:p>
        </w:tc>
      </w:tr>
      <w:tr w:rsidR="008F00A9" w:rsidRPr="005865D6" w14:paraId="088916C2"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C064B"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color w:val="000000"/>
                <w:lang w:val="en-US"/>
              </w:rPr>
              <w:t>  RYGB</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A5832"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6 (2.5%)</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62DB0"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1 (1.6%)</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38344"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1 (1.9%)</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FA8BD"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4 (3.3%)</w:t>
            </w:r>
          </w:p>
        </w:tc>
      </w:tr>
      <w:tr w:rsidR="008F00A9" w:rsidRPr="005865D6" w14:paraId="51799551"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AB784"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color w:val="000000"/>
                <w:lang w:val="en-US"/>
              </w:rPr>
              <w:t>  OAGB</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F0EC7"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5 (2.1%)</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6E19A"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1 (1.6%)</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9ADC8"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1 (1.9%)</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CAD84"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3 (2.5%)</w:t>
            </w:r>
          </w:p>
        </w:tc>
      </w:tr>
      <w:tr w:rsidR="008F00A9" w:rsidRPr="005865D6" w14:paraId="5F03EFBA"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221B6"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color w:val="000000"/>
                <w:lang w:val="en-US"/>
              </w:rPr>
              <w:t>  LBGS</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4226E"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31 (13.1%)</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98B3D"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5 (8.1%)</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F5C41"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9 (17.0%)</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31330"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17 (14.0%)</w:t>
            </w:r>
          </w:p>
        </w:tc>
      </w:tr>
      <w:tr w:rsidR="008F00A9" w:rsidRPr="005865D6" w14:paraId="4230DBEE"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0A3DD" w14:textId="7522C834" w:rsidR="008F00A9" w:rsidRPr="005865D6" w:rsidRDefault="00240178" w:rsidP="003F2CB7">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240178">
              <w:rPr>
                <w:rFonts w:ascii="Arial" w:eastAsia="Arial" w:hAnsi="Arial" w:cs="Arial"/>
                <w:b/>
                <w:color w:val="000000"/>
                <w:lang w:val="en-US"/>
              </w:rPr>
              <w:t>ARISCAT risk group</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B2156"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AC817"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B111D"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C81EA"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r>
      <w:tr w:rsidR="004226F2" w:rsidRPr="004226F2" w14:paraId="25A429C9" w14:textId="77777777" w:rsidTr="004226F2">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9A0BD" w14:textId="77777777" w:rsidR="004226F2" w:rsidRPr="004226F2" w:rsidRDefault="004226F2" w:rsidP="004226F2">
            <w:pPr>
              <w:pBdr>
                <w:top w:val="none" w:sz="0" w:space="0" w:color="000000"/>
                <w:left w:val="none" w:sz="0" w:space="0" w:color="000000"/>
                <w:bottom w:val="none" w:sz="0" w:space="0" w:color="000000"/>
                <w:right w:val="none" w:sz="0" w:space="0" w:color="000000"/>
              </w:pBdr>
              <w:spacing w:before="60" w:after="60"/>
              <w:ind w:left="100" w:right="100"/>
              <w:rPr>
                <w:rFonts w:ascii="Arial" w:eastAsia="Arial" w:hAnsi="Arial" w:cs="Arial"/>
                <w:bCs/>
                <w:color w:val="000000"/>
                <w:lang w:val="en-US"/>
              </w:rPr>
            </w:pPr>
            <w:r w:rsidRPr="004226F2">
              <w:rPr>
                <w:rFonts w:ascii="Arial" w:eastAsia="Arial" w:hAnsi="Arial" w:cs="Arial"/>
                <w:bCs/>
                <w:color w:val="000000"/>
                <w:lang w:val="en-US"/>
              </w:rPr>
              <w:t>Low Risk</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838B7" w14:textId="77777777" w:rsidR="004226F2" w:rsidRPr="004226F2" w:rsidRDefault="004226F2" w:rsidP="004226F2">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4226F2">
              <w:rPr>
                <w:rFonts w:ascii="Arial" w:hAnsi="Arial" w:cs="Arial"/>
                <w:lang w:val="en-US"/>
              </w:rPr>
              <w:t>175 (74.2%)</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4BE50" w14:textId="77777777" w:rsidR="004226F2" w:rsidRPr="004226F2" w:rsidRDefault="004226F2" w:rsidP="004226F2">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4226F2">
              <w:rPr>
                <w:rFonts w:ascii="Arial" w:hAnsi="Arial" w:cs="Arial"/>
                <w:lang w:val="en-US"/>
              </w:rPr>
              <w:t>44 (71.0%)</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5EA3D" w14:textId="77777777" w:rsidR="004226F2" w:rsidRPr="004226F2" w:rsidRDefault="004226F2" w:rsidP="004226F2">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4226F2">
              <w:rPr>
                <w:rFonts w:ascii="Arial" w:hAnsi="Arial" w:cs="Arial"/>
                <w:lang w:val="en-US"/>
              </w:rPr>
              <w:t>41 (77.4%)</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80492" w14:textId="77777777" w:rsidR="004226F2" w:rsidRPr="004226F2" w:rsidRDefault="004226F2" w:rsidP="004226F2">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4226F2">
              <w:rPr>
                <w:rFonts w:ascii="Arial" w:hAnsi="Arial" w:cs="Arial"/>
                <w:lang w:val="en-US"/>
              </w:rPr>
              <w:t>90 (74.4%)</w:t>
            </w:r>
          </w:p>
        </w:tc>
      </w:tr>
      <w:tr w:rsidR="004226F2" w:rsidRPr="004226F2" w14:paraId="345461B7" w14:textId="77777777" w:rsidTr="004226F2">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3C835" w14:textId="77777777" w:rsidR="004226F2" w:rsidRPr="004226F2" w:rsidRDefault="004226F2" w:rsidP="004226F2">
            <w:pPr>
              <w:pBdr>
                <w:top w:val="none" w:sz="0" w:space="0" w:color="000000"/>
                <w:left w:val="none" w:sz="0" w:space="0" w:color="000000"/>
                <w:bottom w:val="none" w:sz="0" w:space="0" w:color="000000"/>
                <w:right w:val="none" w:sz="0" w:space="0" w:color="000000"/>
              </w:pBdr>
              <w:spacing w:before="60" w:after="60"/>
              <w:ind w:left="100" w:right="100"/>
              <w:rPr>
                <w:rFonts w:ascii="Arial" w:eastAsia="Arial" w:hAnsi="Arial" w:cs="Arial"/>
                <w:bCs/>
                <w:color w:val="000000"/>
                <w:lang w:val="en-US"/>
              </w:rPr>
            </w:pPr>
            <w:r w:rsidRPr="004226F2">
              <w:rPr>
                <w:rFonts w:ascii="Arial" w:eastAsia="Arial" w:hAnsi="Arial" w:cs="Arial"/>
                <w:bCs/>
                <w:color w:val="000000"/>
                <w:lang w:val="en-US"/>
              </w:rPr>
              <w:t>Intermediate Risk</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457F8" w14:textId="77777777" w:rsidR="004226F2" w:rsidRPr="004226F2" w:rsidRDefault="004226F2" w:rsidP="004226F2">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4226F2">
              <w:rPr>
                <w:rFonts w:ascii="Arial" w:hAnsi="Arial" w:cs="Arial"/>
                <w:lang w:val="en-US"/>
              </w:rPr>
              <w:t>61 (25.8%)</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FA035" w14:textId="77777777" w:rsidR="004226F2" w:rsidRPr="004226F2" w:rsidRDefault="004226F2" w:rsidP="004226F2">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4226F2">
              <w:rPr>
                <w:rFonts w:ascii="Arial" w:hAnsi="Arial" w:cs="Arial"/>
                <w:lang w:val="en-US"/>
              </w:rPr>
              <w:t>18 (29.0%)</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1E64D" w14:textId="77777777" w:rsidR="004226F2" w:rsidRPr="004226F2" w:rsidRDefault="004226F2" w:rsidP="004226F2">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4226F2">
              <w:rPr>
                <w:rFonts w:ascii="Arial" w:hAnsi="Arial" w:cs="Arial"/>
                <w:lang w:val="en-US"/>
              </w:rPr>
              <w:t>12 (22.6%)</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CD1AC" w14:textId="77777777" w:rsidR="004226F2" w:rsidRPr="004226F2" w:rsidRDefault="004226F2" w:rsidP="004226F2">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4226F2">
              <w:rPr>
                <w:rFonts w:ascii="Arial" w:hAnsi="Arial" w:cs="Arial"/>
                <w:lang w:val="en-US"/>
              </w:rPr>
              <w:t>31 (25.6%)</w:t>
            </w:r>
          </w:p>
        </w:tc>
      </w:tr>
      <w:tr w:rsidR="004226F2" w:rsidRPr="004226F2" w14:paraId="39DA6B75" w14:textId="77777777" w:rsidTr="004226F2">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58618" w14:textId="77777777" w:rsidR="004226F2" w:rsidRPr="004226F2" w:rsidRDefault="004226F2" w:rsidP="004226F2">
            <w:pPr>
              <w:pBdr>
                <w:top w:val="none" w:sz="0" w:space="0" w:color="000000"/>
                <w:left w:val="none" w:sz="0" w:space="0" w:color="000000"/>
                <w:bottom w:val="none" w:sz="0" w:space="0" w:color="000000"/>
                <w:right w:val="none" w:sz="0" w:space="0" w:color="000000"/>
              </w:pBdr>
              <w:spacing w:before="60" w:after="60"/>
              <w:ind w:left="100" w:right="100"/>
              <w:rPr>
                <w:rFonts w:ascii="Arial" w:eastAsia="Arial" w:hAnsi="Arial" w:cs="Arial"/>
                <w:bCs/>
                <w:color w:val="000000"/>
                <w:lang w:val="en-US"/>
              </w:rPr>
            </w:pPr>
            <w:r w:rsidRPr="004226F2">
              <w:rPr>
                <w:rFonts w:ascii="Arial" w:eastAsia="Arial" w:hAnsi="Arial" w:cs="Arial"/>
                <w:bCs/>
                <w:color w:val="000000"/>
                <w:lang w:val="en-US"/>
              </w:rPr>
              <w:t>High Risk</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60DAD" w14:textId="77777777" w:rsidR="004226F2" w:rsidRPr="004226F2" w:rsidRDefault="004226F2" w:rsidP="004226F2">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4226F2">
              <w:rPr>
                <w:rFonts w:ascii="Arial" w:hAnsi="Arial" w:cs="Arial"/>
                <w:lang w:val="en-US"/>
              </w:rPr>
              <w:t>0 (0%)</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78036" w14:textId="77777777" w:rsidR="004226F2" w:rsidRPr="004226F2" w:rsidRDefault="004226F2" w:rsidP="004226F2">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4226F2">
              <w:rPr>
                <w:rFonts w:ascii="Arial" w:hAnsi="Arial" w:cs="Arial"/>
                <w:lang w:val="en-US"/>
              </w:rPr>
              <w:t>0 (0%)</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E73B4" w14:textId="77777777" w:rsidR="004226F2" w:rsidRPr="004226F2" w:rsidRDefault="004226F2" w:rsidP="004226F2">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4226F2">
              <w:rPr>
                <w:rFonts w:ascii="Arial" w:hAnsi="Arial" w:cs="Arial"/>
                <w:lang w:val="en-US"/>
              </w:rPr>
              <w:t>0 (0%)</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9A34B" w14:textId="77777777" w:rsidR="004226F2" w:rsidRPr="004226F2" w:rsidRDefault="004226F2" w:rsidP="004226F2">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4226F2">
              <w:rPr>
                <w:rFonts w:ascii="Arial" w:hAnsi="Arial" w:cs="Arial"/>
                <w:lang w:val="en-US"/>
              </w:rPr>
              <w:t>0 (0%)</w:t>
            </w:r>
          </w:p>
        </w:tc>
      </w:tr>
      <w:tr w:rsidR="008F00A9" w:rsidRPr="005865D6" w14:paraId="2352E3E3"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49695" w14:textId="18D82875"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b/>
                <w:color w:val="000000"/>
                <w:lang w:val="en-US"/>
              </w:rPr>
              <w:lastRenderedPageBreak/>
              <w:t>SpO2</w:t>
            </w:r>
            <w:r w:rsidR="003F2CB7" w:rsidRPr="005865D6">
              <w:rPr>
                <w:rFonts w:ascii="Arial" w:eastAsia="Arial" w:hAnsi="Arial" w:cs="Arial"/>
                <w:b/>
                <w:color w:val="000000"/>
                <w:lang w:val="en-US"/>
              </w:rPr>
              <w:t xml:space="preserve"> (</w:t>
            </w:r>
            <w:r w:rsidRPr="005865D6">
              <w:rPr>
                <w:rFonts w:ascii="Arial" w:eastAsia="Arial" w:hAnsi="Arial" w:cs="Arial"/>
                <w:b/>
                <w:color w:val="000000"/>
                <w:lang w:val="en-US"/>
              </w:rPr>
              <w:t>%)</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186F5"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31AA7"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2549B"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49347" w14:textId="77777777" w:rsidR="008F00A9" w:rsidRPr="005865D6"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r>
      <w:tr w:rsidR="008F00A9" w:rsidRPr="005865D6" w14:paraId="2535EB6D"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E2B77" w14:textId="77777777" w:rsidR="008F00A9" w:rsidRPr="005E2450" w:rsidRDefault="008F00A9" w:rsidP="003F2CB7">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E2450">
              <w:rPr>
                <w:rFonts w:ascii="Arial" w:eastAsia="Arial" w:hAnsi="Arial" w:cs="Arial"/>
                <w:color w:val="000000"/>
                <w:lang w:val="en-US"/>
              </w:rPr>
              <w:t>  Median [Q1, Q3]</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64454" w14:textId="77777777" w:rsidR="008F00A9" w:rsidRPr="005E2450"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E2450">
              <w:rPr>
                <w:rFonts w:ascii="Arial" w:eastAsia="Arial" w:hAnsi="Arial" w:cs="Arial"/>
                <w:color w:val="000000"/>
                <w:lang w:val="en-US"/>
              </w:rPr>
              <w:t>96.0 [93.0, 97.0]</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82B07" w14:textId="77777777" w:rsidR="008F00A9" w:rsidRPr="005E2450"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E2450">
              <w:rPr>
                <w:rFonts w:ascii="Arial" w:eastAsia="Arial" w:hAnsi="Arial" w:cs="Arial"/>
                <w:color w:val="000000"/>
                <w:lang w:val="en-US"/>
              </w:rPr>
              <w:t>97.0 [95.0, 97.8]</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75D39" w14:textId="77777777" w:rsidR="008F00A9" w:rsidRPr="005E2450"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E2450">
              <w:rPr>
                <w:rFonts w:ascii="Arial" w:eastAsia="Arial" w:hAnsi="Arial" w:cs="Arial"/>
                <w:color w:val="000000"/>
                <w:lang w:val="en-US"/>
              </w:rPr>
              <w:t>96.0 [94.0, 97.0]</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01797" w14:textId="77777777" w:rsidR="008F00A9" w:rsidRPr="005E2450" w:rsidRDefault="008F00A9" w:rsidP="003F2CB7">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E2450">
              <w:rPr>
                <w:rFonts w:ascii="Arial" w:eastAsia="Arial" w:hAnsi="Arial" w:cs="Arial"/>
                <w:color w:val="000000"/>
                <w:lang w:val="en-US"/>
              </w:rPr>
              <w:t>94.0 [92.0, 97.0]</w:t>
            </w:r>
          </w:p>
        </w:tc>
      </w:tr>
      <w:tr w:rsidR="006F4EB5" w:rsidRPr="005865D6" w14:paraId="180E4048"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0160E" w14:textId="6FF28502" w:rsidR="006F4EB5" w:rsidRPr="008641DC" w:rsidRDefault="006F4EB5" w:rsidP="006F4EB5">
            <w:pPr>
              <w:pBdr>
                <w:top w:val="none" w:sz="0" w:space="0" w:color="000000"/>
                <w:left w:val="none" w:sz="0" w:space="0" w:color="000000"/>
                <w:bottom w:val="none" w:sz="0" w:space="0" w:color="000000"/>
                <w:right w:val="none" w:sz="0" w:space="0" w:color="000000"/>
              </w:pBdr>
              <w:spacing w:before="60" w:after="60"/>
              <w:ind w:left="100" w:right="100"/>
              <w:rPr>
                <w:rFonts w:ascii="Arial" w:eastAsia="Arial" w:hAnsi="Arial" w:cs="Arial"/>
                <w:color w:val="000000"/>
                <w:vertAlign w:val="superscript"/>
                <w:lang w:val="en-US"/>
              </w:rPr>
            </w:pPr>
            <w:r w:rsidRPr="005E2450">
              <w:rPr>
                <w:rFonts w:ascii="Arial" w:eastAsia="Arial" w:hAnsi="Arial" w:cs="Arial"/>
                <w:b/>
                <w:color w:val="000000"/>
                <w:lang w:val="en-US"/>
              </w:rPr>
              <w:t>Mean altitude (meters)</w:t>
            </w:r>
            <w:r w:rsidR="008641DC">
              <w:rPr>
                <w:rFonts w:ascii="Arial" w:eastAsia="Arial" w:hAnsi="Arial" w:cs="Arial"/>
                <w:b/>
                <w:color w:val="000000"/>
                <w:vertAlign w:val="superscript"/>
                <w:lang w:val="en-US"/>
              </w:rPr>
              <w:t>1</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B071B" w14:textId="77777777" w:rsidR="006F4EB5" w:rsidRPr="005E2450" w:rsidRDefault="006F4EB5" w:rsidP="006F4EB5">
            <w:pPr>
              <w:pBdr>
                <w:top w:val="none" w:sz="0" w:space="0" w:color="000000"/>
                <w:left w:val="none" w:sz="0" w:space="0" w:color="000000"/>
                <w:bottom w:val="none" w:sz="0" w:space="0" w:color="000000"/>
                <w:right w:val="none" w:sz="0" w:space="0" w:color="000000"/>
              </w:pBdr>
              <w:spacing w:before="60" w:after="60"/>
              <w:ind w:left="100" w:right="100"/>
              <w:jc w:val="center"/>
              <w:rPr>
                <w:rFonts w:ascii="Arial" w:eastAsia="Arial" w:hAnsi="Arial" w:cs="Arial"/>
                <w:color w:val="000000"/>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C5F7C" w14:textId="77777777" w:rsidR="006F4EB5" w:rsidRPr="005E2450" w:rsidRDefault="006F4EB5" w:rsidP="006F4EB5">
            <w:pPr>
              <w:pBdr>
                <w:top w:val="none" w:sz="0" w:space="0" w:color="000000"/>
                <w:left w:val="none" w:sz="0" w:space="0" w:color="000000"/>
                <w:bottom w:val="none" w:sz="0" w:space="0" w:color="000000"/>
                <w:right w:val="none" w:sz="0" w:space="0" w:color="000000"/>
              </w:pBdr>
              <w:spacing w:before="60" w:after="60"/>
              <w:ind w:left="100" w:right="100"/>
              <w:jc w:val="center"/>
              <w:rPr>
                <w:rFonts w:ascii="Arial" w:eastAsia="Arial" w:hAnsi="Arial" w:cs="Arial"/>
                <w:color w:val="000000"/>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81F98" w14:textId="77777777" w:rsidR="006F4EB5" w:rsidRPr="005E2450" w:rsidRDefault="006F4EB5" w:rsidP="006F4EB5">
            <w:pPr>
              <w:pBdr>
                <w:top w:val="none" w:sz="0" w:space="0" w:color="000000"/>
                <w:left w:val="none" w:sz="0" w:space="0" w:color="000000"/>
                <w:bottom w:val="none" w:sz="0" w:space="0" w:color="000000"/>
                <w:right w:val="none" w:sz="0" w:space="0" w:color="000000"/>
              </w:pBdr>
              <w:spacing w:before="60" w:after="60"/>
              <w:ind w:left="100" w:right="100"/>
              <w:jc w:val="center"/>
              <w:rPr>
                <w:rFonts w:ascii="Arial" w:eastAsia="Arial" w:hAnsi="Arial" w:cs="Arial"/>
                <w:color w:val="000000"/>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0D453" w14:textId="77777777" w:rsidR="006F4EB5" w:rsidRPr="005E2450" w:rsidRDefault="006F4EB5" w:rsidP="006F4EB5">
            <w:pPr>
              <w:pBdr>
                <w:top w:val="none" w:sz="0" w:space="0" w:color="000000"/>
                <w:left w:val="none" w:sz="0" w:space="0" w:color="000000"/>
                <w:bottom w:val="none" w:sz="0" w:space="0" w:color="000000"/>
                <w:right w:val="none" w:sz="0" w:space="0" w:color="000000"/>
              </w:pBdr>
              <w:spacing w:before="60" w:after="60"/>
              <w:ind w:left="100" w:right="100"/>
              <w:jc w:val="center"/>
              <w:rPr>
                <w:rFonts w:ascii="Arial" w:eastAsia="Arial" w:hAnsi="Arial" w:cs="Arial"/>
                <w:color w:val="000000"/>
                <w:lang w:val="en-US"/>
              </w:rPr>
            </w:pPr>
          </w:p>
        </w:tc>
      </w:tr>
      <w:tr w:rsidR="005E2450" w:rsidRPr="005865D6" w14:paraId="6168FD98"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04A31" w14:textId="58D2DF73" w:rsidR="005E2450" w:rsidRPr="005E2450"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eastAsia="Arial" w:hAnsi="Arial" w:cs="Arial"/>
                <w:color w:val="000000"/>
                <w:lang w:val="en-US"/>
              </w:rPr>
            </w:pPr>
            <w:r w:rsidRPr="005E2450">
              <w:rPr>
                <w:rFonts w:ascii="Arial" w:eastAsia="Arial" w:hAnsi="Arial" w:cs="Arial"/>
                <w:color w:val="000000"/>
                <w:lang w:val="en-US"/>
              </w:rPr>
              <w:t>  Median [Q1, Q3]</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B070D" w14:textId="2CD32761" w:rsidR="005E2450" w:rsidRPr="005E2450"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eastAsia="Arial" w:hAnsi="Arial" w:cs="Arial"/>
                <w:color w:val="000000"/>
                <w:lang w:val="en-US"/>
              </w:rPr>
            </w:pPr>
            <w:r w:rsidRPr="005E2450">
              <w:rPr>
                <w:rFonts w:ascii="Arial" w:eastAsia="Arial" w:hAnsi="Arial" w:cs="Arial"/>
                <w:color w:val="000000"/>
                <w:lang w:val="en-US"/>
              </w:rPr>
              <w:t>519 [519, 806]</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A61FB" w14:textId="3B9A7D98" w:rsidR="005E2450" w:rsidRPr="005E2450"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eastAsia="Arial" w:hAnsi="Arial" w:cs="Arial"/>
                <w:color w:val="000000"/>
                <w:lang w:val="en-US"/>
              </w:rPr>
            </w:pPr>
            <w:r w:rsidRPr="005E2450">
              <w:rPr>
                <w:rFonts w:ascii="Arial" w:eastAsia="Arial" w:hAnsi="Arial" w:cs="Arial"/>
                <w:color w:val="000000"/>
                <w:lang w:val="en-US"/>
              </w:rPr>
              <w:t>519 [313, 806]</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D8F03" w14:textId="30D10364" w:rsidR="005E2450" w:rsidRPr="005E2450"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eastAsia="Arial" w:hAnsi="Arial" w:cs="Arial"/>
                <w:color w:val="000000"/>
                <w:lang w:val="en-US"/>
              </w:rPr>
            </w:pPr>
            <w:r w:rsidRPr="005E2450">
              <w:rPr>
                <w:rFonts w:ascii="Arial" w:eastAsia="Arial" w:hAnsi="Arial" w:cs="Arial"/>
                <w:color w:val="000000"/>
                <w:lang w:val="en-US"/>
              </w:rPr>
              <w:t>519 [519, 885]</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41BBD" w14:textId="5D7BDEA1" w:rsidR="005E2450" w:rsidRPr="005E2450"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eastAsia="Arial" w:hAnsi="Arial" w:cs="Arial"/>
                <w:color w:val="000000"/>
                <w:lang w:val="en-US"/>
              </w:rPr>
            </w:pPr>
            <w:r w:rsidRPr="005E2450">
              <w:rPr>
                <w:rFonts w:ascii="Arial" w:eastAsia="Arial" w:hAnsi="Arial" w:cs="Arial"/>
                <w:color w:val="000000"/>
                <w:lang w:val="en-US"/>
              </w:rPr>
              <w:t>519 [519, 806]</w:t>
            </w:r>
          </w:p>
        </w:tc>
      </w:tr>
      <w:tr w:rsidR="005E2450" w:rsidRPr="005865D6" w14:paraId="1F177668"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579E9" w14:textId="77777777" w:rsidR="005E2450" w:rsidRPr="005E2450"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E2450">
              <w:rPr>
                <w:rFonts w:ascii="Arial" w:eastAsia="Arial" w:hAnsi="Arial" w:cs="Arial"/>
                <w:b/>
                <w:color w:val="000000"/>
                <w:lang w:val="en-US"/>
              </w:rPr>
              <w:t>Hypertension</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293CC" w14:textId="77777777" w:rsidR="005E2450" w:rsidRPr="005E2450"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CBCC5" w14:textId="77777777" w:rsidR="005E2450" w:rsidRPr="005E2450"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2AC3A" w14:textId="77777777" w:rsidR="005E2450" w:rsidRPr="005E2450"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62508" w14:textId="77777777" w:rsidR="005E2450" w:rsidRPr="005E2450"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r>
      <w:tr w:rsidR="005E2450" w:rsidRPr="005865D6" w14:paraId="121FC4B2"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626BB" w14:textId="77777777" w:rsidR="005E2450" w:rsidRPr="005E2450"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E2450">
              <w:rPr>
                <w:rFonts w:ascii="Arial" w:eastAsia="Arial" w:hAnsi="Arial" w:cs="Arial"/>
                <w:color w:val="000000"/>
                <w:lang w:val="en-US"/>
              </w:rPr>
              <w:t>  No</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8C18D" w14:textId="77777777" w:rsidR="005E2450" w:rsidRPr="005E2450"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E2450">
              <w:rPr>
                <w:rFonts w:ascii="Arial" w:eastAsia="Arial" w:hAnsi="Arial" w:cs="Arial"/>
                <w:color w:val="000000"/>
                <w:lang w:val="en-US"/>
              </w:rPr>
              <w:t>177 (75.0%)</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63476" w14:textId="77777777" w:rsidR="005E2450" w:rsidRPr="005E2450"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E2450">
              <w:rPr>
                <w:rFonts w:ascii="Arial" w:eastAsia="Arial" w:hAnsi="Arial" w:cs="Arial"/>
                <w:color w:val="000000"/>
                <w:lang w:val="en-US"/>
              </w:rPr>
              <w:t>52 (83.9%)</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75E9E" w14:textId="77777777" w:rsidR="005E2450" w:rsidRPr="005E2450"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E2450">
              <w:rPr>
                <w:rFonts w:ascii="Arial" w:eastAsia="Arial" w:hAnsi="Arial" w:cs="Arial"/>
                <w:color w:val="000000"/>
                <w:lang w:val="en-US"/>
              </w:rPr>
              <w:t>40 (75.5%)</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5C5BE" w14:textId="77777777" w:rsidR="005E2450" w:rsidRPr="005E2450"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E2450">
              <w:rPr>
                <w:rFonts w:ascii="Arial" w:eastAsia="Arial" w:hAnsi="Arial" w:cs="Arial"/>
                <w:color w:val="000000"/>
                <w:lang w:val="en-US"/>
              </w:rPr>
              <w:t>85 (70.2%)</w:t>
            </w:r>
          </w:p>
        </w:tc>
      </w:tr>
      <w:tr w:rsidR="005E2450" w:rsidRPr="005865D6" w14:paraId="562C9893"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99CC1"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color w:val="000000"/>
                <w:lang w:val="en-US"/>
              </w:rPr>
              <w:t>  Yes</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F8BE1"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59 (25.0%)</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60290"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10 (16.1%)</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D47A0"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13 (24.5%)</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17B85"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36 (29.8%)</w:t>
            </w:r>
          </w:p>
        </w:tc>
      </w:tr>
      <w:tr w:rsidR="005E2450" w:rsidRPr="005865D6" w14:paraId="6CE9F00A"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61187"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b/>
                <w:color w:val="000000"/>
                <w:lang w:val="en-US"/>
              </w:rPr>
              <w:t>Diabetes</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B1E85"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E89D1"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9E4EE"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03550"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r>
      <w:tr w:rsidR="005E2450" w:rsidRPr="005865D6" w14:paraId="47406A5F"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A8F64"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color w:val="000000"/>
                <w:lang w:val="en-US"/>
              </w:rPr>
              <w:t>  No</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BCE90"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211 (89.4%)</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03EFC"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58 (93.5%)</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D06C3"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48 (90.6%)</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9500B"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105 (86.8%)</w:t>
            </w:r>
          </w:p>
        </w:tc>
      </w:tr>
      <w:tr w:rsidR="005E2450" w:rsidRPr="005865D6" w14:paraId="73A5A6EA"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D9715"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color w:val="000000"/>
                <w:lang w:val="en-US"/>
              </w:rPr>
              <w:t>  Yes</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9A892"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25 (10.6%)</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49565"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4 (6.5%)</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431E9"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5 (9.4%)</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B98E6"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16 (13.2%)</w:t>
            </w:r>
          </w:p>
        </w:tc>
      </w:tr>
      <w:tr w:rsidR="005E2450" w:rsidRPr="005865D6" w14:paraId="110F5A3E"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1467C"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b/>
                <w:color w:val="000000"/>
                <w:lang w:val="en-US"/>
              </w:rPr>
              <w:t>Obstructive sleep apnea</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9D70C"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B8C39"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F4EA3"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87437"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r>
      <w:tr w:rsidR="005E2450" w:rsidRPr="005865D6" w14:paraId="1E53815F"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5C488"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color w:val="000000"/>
                <w:lang w:val="en-US"/>
              </w:rPr>
              <w:t>  No</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15E3D"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218 (92.4%)</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912EA"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60 (96.8%)</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78328"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50 (94.3%)</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F81CE"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108 (89.3%)</w:t>
            </w:r>
          </w:p>
        </w:tc>
      </w:tr>
      <w:tr w:rsidR="005E2450" w:rsidRPr="005865D6" w14:paraId="5F82CC48"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6E292"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color w:val="000000"/>
                <w:lang w:val="en-US"/>
              </w:rPr>
              <w:t>  Yes</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EB256"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18 (7.6%)</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C6908"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2 (3.2%)</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61EF0"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3 (5.7%)</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DBE85"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13 (10.7%)</w:t>
            </w:r>
          </w:p>
        </w:tc>
      </w:tr>
      <w:tr w:rsidR="005E2450" w:rsidRPr="005865D6" w14:paraId="3CDAE64A"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3C970"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b/>
                <w:color w:val="000000"/>
                <w:lang w:val="en-US"/>
              </w:rPr>
              <w:t>Hypothyroidism</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39B04"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EAD50"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BAD21"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DA761"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r>
      <w:tr w:rsidR="005E2450" w:rsidRPr="005865D6" w14:paraId="0F0C3EA6"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18B9C"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color w:val="000000"/>
                <w:lang w:val="en-US"/>
              </w:rPr>
              <w:t>  No</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5BAA4"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213 (90.3%)</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5C652"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55 (88.7%)</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62017"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50 (94.3%)</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9F3D7"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108 (89.3%)</w:t>
            </w:r>
          </w:p>
        </w:tc>
      </w:tr>
      <w:tr w:rsidR="005E2450" w:rsidRPr="005865D6" w14:paraId="7892E1A9"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C1AFA"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color w:val="000000"/>
                <w:lang w:val="en-US"/>
              </w:rPr>
              <w:t>  Yes</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3DD43"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23 (9.7%)</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C1127"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7 (11.3%)</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AFFC1"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3 (5.7%)</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248E1"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13 (10.7%)</w:t>
            </w:r>
          </w:p>
        </w:tc>
      </w:tr>
      <w:tr w:rsidR="005E2450" w:rsidRPr="005865D6" w14:paraId="52A13763"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80F66"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b/>
                <w:color w:val="000000"/>
                <w:lang w:val="en-US"/>
              </w:rPr>
              <w:t>Dyslipidemia</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39166"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DCB9F"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97D3C"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644FB"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r>
      <w:tr w:rsidR="005E2450" w:rsidRPr="005865D6" w14:paraId="15495F36"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6A184"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color w:val="000000"/>
                <w:lang w:val="en-US"/>
              </w:rPr>
              <w:t>  No</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F028A"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218 (92.4%)</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1742D"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58 (93.5%)</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2A88F"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48 (90.6%)</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930FF"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112 (92.6%)</w:t>
            </w:r>
          </w:p>
        </w:tc>
      </w:tr>
      <w:tr w:rsidR="005E2450" w:rsidRPr="005865D6" w14:paraId="77C86F94"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6536A"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color w:val="000000"/>
                <w:lang w:val="en-US"/>
              </w:rPr>
              <w:t>  Yes</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AD735"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18 (7.6%)</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EF3F5"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4 (6.5%)</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1C077"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5 (9.4%)</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1737D"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9 (7.4%)</w:t>
            </w:r>
          </w:p>
        </w:tc>
      </w:tr>
      <w:tr w:rsidR="005E2450" w:rsidRPr="005865D6" w14:paraId="2181B259"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D738E" w14:textId="6D0B1835" w:rsidR="005E2450" w:rsidRPr="005865D6" w:rsidRDefault="00CD495D"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Pr>
                <w:rFonts w:ascii="Arial" w:eastAsia="Arial" w:hAnsi="Arial" w:cs="Arial"/>
                <w:b/>
                <w:color w:val="000000"/>
                <w:lang w:val="en-US"/>
              </w:rPr>
              <w:t>Use of antidepressants</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6F2EB"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1DD2B"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E6C26"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7CA1E"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r>
      <w:tr w:rsidR="005E2450" w:rsidRPr="005865D6" w14:paraId="2054C368"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3C4D2"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color w:val="000000"/>
                <w:lang w:val="en-US"/>
              </w:rPr>
              <w:t>  No</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26084"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142 (60.2%)</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D7295"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36 (58.1%)</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194AC"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33 (62.3%)</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15C74"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73 (60.3%)</w:t>
            </w:r>
          </w:p>
        </w:tc>
      </w:tr>
      <w:tr w:rsidR="005E2450" w:rsidRPr="005865D6" w14:paraId="60F1687D"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92A85"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color w:val="000000"/>
                <w:lang w:val="en-US"/>
              </w:rPr>
              <w:t>  Yes</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123EF"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94 (39.8%)</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C45CB"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26 (41.9%)</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E388B"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20 (37.7%)</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BDE06"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48 (39.7%)</w:t>
            </w:r>
          </w:p>
        </w:tc>
      </w:tr>
      <w:tr w:rsidR="005E2450" w:rsidRPr="005865D6" w14:paraId="208FD3E8"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27B39"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b/>
                <w:color w:val="000000"/>
                <w:lang w:val="en-US"/>
              </w:rPr>
              <w:lastRenderedPageBreak/>
              <w:t>CO-RADS</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DFE32"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D7864"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05EF4"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7B38C"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r>
      <w:tr w:rsidR="005E2450" w:rsidRPr="005865D6" w14:paraId="03F4BC9D"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14126"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color w:val="000000"/>
                <w:lang w:val="en-US"/>
              </w:rPr>
              <w:t>  CO-RADS 1</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D2ECA"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230 (97.5%)</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8C901"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61 (98.4%)</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43275"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51 (96.2%)</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09F87"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118 (97.5%)</w:t>
            </w:r>
          </w:p>
        </w:tc>
      </w:tr>
      <w:tr w:rsidR="005E2450" w:rsidRPr="005865D6" w14:paraId="3D0C8518"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479D9"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color w:val="000000"/>
                <w:lang w:val="en-US"/>
              </w:rPr>
              <w:t>  CO-RADS 2</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3571E"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6 (2.5%)</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1F936"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1 (1.6%)</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241E5"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2 (3.8%)</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6A74A"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3 (2.5%)</w:t>
            </w:r>
          </w:p>
        </w:tc>
      </w:tr>
      <w:tr w:rsidR="005E2450" w:rsidRPr="005865D6" w14:paraId="741924F2"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AC0F1"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b/>
                <w:color w:val="000000"/>
                <w:lang w:val="en-US"/>
              </w:rPr>
              <w:t>Glucose (mg/dL)</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89226"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BA947"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9CABB"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33BC8"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r>
      <w:tr w:rsidR="005E2450" w:rsidRPr="005865D6" w14:paraId="5D0253BE"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EE49E"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color w:val="000000"/>
                <w:lang w:val="en-US"/>
              </w:rPr>
              <w:t>  Median [Q1, Q3]</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57444"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83.0 [74.0, 92.0]</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A19A4"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83.0 [77.0, 90.0]</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66041"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81.0 [70.0, 92.0]</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74F84"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83.0 [74.0, 92.0]</w:t>
            </w:r>
          </w:p>
        </w:tc>
      </w:tr>
      <w:tr w:rsidR="005E2450" w:rsidRPr="005865D6" w14:paraId="3C46BDE8"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3833B"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b/>
                <w:color w:val="000000"/>
                <w:lang w:val="en-US"/>
              </w:rPr>
              <w:t>Creatinine (mg/dL)</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E34CB"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C18BA"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D6E44"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BE03F"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r>
      <w:tr w:rsidR="005E2450" w:rsidRPr="005865D6" w14:paraId="4E64A0DC"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436F1"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color w:val="000000"/>
                <w:lang w:val="en-US"/>
              </w:rPr>
              <w:t>  Mean (SD)</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C7B16"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0.758 (0.146)</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AFC65"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0.773 (0.115)</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17CD7"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0.744 (0.144)</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F2F41"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0.757 (0.160)</w:t>
            </w:r>
          </w:p>
        </w:tc>
      </w:tr>
      <w:tr w:rsidR="005E2450" w:rsidRPr="005865D6" w14:paraId="157C521A"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C065F"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b/>
                <w:color w:val="000000"/>
                <w:lang w:val="en-US"/>
              </w:rPr>
              <w:t>Urea (mg/dL)</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D13F4"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315E9"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C742C"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1955F"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r>
      <w:tr w:rsidR="005E2450" w:rsidRPr="005865D6" w14:paraId="06088E90"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48335"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color w:val="000000"/>
                <w:lang w:val="en-US"/>
              </w:rPr>
              <w:t>  Mean (SD)</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A63BE"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21.4 (6.70)</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1418B"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22.9 (6.08)</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C634F"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20.5 (6.77)</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ACA88"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21.1 (6.89)</w:t>
            </w:r>
          </w:p>
        </w:tc>
      </w:tr>
      <w:tr w:rsidR="005E2450" w:rsidRPr="005865D6" w14:paraId="6C45751F"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1E4E9"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b/>
                <w:color w:val="000000"/>
                <w:lang w:val="en-US"/>
              </w:rPr>
              <w:t>Hemoglobin (g/dL)</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773C6"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11E17"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C23CF"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692AB"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r>
      <w:tr w:rsidR="005E2450" w:rsidRPr="005865D6" w14:paraId="6A0CF74F"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4F807"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color w:val="000000"/>
                <w:lang w:val="en-US"/>
              </w:rPr>
              <w:t>  Mean (SD)</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BDF6F"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14.5 (1.21)</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79CAF"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14.5 (1.20)</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2CCFA"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14.5 (1.17)</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E5FC6"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14.6 (1.24)</w:t>
            </w:r>
          </w:p>
        </w:tc>
      </w:tr>
      <w:tr w:rsidR="005E2450" w:rsidRPr="005865D6" w14:paraId="22AF0F7F"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87D60"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b/>
                <w:color w:val="000000"/>
                <w:lang w:val="en-US"/>
              </w:rPr>
              <w:t>Hematocrit (%)</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E8007"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25035"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BB58D"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0DA2F"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r>
      <w:tr w:rsidR="005E2450" w:rsidRPr="005865D6" w14:paraId="54CD0580"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F6537"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color w:val="000000"/>
                <w:lang w:val="en-US"/>
              </w:rPr>
              <w:t>  Mean (SD)</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ABF9A"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42.8 (3.33)</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561DD"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42.6 (3.32)</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86336"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42.6 (3.22)</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2AEE9"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42.9 (3.41)</w:t>
            </w:r>
          </w:p>
        </w:tc>
      </w:tr>
      <w:tr w:rsidR="005E2450" w:rsidRPr="005865D6" w14:paraId="63D091BE"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8D12C"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b/>
                <w:color w:val="000000"/>
                <w:lang w:val="en-US"/>
              </w:rPr>
              <w:t>WBC count (10³/µL)</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D5E5F"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A571A"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C4C33"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40C82"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r>
      <w:tr w:rsidR="005E2450" w:rsidRPr="005865D6" w14:paraId="22FDFD1E"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A9905"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color w:val="000000"/>
                <w:lang w:val="en-US"/>
              </w:rPr>
              <w:t>  Mean (SD)</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D207F"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7.83 (1.76)</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46D25"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7.81 (1.74)</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C0972"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7.71 (1.76)</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32E8F"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7.89 (1.78)</w:t>
            </w:r>
          </w:p>
        </w:tc>
      </w:tr>
      <w:tr w:rsidR="005E2450" w:rsidRPr="005865D6" w14:paraId="7311EF52"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42139" w14:textId="6B79C3C1"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bookmarkStart w:id="1" w:name="_Hlk148636372"/>
            <w:r w:rsidRPr="005865D6">
              <w:rPr>
                <w:rFonts w:ascii="Arial" w:eastAsia="Arial" w:hAnsi="Arial" w:cs="Arial"/>
                <w:b/>
                <w:color w:val="000000"/>
                <w:lang w:val="en-US"/>
              </w:rPr>
              <w:t>Neutrophils (10³/µL)</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B3976"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82EB8"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5344B"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3E702"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r>
      <w:tr w:rsidR="005E2450" w:rsidRPr="005865D6" w14:paraId="5DEFDD2D"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2055A"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color w:val="000000"/>
                <w:lang w:val="en-US"/>
              </w:rPr>
              <w:t>  Mean (SD)</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42776"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4.97 (1.42)</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AA492"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4.94 (1.39)</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8528C"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4.83 (1.39)</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3B913"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5.04 (1.46)</w:t>
            </w:r>
          </w:p>
        </w:tc>
      </w:tr>
      <w:tr w:rsidR="005E2450" w:rsidRPr="005865D6" w14:paraId="47D33406"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4E7EE" w14:textId="0B82B2E6"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b/>
                <w:color w:val="000000"/>
                <w:lang w:val="en-US"/>
              </w:rPr>
              <w:t>Lymphocytes (10³/µL)</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27479"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B05B9"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753C9"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62E18"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r>
      <w:tr w:rsidR="005E2450" w:rsidRPr="005865D6" w14:paraId="79C20AE6"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7DB3D"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color w:val="000000"/>
                <w:lang w:val="en-US"/>
              </w:rPr>
              <w:t>  Mean (SD)</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2AF51"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2.70 (0.811)</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C8F85"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2.71 (0.802)</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A93AC"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2.70 (0.920)</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FE35C"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2.69 (0.771)</w:t>
            </w:r>
          </w:p>
        </w:tc>
      </w:tr>
      <w:tr w:rsidR="005E2450" w:rsidRPr="005865D6" w14:paraId="44F00C08"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90887" w14:textId="27385DFB"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b/>
                <w:color w:val="000000"/>
                <w:lang w:val="en-US"/>
              </w:rPr>
              <w:t>Monocytes (10³/µL)</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8D6F8"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BBD37"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6A7A4"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A356B"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r>
      <w:tr w:rsidR="005E2450" w:rsidRPr="005865D6" w14:paraId="2A8C85E9"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ED1A2"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color w:val="000000"/>
                <w:lang w:val="en-US"/>
              </w:rPr>
              <w:t>  Mean (SD)</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D21C5"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2.70 (0.811)</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56E64"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2.71 (0.802)</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8B469"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2.70 (0.920)</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E284A"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2.69 (0.771)</w:t>
            </w:r>
          </w:p>
        </w:tc>
      </w:tr>
      <w:tr w:rsidR="005E2450" w:rsidRPr="005865D6" w14:paraId="75478AB2" w14:textId="77777777" w:rsidTr="00C31A40">
        <w:trPr>
          <w:jc w:val="center"/>
        </w:trPr>
        <w:tc>
          <w:tcPr>
            <w:tcW w:w="3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A0C31"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b/>
                <w:color w:val="000000"/>
                <w:lang w:val="en-US"/>
              </w:rPr>
              <w:t>Platelets (cells/µL)</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297C1"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4ACF1"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B6DB2"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C1ED5"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p>
        </w:tc>
      </w:tr>
      <w:tr w:rsidR="005E2450" w:rsidRPr="005865D6" w14:paraId="57FF880B" w14:textId="77777777" w:rsidTr="00C31A40">
        <w:trPr>
          <w:jc w:val="center"/>
        </w:trPr>
        <w:tc>
          <w:tcPr>
            <w:tcW w:w="3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145872"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rPr>
                <w:rFonts w:ascii="Arial" w:hAnsi="Arial" w:cs="Arial"/>
                <w:lang w:val="en-US"/>
              </w:rPr>
            </w:pPr>
            <w:r w:rsidRPr="005865D6">
              <w:rPr>
                <w:rFonts w:ascii="Arial" w:eastAsia="Arial" w:hAnsi="Arial" w:cs="Arial"/>
                <w:color w:val="000000"/>
                <w:lang w:val="en-US"/>
              </w:rPr>
              <w:lastRenderedPageBreak/>
              <w:t>  Mean (SD)</w:t>
            </w:r>
          </w:p>
        </w:tc>
        <w:tc>
          <w:tcPr>
            <w:tcW w:w="20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91FE42"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316 (64.4)</w:t>
            </w:r>
          </w:p>
        </w:tc>
        <w:tc>
          <w:tcPr>
            <w:tcW w:w="20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D3F295"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307 (67.6)</w:t>
            </w:r>
          </w:p>
        </w:tc>
        <w:tc>
          <w:tcPr>
            <w:tcW w:w="20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0E1858"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319 (63.2)</w:t>
            </w:r>
          </w:p>
        </w:tc>
        <w:tc>
          <w:tcPr>
            <w:tcW w:w="20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C8B61F" w14:textId="77777777" w:rsidR="005E2450" w:rsidRPr="005865D6" w:rsidRDefault="005E2450" w:rsidP="005E2450">
            <w:pPr>
              <w:pBdr>
                <w:top w:val="none" w:sz="0" w:space="0" w:color="000000"/>
                <w:left w:val="none" w:sz="0" w:space="0" w:color="000000"/>
                <w:bottom w:val="none" w:sz="0" w:space="0" w:color="000000"/>
                <w:right w:val="none" w:sz="0" w:space="0" w:color="000000"/>
              </w:pBdr>
              <w:spacing w:before="60" w:after="60"/>
              <w:ind w:left="100" w:right="100"/>
              <w:jc w:val="center"/>
              <w:rPr>
                <w:rFonts w:ascii="Arial" w:hAnsi="Arial" w:cs="Arial"/>
                <w:lang w:val="en-US"/>
              </w:rPr>
            </w:pPr>
            <w:r w:rsidRPr="005865D6">
              <w:rPr>
                <w:rFonts w:ascii="Arial" w:eastAsia="Arial" w:hAnsi="Arial" w:cs="Arial"/>
                <w:color w:val="000000"/>
                <w:lang w:val="en-US"/>
              </w:rPr>
              <w:t>320 (63.2)</w:t>
            </w:r>
          </w:p>
        </w:tc>
      </w:tr>
    </w:tbl>
    <w:bookmarkEnd w:id="1"/>
    <w:p w14:paraId="63F23D82" w14:textId="63956619" w:rsidR="0067160D" w:rsidRDefault="00CD2339" w:rsidP="00CD495D">
      <w:pPr>
        <w:spacing w:before="120"/>
        <w:jc w:val="both"/>
        <w:rPr>
          <w:rFonts w:ascii="Arial" w:hAnsi="Arial" w:cs="Arial"/>
          <w:lang w:val="en-US"/>
        </w:rPr>
      </w:pPr>
      <w:r w:rsidRPr="005865D6">
        <w:rPr>
          <w:rFonts w:ascii="Arial" w:hAnsi="Arial" w:cs="Arial"/>
          <w:lang w:val="en-US"/>
        </w:rPr>
        <w:t xml:space="preserve">Abbreviations: </w:t>
      </w:r>
      <w:r w:rsidR="0046366D" w:rsidRPr="0046366D">
        <w:rPr>
          <w:rFonts w:ascii="Arial" w:hAnsi="Arial" w:cs="Arial"/>
          <w:lang w:val="en-US"/>
        </w:rPr>
        <w:t>Assess Respiratory Risk in Surgical Patients in Catalonia (ARISCAT)</w:t>
      </w:r>
      <w:r w:rsidRPr="005865D6">
        <w:rPr>
          <w:rFonts w:ascii="Arial" w:hAnsi="Arial" w:cs="Arial"/>
          <w:lang w:val="en-US"/>
        </w:rPr>
        <w:t xml:space="preserve">, body-mass index (BMI), coronavirus disease (COVID-19) Reporting and Data System (CO-RADS), lap-band to </w:t>
      </w:r>
      <w:r w:rsidR="00AE3021">
        <w:rPr>
          <w:rFonts w:ascii="Arial" w:hAnsi="Arial" w:cs="Arial"/>
          <w:lang w:val="en-US"/>
        </w:rPr>
        <w:t xml:space="preserve">gastric </w:t>
      </w:r>
      <w:r w:rsidRPr="005865D6">
        <w:rPr>
          <w:rFonts w:ascii="Arial" w:hAnsi="Arial" w:cs="Arial"/>
          <w:lang w:val="en-US"/>
        </w:rPr>
        <w:t>sleeve (LBGS)</w:t>
      </w:r>
      <w:r w:rsidR="0067160D" w:rsidRPr="005865D6">
        <w:rPr>
          <w:rFonts w:ascii="Arial" w:hAnsi="Arial" w:cs="Arial"/>
          <w:lang w:val="en-US"/>
        </w:rPr>
        <w:t xml:space="preserve">, </w:t>
      </w:r>
      <w:r w:rsidRPr="005865D6">
        <w:rPr>
          <w:rFonts w:ascii="Arial" w:hAnsi="Arial" w:cs="Arial"/>
          <w:lang w:val="en-US"/>
        </w:rPr>
        <w:t>one anastomosis gastric bypass (OAGB)</w:t>
      </w:r>
      <w:r w:rsidR="0067160D" w:rsidRPr="005865D6">
        <w:rPr>
          <w:rFonts w:ascii="Arial" w:hAnsi="Arial" w:cs="Arial"/>
          <w:lang w:val="en-US"/>
        </w:rPr>
        <w:t xml:space="preserve">, </w:t>
      </w:r>
      <w:r w:rsidRPr="005865D6">
        <w:rPr>
          <w:rFonts w:ascii="Arial" w:hAnsi="Arial" w:cs="Arial"/>
          <w:lang w:val="en-US"/>
        </w:rPr>
        <w:t>peripheral saturation of oxygen (SpO2)</w:t>
      </w:r>
      <w:r w:rsidR="0067160D" w:rsidRPr="005865D6">
        <w:rPr>
          <w:rFonts w:ascii="Arial" w:hAnsi="Arial" w:cs="Arial"/>
          <w:lang w:val="en-US"/>
        </w:rPr>
        <w:t xml:space="preserve">, </w:t>
      </w:r>
      <w:proofErr w:type="spellStart"/>
      <w:r w:rsidRPr="005865D6">
        <w:rPr>
          <w:rFonts w:ascii="Arial" w:hAnsi="Arial" w:cs="Arial"/>
          <w:lang w:val="en-US"/>
        </w:rPr>
        <w:t>roux-en-Y</w:t>
      </w:r>
      <w:proofErr w:type="spellEnd"/>
      <w:r w:rsidRPr="005865D6">
        <w:rPr>
          <w:rFonts w:ascii="Arial" w:hAnsi="Arial" w:cs="Arial"/>
          <w:lang w:val="en-US"/>
        </w:rPr>
        <w:t xml:space="preserve"> gastric bypass (RYGB)</w:t>
      </w:r>
      <w:r w:rsidR="0067160D" w:rsidRPr="005865D6">
        <w:rPr>
          <w:rFonts w:ascii="Arial" w:hAnsi="Arial" w:cs="Arial"/>
          <w:lang w:val="en-US"/>
        </w:rPr>
        <w:t xml:space="preserve">, </w:t>
      </w:r>
      <w:r w:rsidRPr="005865D6">
        <w:rPr>
          <w:rFonts w:ascii="Arial" w:hAnsi="Arial" w:cs="Arial"/>
          <w:lang w:val="en-US"/>
        </w:rPr>
        <w:t>sleeve gastrectomy (SG)</w:t>
      </w:r>
      <w:r w:rsidR="0067160D" w:rsidRPr="005865D6">
        <w:rPr>
          <w:rFonts w:ascii="Arial" w:hAnsi="Arial" w:cs="Arial"/>
          <w:lang w:val="en-US"/>
        </w:rPr>
        <w:t>,</w:t>
      </w:r>
      <w:r w:rsidR="00661DC3">
        <w:rPr>
          <w:rFonts w:ascii="Arial" w:hAnsi="Arial" w:cs="Arial"/>
          <w:lang w:val="en-US"/>
        </w:rPr>
        <w:t xml:space="preserve"> white blood cell (WBC),</w:t>
      </w:r>
      <w:r w:rsidR="0067160D" w:rsidRPr="005865D6">
        <w:rPr>
          <w:rFonts w:ascii="Arial" w:hAnsi="Arial" w:cs="Arial"/>
          <w:lang w:val="en-US"/>
        </w:rPr>
        <w:t xml:space="preserve"> </w:t>
      </w:r>
      <w:r w:rsidRPr="005865D6">
        <w:rPr>
          <w:rFonts w:ascii="Arial" w:hAnsi="Arial" w:cs="Arial"/>
          <w:lang w:val="en-US"/>
        </w:rPr>
        <w:t>25th percentile (Q1)</w:t>
      </w:r>
      <w:r w:rsidR="0067160D" w:rsidRPr="005865D6">
        <w:rPr>
          <w:rFonts w:ascii="Arial" w:hAnsi="Arial" w:cs="Arial"/>
          <w:lang w:val="en-US"/>
        </w:rPr>
        <w:t xml:space="preserve">, </w:t>
      </w:r>
      <w:r w:rsidRPr="005865D6">
        <w:rPr>
          <w:rFonts w:ascii="Arial" w:hAnsi="Arial" w:cs="Arial"/>
          <w:lang w:val="en-US"/>
        </w:rPr>
        <w:t>75th percentile (Q3)</w:t>
      </w:r>
      <w:r w:rsidR="0067160D" w:rsidRPr="005865D6">
        <w:rPr>
          <w:rFonts w:ascii="Arial" w:hAnsi="Arial" w:cs="Arial"/>
          <w:lang w:val="en-US"/>
        </w:rPr>
        <w:t xml:space="preserve">, </w:t>
      </w:r>
      <w:r w:rsidRPr="005865D6">
        <w:rPr>
          <w:rFonts w:ascii="Arial" w:hAnsi="Arial" w:cs="Arial"/>
          <w:lang w:val="en-US"/>
        </w:rPr>
        <w:t>percentage (%)</w:t>
      </w:r>
      <w:r w:rsidR="0067160D" w:rsidRPr="005865D6">
        <w:rPr>
          <w:rFonts w:ascii="Arial" w:hAnsi="Arial" w:cs="Arial"/>
          <w:lang w:val="en-US"/>
        </w:rPr>
        <w:t xml:space="preserve">, </w:t>
      </w:r>
      <w:r w:rsidRPr="005865D6">
        <w:rPr>
          <w:rFonts w:ascii="Arial" w:hAnsi="Arial" w:cs="Arial"/>
          <w:lang w:val="en-US"/>
        </w:rPr>
        <w:t>standard deviation (SD)</w:t>
      </w:r>
      <w:r w:rsidR="0067160D" w:rsidRPr="005865D6">
        <w:rPr>
          <w:rFonts w:ascii="Arial" w:hAnsi="Arial" w:cs="Arial"/>
          <w:lang w:val="en-US"/>
        </w:rPr>
        <w:t>.</w:t>
      </w:r>
    </w:p>
    <w:p w14:paraId="118FEBC0" w14:textId="3696A3B8" w:rsidR="008641DC" w:rsidRPr="008641DC" w:rsidRDefault="008641DC" w:rsidP="008641DC">
      <w:pPr>
        <w:spacing w:before="120"/>
        <w:jc w:val="both"/>
        <w:rPr>
          <w:rFonts w:ascii="Arial" w:hAnsi="Arial" w:cs="Arial"/>
          <w:lang w:val="en-US"/>
        </w:rPr>
      </w:pPr>
      <w:r w:rsidRPr="00FB294B">
        <w:rPr>
          <w:rFonts w:ascii="Arial" w:hAnsi="Arial" w:cs="Arial"/>
          <w:vertAlign w:val="superscript"/>
          <w:lang w:val="en-US"/>
        </w:rPr>
        <w:t>1</w:t>
      </w:r>
      <w:r>
        <w:rPr>
          <w:rFonts w:ascii="Arial" w:hAnsi="Arial" w:cs="Arial"/>
          <w:lang w:val="en-US"/>
        </w:rPr>
        <w:t xml:space="preserve">Mean altitude </w:t>
      </w:r>
      <w:r w:rsidR="00FB294B">
        <w:rPr>
          <w:rFonts w:ascii="Arial" w:hAnsi="Arial" w:cs="Arial"/>
          <w:lang w:val="en-US"/>
        </w:rPr>
        <w:t xml:space="preserve">of the state of residence. </w:t>
      </w:r>
    </w:p>
    <w:p w14:paraId="0C736CA1" w14:textId="0B325C49" w:rsidR="00086F55" w:rsidRPr="005865D6" w:rsidRDefault="0067160D">
      <w:pPr>
        <w:rPr>
          <w:rFonts w:ascii="Arial" w:hAnsi="Arial" w:cs="Arial"/>
          <w:lang w:val="en-US"/>
        </w:rPr>
      </w:pPr>
      <w:r w:rsidRPr="005865D6">
        <w:rPr>
          <w:rFonts w:ascii="Arial" w:hAnsi="Arial" w:cs="Arial"/>
          <w:lang w:val="en-US"/>
        </w:rPr>
        <w:br w:type="page"/>
      </w:r>
    </w:p>
    <w:p w14:paraId="03A5BFDB" w14:textId="50B19DA7" w:rsidR="00384947" w:rsidRPr="005865D6" w:rsidRDefault="00384947" w:rsidP="00384947">
      <w:pPr>
        <w:rPr>
          <w:rFonts w:ascii="Arial" w:hAnsi="Arial" w:cs="Arial"/>
          <w:lang w:val="en-US"/>
        </w:rPr>
      </w:pPr>
      <w:r w:rsidRPr="005865D6">
        <w:rPr>
          <w:rFonts w:ascii="Arial" w:hAnsi="Arial" w:cs="Arial"/>
          <w:b/>
          <w:bCs/>
          <w:lang w:val="en-US"/>
        </w:rPr>
        <w:lastRenderedPageBreak/>
        <w:t xml:space="preserve">Table </w:t>
      </w:r>
      <w:r w:rsidR="007E22E4">
        <w:rPr>
          <w:rFonts w:ascii="Arial" w:hAnsi="Arial" w:cs="Arial"/>
          <w:b/>
          <w:bCs/>
          <w:lang w:val="en-US"/>
        </w:rPr>
        <w:t>2</w:t>
      </w:r>
      <w:r w:rsidRPr="005865D6">
        <w:rPr>
          <w:rFonts w:ascii="Arial" w:hAnsi="Arial" w:cs="Arial"/>
          <w:lang w:val="en-US"/>
        </w:rPr>
        <w:t xml:space="preserve">. </w:t>
      </w:r>
      <w:r w:rsidR="00B67182">
        <w:rPr>
          <w:rFonts w:ascii="Arial" w:hAnsi="Arial" w:cs="Arial"/>
          <w:lang w:val="en-US"/>
        </w:rPr>
        <w:t xml:space="preserve">Crude and adjusted prevalence ratio </w:t>
      </w:r>
      <w:r w:rsidR="00C06DC3">
        <w:rPr>
          <w:rFonts w:ascii="Arial" w:hAnsi="Arial" w:cs="Arial"/>
          <w:lang w:val="en-US"/>
        </w:rPr>
        <w:t>of atelectasis according to obesity class category</w:t>
      </w:r>
      <w:r>
        <w:rPr>
          <w:rFonts w:ascii="Arial" w:hAnsi="Arial" w:cs="Arial"/>
          <w:lang w:val="en-US"/>
        </w:rPr>
        <w:t xml:space="preserve">. </w:t>
      </w:r>
    </w:p>
    <w:tbl>
      <w:tblPr>
        <w:tblW w:w="0" w:type="auto"/>
        <w:jc w:val="center"/>
        <w:tblLayout w:type="fixed"/>
        <w:tblLook w:val="0420" w:firstRow="1" w:lastRow="0" w:firstColumn="0" w:lastColumn="0" w:noHBand="0" w:noVBand="1"/>
      </w:tblPr>
      <w:tblGrid>
        <w:gridCol w:w="2269"/>
        <w:gridCol w:w="884"/>
        <w:gridCol w:w="1080"/>
        <w:gridCol w:w="1080"/>
        <w:gridCol w:w="633"/>
        <w:gridCol w:w="1080"/>
        <w:gridCol w:w="1020"/>
        <w:gridCol w:w="918"/>
        <w:gridCol w:w="797"/>
      </w:tblGrid>
      <w:tr w:rsidR="00075B16" w:rsidRPr="0073740E" w14:paraId="59F3A08E" w14:textId="77777777" w:rsidTr="00D36EC4">
        <w:trPr>
          <w:tblHeader/>
          <w:jc w:val="center"/>
        </w:trPr>
        <w:tc>
          <w:tcPr>
            <w:tcW w:w="22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26963D" w14:textId="77777777" w:rsidR="00075B16" w:rsidRPr="0073740E" w:rsidRDefault="00075B16" w:rsidP="00464588">
            <w:pPr>
              <w:pBdr>
                <w:top w:val="none" w:sz="0" w:space="0" w:color="000000"/>
                <w:left w:val="none" w:sz="0" w:space="0" w:color="000000"/>
                <w:bottom w:val="none" w:sz="0" w:space="0" w:color="000000"/>
                <w:right w:val="none" w:sz="0" w:space="0" w:color="000000"/>
              </w:pBdr>
              <w:spacing w:before="100" w:after="100"/>
              <w:ind w:left="100" w:right="100"/>
              <w:rPr>
                <w:b/>
                <w:bCs/>
                <w:lang w:val="en-US"/>
              </w:rPr>
            </w:pPr>
            <w:r w:rsidRPr="0073740E">
              <w:rPr>
                <w:rFonts w:ascii="Arial" w:eastAsia="Arial" w:hAnsi="Arial" w:cs="Arial"/>
                <w:b/>
                <w:bCs/>
                <w:color w:val="000000"/>
                <w:lang w:val="en-US"/>
              </w:rPr>
              <w:t>Category</w:t>
            </w:r>
          </w:p>
        </w:tc>
        <w:tc>
          <w:tcPr>
            <w:tcW w:w="8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5E5E07" w14:textId="77777777" w:rsidR="00075B16" w:rsidRPr="0073740E" w:rsidRDefault="00075B16" w:rsidP="00CB2626">
            <w:pPr>
              <w:pBdr>
                <w:top w:val="none" w:sz="0" w:space="0" w:color="000000"/>
                <w:left w:val="none" w:sz="0" w:space="0" w:color="000000"/>
                <w:bottom w:val="none" w:sz="0" w:space="0" w:color="000000"/>
                <w:right w:val="none" w:sz="0" w:space="0" w:color="000000"/>
              </w:pBdr>
              <w:spacing w:before="100" w:after="100"/>
              <w:ind w:left="100" w:right="100"/>
              <w:jc w:val="center"/>
              <w:rPr>
                <w:b/>
                <w:bCs/>
                <w:lang w:val="en-US"/>
              </w:rPr>
            </w:pPr>
            <w:r w:rsidRPr="0073740E">
              <w:rPr>
                <w:rFonts w:ascii="Arial" w:eastAsia="Arial" w:hAnsi="Arial" w:cs="Arial"/>
                <w:b/>
                <w:bCs/>
                <w:color w:val="000000"/>
                <w:lang w:val="en-US"/>
              </w:rPr>
              <w:t>PR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4A1166" w14:textId="77777777" w:rsidR="00075B16" w:rsidRPr="0073740E" w:rsidRDefault="00075B16" w:rsidP="00CB2626">
            <w:pPr>
              <w:pBdr>
                <w:top w:val="none" w:sz="0" w:space="0" w:color="000000"/>
                <w:left w:val="none" w:sz="0" w:space="0" w:color="000000"/>
                <w:bottom w:val="none" w:sz="0" w:space="0" w:color="000000"/>
                <w:right w:val="none" w:sz="0" w:space="0" w:color="000000"/>
              </w:pBdr>
              <w:spacing w:before="100" w:after="100"/>
              <w:ind w:left="100" w:right="100"/>
              <w:jc w:val="center"/>
              <w:rPr>
                <w:b/>
                <w:bCs/>
                <w:lang w:val="en-US"/>
              </w:rPr>
            </w:pPr>
            <w:r w:rsidRPr="0073740E">
              <w:rPr>
                <w:rFonts w:ascii="Arial" w:eastAsia="Arial" w:hAnsi="Arial" w:cs="Arial"/>
                <w:b/>
                <w:bCs/>
                <w:color w:val="000000"/>
                <w:lang w:val="en-US"/>
              </w:rPr>
              <w:t>SE</w:t>
            </w:r>
          </w:p>
        </w:tc>
        <w:tc>
          <w:tcPr>
            <w:tcW w:w="1713"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8A749B" w14:textId="77777777" w:rsidR="00075B16" w:rsidRPr="0073740E" w:rsidRDefault="00075B16" w:rsidP="00CB2626">
            <w:pPr>
              <w:pBdr>
                <w:top w:val="none" w:sz="0" w:space="0" w:color="000000"/>
                <w:left w:val="none" w:sz="0" w:space="0" w:color="000000"/>
                <w:bottom w:val="none" w:sz="0" w:space="0" w:color="000000"/>
                <w:right w:val="none" w:sz="0" w:space="0" w:color="000000"/>
              </w:pBdr>
              <w:spacing w:before="100" w:after="100"/>
              <w:ind w:left="100" w:right="100"/>
              <w:jc w:val="center"/>
              <w:rPr>
                <w:b/>
                <w:bCs/>
                <w:lang w:val="en-US"/>
              </w:rPr>
            </w:pPr>
            <w:r w:rsidRPr="0073740E">
              <w:rPr>
                <w:rFonts w:ascii="Arial" w:eastAsia="Arial" w:hAnsi="Arial" w:cs="Arial"/>
                <w:b/>
                <w:bCs/>
                <w:color w:val="000000"/>
                <w:lang w:val="en-US"/>
              </w:rPr>
              <w:t>95%CI</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A85692" w14:textId="5FB6F196" w:rsidR="00075B16" w:rsidRPr="0073740E" w:rsidRDefault="00075B16" w:rsidP="00CB2626">
            <w:pPr>
              <w:pBdr>
                <w:top w:val="none" w:sz="0" w:space="0" w:color="000000"/>
                <w:left w:val="none" w:sz="0" w:space="0" w:color="000000"/>
                <w:bottom w:val="none" w:sz="0" w:space="0" w:color="000000"/>
                <w:right w:val="none" w:sz="0" w:space="0" w:color="000000"/>
              </w:pBdr>
              <w:spacing w:before="100" w:after="100"/>
              <w:ind w:left="100" w:right="100"/>
              <w:jc w:val="center"/>
              <w:rPr>
                <w:b/>
                <w:bCs/>
                <w:lang w:val="en-US"/>
              </w:rPr>
            </w:pPr>
            <w:r w:rsidRPr="0073740E">
              <w:rPr>
                <w:rFonts w:ascii="Arial" w:eastAsia="Arial" w:hAnsi="Arial" w:cs="Arial"/>
                <w:b/>
                <w:bCs/>
                <w:color w:val="000000"/>
                <w:lang w:val="en-US"/>
              </w:rPr>
              <w:t>aPR</w:t>
            </w:r>
            <w:r w:rsidR="007E3FC0" w:rsidRPr="0073740E">
              <w:rPr>
                <w:rFonts w:ascii="Arial" w:eastAsia="Arial" w:hAnsi="Arial" w:cs="Arial"/>
                <w:b/>
                <w:bCs/>
                <w:color w:val="000000"/>
                <w:vertAlign w:val="superscript"/>
                <w:lang w:val="en-US"/>
              </w:rPr>
              <w:t>1</w:t>
            </w:r>
          </w:p>
        </w:tc>
        <w:tc>
          <w:tcPr>
            <w:tcW w:w="10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0DE70B" w14:textId="66FFD312" w:rsidR="00075B16" w:rsidRPr="0073740E" w:rsidRDefault="00075B16" w:rsidP="00CB2626">
            <w:pPr>
              <w:pBdr>
                <w:top w:val="none" w:sz="0" w:space="0" w:color="000000"/>
                <w:left w:val="none" w:sz="0" w:space="0" w:color="000000"/>
                <w:bottom w:val="none" w:sz="0" w:space="0" w:color="000000"/>
                <w:right w:val="none" w:sz="0" w:space="0" w:color="000000"/>
              </w:pBdr>
              <w:spacing w:before="100" w:after="100"/>
              <w:ind w:left="100" w:right="100"/>
              <w:jc w:val="center"/>
              <w:rPr>
                <w:b/>
                <w:bCs/>
                <w:lang w:val="en-US"/>
              </w:rPr>
            </w:pPr>
            <w:r w:rsidRPr="0073740E">
              <w:rPr>
                <w:rFonts w:ascii="Arial" w:eastAsia="Arial" w:hAnsi="Arial" w:cs="Arial"/>
                <w:b/>
                <w:bCs/>
                <w:color w:val="000000"/>
                <w:lang w:val="en-US"/>
              </w:rPr>
              <w:t>SE</w:t>
            </w:r>
          </w:p>
        </w:tc>
        <w:tc>
          <w:tcPr>
            <w:tcW w:w="1713"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658031" w14:textId="7F514CDA" w:rsidR="00075B16" w:rsidRPr="0073740E" w:rsidRDefault="00075B16" w:rsidP="00CB2626">
            <w:pPr>
              <w:pBdr>
                <w:top w:val="none" w:sz="0" w:space="0" w:color="000000"/>
                <w:left w:val="none" w:sz="0" w:space="0" w:color="000000"/>
                <w:bottom w:val="none" w:sz="0" w:space="0" w:color="000000"/>
                <w:right w:val="none" w:sz="0" w:space="0" w:color="000000"/>
              </w:pBdr>
              <w:spacing w:before="100" w:after="100"/>
              <w:ind w:left="100" w:right="100"/>
              <w:jc w:val="center"/>
              <w:rPr>
                <w:b/>
                <w:bCs/>
                <w:lang w:val="en-US"/>
              </w:rPr>
            </w:pPr>
            <w:r w:rsidRPr="0073740E">
              <w:rPr>
                <w:rFonts w:ascii="Arial" w:eastAsia="Arial" w:hAnsi="Arial" w:cs="Arial"/>
                <w:b/>
                <w:bCs/>
                <w:color w:val="000000"/>
                <w:lang w:val="en-US"/>
              </w:rPr>
              <w:t>95%CI</w:t>
            </w:r>
          </w:p>
        </w:tc>
      </w:tr>
      <w:tr w:rsidR="00075B16" w:rsidRPr="0073740E" w14:paraId="1C046155" w14:textId="77777777" w:rsidTr="00D36EC4">
        <w:trPr>
          <w:gridAfter w:val="1"/>
          <w:wAfter w:w="797" w:type="dxa"/>
          <w:jc w:val="center"/>
        </w:trPr>
        <w:tc>
          <w:tcPr>
            <w:tcW w:w="2269" w:type="dxa"/>
            <w:tcBorders>
              <w:top w:val="single" w:sz="12" w:space="0" w:color="666666"/>
              <w:left w:val="none" w:sz="0" w:space="0" w:color="000000"/>
              <w:bottom w:val="single" w:sz="4" w:space="0" w:color="FFFFFF" w:themeColor="background1"/>
              <w:right w:val="none" w:sz="0" w:space="0" w:color="000000"/>
            </w:tcBorders>
            <w:shd w:val="clear" w:color="auto" w:fill="FFFFFF"/>
            <w:tcMar>
              <w:top w:w="0" w:type="dxa"/>
              <w:left w:w="0" w:type="dxa"/>
              <w:bottom w:w="0" w:type="dxa"/>
              <w:right w:w="0" w:type="dxa"/>
            </w:tcMar>
            <w:vAlign w:val="center"/>
          </w:tcPr>
          <w:p w14:paraId="72634FBC" w14:textId="77777777" w:rsidR="00075B16" w:rsidRPr="0073740E" w:rsidRDefault="00075B16" w:rsidP="00464588">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lang w:val="en-US"/>
              </w:rPr>
            </w:pPr>
            <w:r w:rsidRPr="0073740E">
              <w:rPr>
                <w:rFonts w:ascii="Arial" w:eastAsia="Arial" w:hAnsi="Arial" w:cs="Arial"/>
                <w:color w:val="000000"/>
                <w:lang w:val="en-US"/>
              </w:rPr>
              <w:t>Class 1 Obesity</w:t>
            </w:r>
          </w:p>
        </w:tc>
        <w:tc>
          <w:tcPr>
            <w:tcW w:w="3044" w:type="dxa"/>
            <w:gridSpan w:val="3"/>
            <w:tcBorders>
              <w:top w:val="single" w:sz="12" w:space="0" w:color="666666"/>
              <w:left w:val="none" w:sz="0" w:space="0" w:color="000000"/>
              <w:bottom w:val="none" w:sz="0" w:space="0" w:color="000000"/>
              <w:right w:val="single" w:sz="4" w:space="0" w:color="FFFFFF" w:themeColor="background1"/>
            </w:tcBorders>
            <w:shd w:val="clear" w:color="auto" w:fill="FFFFFF"/>
            <w:tcMar>
              <w:top w:w="0" w:type="dxa"/>
              <w:left w:w="0" w:type="dxa"/>
              <w:bottom w:w="0" w:type="dxa"/>
              <w:right w:w="0" w:type="dxa"/>
            </w:tcMar>
            <w:vAlign w:val="center"/>
          </w:tcPr>
          <w:p w14:paraId="66F6CB91" w14:textId="77777777" w:rsidR="00075B16" w:rsidRPr="0073740E" w:rsidRDefault="00075B16" w:rsidP="00464588">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lang w:val="en-US"/>
              </w:rPr>
            </w:pPr>
            <w:r w:rsidRPr="0073740E">
              <w:rPr>
                <w:rFonts w:ascii="Arial" w:eastAsia="Arial" w:hAnsi="Arial" w:cs="Arial"/>
                <w:color w:val="000000"/>
                <w:lang w:val="en-US"/>
              </w:rPr>
              <w:t>Reference</w:t>
            </w:r>
          </w:p>
        </w:tc>
        <w:tc>
          <w:tcPr>
            <w:tcW w:w="3651" w:type="dxa"/>
            <w:gridSpan w:val="4"/>
            <w:tcBorders>
              <w:top w:val="single" w:sz="12" w:space="0" w:color="666666"/>
              <w:left w:val="single" w:sz="4" w:space="0" w:color="FFFFFF" w:themeColor="background1"/>
              <w:bottom w:val="none" w:sz="0" w:space="0" w:color="000000"/>
              <w:right w:val="none" w:sz="0" w:space="0" w:color="000000"/>
            </w:tcBorders>
            <w:shd w:val="clear" w:color="auto" w:fill="FFFFFF"/>
            <w:tcMar>
              <w:top w:w="0" w:type="dxa"/>
              <w:left w:w="0" w:type="dxa"/>
              <w:bottom w:w="0" w:type="dxa"/>
              <w:right w:w="0" w:type="dxa"/>
            </w:tcMar>
            <w:vAlign w:val="center"/>
          </w:tcPr>
          <w:p w14:paraId="24EC65A6" w14:textId="77777777" w:rsidR="00075B16" w:rsidRPr="0073740E" w:rsidRDefault="00075B16" w:rsidP="00464588">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lang w:val="en-US"/>
              </w:rPr>
            </w:pPr>
            <w:r w:rsidRPr="0073740E">
              <w:rPr>
                <w:rFonts w:ascii="Arial" w:eastAsia="Arial" w:hAnsi="Arial" w:cs="Arial"/>
                <w:color w:val="000000"/>
                <w:lang w:val="en-US"/>
              </w:rPr>
              <w:t>Reference</w:t>
            </w:r>
          </w:p>
        </w:tc>
      </w:tr>
      <w:tr w:rsidR="00075B16" w:rsidRPr="0073740E" w14:paraId="1B594CFE" w14:textId="77777777" w:rsidTr="00D36EC4">
        <w:trPr>
          <w:jc w:val="center"/>
        </w:trPr>
        <w:tc>
          <w:tcPr>
            <w:tcW w:w="2269" w:type="dxa"/>
            <w:tcBorders>
              <w:top w:val="single" w:sz="4" w:space="0" w:color="FFFFFF" w:themeColor="background1"/>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6AD0D" w14:textId="77777777" w:rsidR="00075B16" w:rsidRPr="0073740E" w:rsidRDefault="00075B16" w:rsidP="00464588">
            <w:pPr>
              <w:pBdr>
                <w:top w:val="none" w:sz="0" w:space="0" w:color="000000"/>
                <w:left w:val="none" w:sz="0" w:space="0" w:color="000000"/>
                <w:bottom w:val="none" w:sz="0" w:space="0" w:color="000000"/>
                <w:right w:val="none" w:sz="0" w:space="0" w:color="000000"/>
              </w:pBdr>
              <w:spacing w:before="100" w:after="100"/>
              <w:ind w:left="100" w:right="100"/>
              <w:rPr>
                <w:lang w:val="en-US"/>
              </w:rPr>
            </w:pPr>
            <w:r w:rsidRPr="0073740E">
              <w:rPr>
                <w:rFonts w:ascii="Arial" w:eastAsia="Arial" w:hAnsi="Arial" w:cs="Arial"/>
                <w:color w:val="000000"/>
                <w:lang w:val="en-US"/>
              </w:rPr>
              <w:t>Class 2 Obesity</w:t>
            </w:r>
          </w:p>
        </w:tc>
        <w:tc>
          <w:tcPr>
            <w:tcW w:w="884" w:type="dxa"/>
            <w:tcBorders>
              <w:top w:val="single" w:sz="4" w:space="0" w:color="FFFFFF" w:themeColor="background1"/>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9CE3F" w14:textId="77777777" w:rsidR="00075B16" w:rsidRPr="0073740E" w:rsidRDefault="00075B16" w:rsidP="00CB2626">
            <w:pPr>
              <w:pBdr>
                <w:top w:val="none" w:sz="0" w:space="0" w:color="000000"/>
                <w:left w:val="none" w:sz="0" w:space="0" w:color="000000"/>
                <w:bottom w:val="none" w:sz="0" w:space="0" w:color="000000"/>
                <w:right w:val="none" w:sz="0" w:space="0" w:color="000000"/>
              </w:pBdr>
              <w:spacing w:before="100" w:after="100"/>
              <w:ind w:left="100" w:right="100"/>
              <w:jc w:val="center"/>
              <w:rPr>
                <w:lang w:val="en-US"/>
              </w:rPr>
            </w:pPr>
            <w:r w:rsidRPr="0073740E">
              <w:rPr>
                <w:rFonts w:ascii="Arial" w:eastAsia="Arial" w:hAnsi="Arial" w:cs="Arial"/>
                <w:color w:val="000000"/>
                <w:lang w:val="en-US"/>
              </w:rPr>
              <w:t>2.19</w:t>
            </w:r>
          </w:p>
        </w:tc>
        <w:tc>
          <w:tcPr>
            <w:tcW w:w="1080" w:type="dxa"/>
            <w:tcBorders>
              <w:top w:val="single" w:sz="4" w:space="0" w:color="FFFFFF" w:themeColor="background1"/>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A30E9" w14:textId="77777777" w:rsidR="00075B16" w:rsidRPr="0073740E" w:rsidRDefault="00075B16" w:rsidP="00CB2626">
            <w:pPr>
              <w:pBdr>
                <w:top w:val="none" w:sz="0" w:space="0" w:color="000000"/>
                <w:left w:val="none" w:sz="0" w:space="0" w:color="000000"/>
                <w:bottom w:val="none" w:sz="0" w:space="0" w:color="000000"/>
                <w:right w:val="none" w:sz="0" w:space="0" w:color="000000"/>
              </w:pBdr>
              <w:spacing w:before="100" w:after="100"/>
              <w:ind w:left="100" w:right="100"/>
              <w:jc w:val="center"/>
              <w:rPr>
                <w:lang w:val="en-US"/>
              </w:rPr>
            </w:pPr>
            <w:r w:rsidRPr="0073740E">
              <w:rPr>
                <w:rFonts w:ascii="Arial" w:eastAsia="Arial" w:hAnsi="Arial" w:cs="Arial"/>
                <w:color w:val="000000"/>
                <w:lang w:val="en-US"/>
              </w:rPr>
              <w:t>0.40</w:t>
            </w:r>
          </w:p>
        </w:tc>
        <w:tc>
          <w:tcPr>
            <w:tcW w:w="1713" w:type="dxa"/>
            <w:gridSpan w:val="2"/>
            <w:tcBorders>
              <w:top w:val="single" w:sz="4" w:space="0" w:color="FFFFFF" w:themeColor="background1"/>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3354F" w14:textId="3E992644" w:rsidR="00075B16" w:rsidRPr="0073740E" w:rsidRDefault="00075B16" w:rsidP="00CB2626">
            <w:pPr>
              <w:pBdr>
                <w:top w:val="none" w:sz="0" w:space="0" w:color="000000"/>
                <w:left w:val="none" w:sz="0" w:space="0" w:color="000000"/>
                <w:bottom w:val="none" w:sz="0" w:space="0" w:color="000000"/>
                <w:right w:val="none" w:sz="0" w:space="0" w:color="000000"/>
              </w:pBdr>
              <w:spacing w:before="100" w:after="100"/>
              <w:ind w:left="100" w:right="100"/>
              <w:jc w:val="center"/>
              <w:rPr>
                <w:lang w:val="en-US"/>
              </w:rPr>
            </w:pPr>
            <w:r w:rsidRPr="0073740E">
              <w:rPr>
                <w:rFonts w:ascii="Arial" w:eastAsia="Arial" w:hAnsi="Arial" w:cs="Arial"/>
                <w:color w:val="000000"/>
                <w:lang w:val="en-US"/>
              </w:rPr>
              <w:t>1.01</w:t>
            </w:r>
            <w:r w:rsidR="00CB2626" w:rsidRPr="0073740E">
              <w:rPr>
                <w:rFonts w:ascii="Arial" w:eastAsia="Arial" w:hAnsi="Arial" w:cs="Arial"/>
                <w:color w:val="000000"/>
                <w:lang w:val="en-US"/>
              </w:rPr>
              <w:t xml:space="preserve"> </w:t>
            </w:r>
            <w:r w:rsidRPr="0073740E">
              <w:rPr>
                <w:rFonts w:ascii="Arial" w:eastAsia="Arial" w:hAnsi="Arial" w:cs="Arial"/>
                <w:color w:val="000000"/>
                <w:lang w:val="en-US"/>
              </w:rPr>
              <w:t>-</w:t>
            </w:r>
            <w:r w:rsidR="00CB2626" w:rsidRPr="0073740E">
              <w:rPr>
                <w:rFonts w:ascii="Arial" w:eastAsia="Arial" w:hAnsi="Arial" w:cs="Arial"/>
                <w:color w:val="000000"/>
                <w:lang w:val="en-US"/>
              </w:rPr>
              <w:t xml:space="preserve"> </w:t>
            </w:r>
            <w:r w:rsidRPr="0073740E">
              <w:rPr>
                <w:rFonts w:ascii="Arial" w:eastAsia="Arial" w:hAnsi="Arial" w:cs="Arial"/>
                <w:color w:val="000000"/>
                <w:lang w:val="en-US"/>
              </w:rPr>
              <w:t>4.76</w:t>
            </w:r>
          </w:p>
        </w:tc>
        <w:tc>
          <w:tcPr>
            <w:tcW w:w="1080" w:type="dxa"/>
            <w:tcBorders>
              <w:top w:val="single" w:sz="4" w:space="0" w:color="FFFFFF" w:themeColor="background1"/>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0E94D" w14:textId="77777777" w:rsidR="00075B16" w:rsidRPr="0073740E" w:rsidRDefault="00075B16" w:rsidP="00CB2626">
            <w:pPr>
              <w:pBdr>
                <w:top w:val="none" w:sz="0" w:space="0" w:color="000000"/>
                <w:left w:val="none" w:sz="0" w:space="0" w:color="000000"/>
                <w:bottom w:val="none" w:sz="0" w:space="0" w:color="000000"/>
                <w:right w:val="none" w:sz="0" w:space="0" w:color="000000"/>
              </w:pBdr>
              <w:spacing w:before="100" w:after="100"/>
              <w:ind w:left="100" w:right="100"/>
              <w:jc w:val="center"/>
              <w:rPr>
                <w:lang w:val="en-US"/>
              </w:rPr>
            </w:pPr>
            <w:r w:rsidRPr="0073740E">
              <w:rPr>
                <w:rFonts w:ascii="Arial" w:eastAsia="Arial" w:hAnsi="Arial" w:cs="Arial"/>
                <w:color w:val="000000"/>
                <w:lang w:val="en-US"/>
              </w:rPr>
              <w:t>2.13</w:t>
            </w:r>
          </w:p>
        </w:tc>
        <w:tc>
          <w:tcPr>
            <w:tcW w:w="1020" w:type="dxa"/>
            <w:tcBorders>
              <w:top w:val="single" w:sz="4" w:space="0" w:color="FFFFFF" w:themeColor="background1"/>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2DB08" w14:textId="77777777" w:rsidR="00075B16" w:rsidRPr="0073740E" w:rsidRDefault="00075B16" w:rsidP="00CB2626">
            <w:pPr>
              <w:pBdr>
                <w:top w:val="none" w:sz="0" w:space="0" w:color="000000"/>
                <w:left w:val="none" w:sz="0" w:space="0" w:color="000000"/>
                <w:bottom w:val="none" w:sz="0" w:space="0" w:color="000000"/>
                <w:right w:val="none" w:sz="0" w:space="0" w:color="000000"/>
              </w:pBdr>
              <w:spacing w:before="100" w:after="100"/>
              <w:ind w:left="100" w:right="100"/>
              <w:jc w:val="center"/>
              <w:rPr>
                <w:lang w:val="en-US"/>
              </w:rPr>
            </w:pPr>
            <w:r w:rsidRPr="0073740E">
              <w:rPr>
                <w:rFonts w:ascii="Arial" w:eastAsia="Arial" w:hAnsi="Arial" w:cs="Arial"/>
                <w:color w:val="000000"/>
                <w:lang w:val="en-US"/>
              </w:rPr>
              <w:t>0.37</w:t>
            </w:r>
          </w:p>
        </w:tc>
        <w:tc>
          <w:tcPr>
            <w:tcW w:w="1713" w:type="dxa"/>
            <w:gridSpan w:val="2"/>
            <w:tcBorders>
              <w:top w:val="single" w:sz="4" w:space="0" w:color="FFFFFF" w:themeColor="background1"/>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99441" w14:textId="4A6A022B" w:rsidR="00075B16" w:rsidRPr="0073740E" w:rsidRDefault="00075B16" w:rsidP="00CB2626">
            <w:pPr>
              <w:pBdr>
                <w:top w:val="none" w:sz="0" w:space="0" w:color="000000"/>
                <w:left w:val="none" w:sz="0" w:space="0" w:color="000000"/>
                <w:bottom w:val="none" w:sz="0" w:space="0" w:color="000000"/>
                <w:right w:val="none" w:sz="0" w:space="0" w:color="000000"/>
              </w:pBdr>
              <w:spacing w:before="100" w:after="100"/>
              <w:ind w:left="100" w:right="100"/>
              <w:jc w:val="center"/>
              <w:rPr>
                <w:lang w:val="en-US"/>
              </w:rPr>
            </w:pPr>
            <w:r w:rsidRPr="0073740E">
              <w:rPr>
                <w:rFonts w:ascii="Arial" w:eastAsia="Arial" w:hAnsi="Arial" w:cs="Arial"/>
                <w:color w:val="000000"/>
                <w:lang w:val="en-US"/>
              </w:rPr>
              <w:t>1.03</w:t>
            </w:r>
            <w:r w:rsidR="00CB2626" w:rsidRPr="0073740E">
              <w:rPr>
                <w:rFonts w:ascii="Arial" w:eastAsia="Arial" w:hAnsi="Arial" w:cs="Arial"/>
                <w:color w:val="000000"/>
                <w:lang w:val="en-US"/>
              </w:rPr>
              <w:t xml:space="preserve"> </w:t>
            </w:r>
            <w:r w:rsidRPr="0073740E">
              <w:rPr>
                <w:rFonts w:ascii="Arial" w:eastAsia="Arial" w:hAnsi="Arial" w:cs="Arial"/>
                <w:color w:val="000000"/>
                <w:lang w:val="en-US"/>
              </w:rPr>
              <w:t>-</w:t>
            </w:r>
            <w:r w:rsidR="00CB2626" w:rsidRPr="0073740E">
              <w:rPr>
                <w:rFonts w:ascii="Arial" w:eastAsia="Arial" w:hAnsi="Arial" w:cs="Arial"/>
                <w:color w:val="000000"/>
                <w:lang w:val="en-US"/>
              </w:rPr>
              <w:t xml:space="preserve"> </w:t>
            </w:r>
            <w:r w:rsidRPr="0073740E">
              <w:rPr>
                <w:rFonts w:ascii="Arial" w:eastAsia="Arial" w:hAnsi="Arial" w:cs="Arial"/>
                <w:color w:val="000000"/>
                <w:lang w:val="en-US"/>
              </w:rPr>
              <w:t>4.41</w:t>
            </w:r>
          </w:p>
        </w:tc>
      </w:tr>
      <w:tr w:rsidR="00075B16" w:rsidRPr="0073740E" w14:paraId="3E22E5D5" w14:textId="77777777" w:rsidTr="00D36EC4">
        <w:trPr>
          <w:jc w:val="center"/>
        </w:trPr>
        <w:tc>
          <w:tcPr>
            <w:tcW w:w="22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B7BC6" w14:textId="77777777" w:rsidR="00075B16" w:rsidRPr="0073740E" w:rsidRDefault="00075B16" w:rsidP="00464588">
            <w:pPr>
              <w:pBdr>
                <w:top w:val="none" w:sz="0" w:space="0" w:color="000000"/>
                <w:left w:val="none" w:sz="0" w:space="0" w:color="000000"/>
                <w:bottom w:val="none" w:sz="0" w:space="0" w:color="000000"/>
                <w:right w:val="none" w:sz="0" w:space="0" w:color="000000"/>
              </w:pBdr>
              <w:spacing w:before="100" w:after="100"/>
              <w:ind w:left="100" w:right="100"/>
              <w:rPr>
                <w:lang w:val="en-US"/>
              </w:rPr>
            </w:pPr>
            <w:r w:rsidRPr="0073740E">
              <w:rPr>
                <w:rFonts w:ascii="Arial" w:eastAsia="Arial" w:hAnsi="Arial" w:cs="Arial"/>
                <w:color w:val="000000"/>
                <w:lang w:val="en-US"/>
              </w:rPr>
              <w:t>Class 3 Obesity</w:t>
            </w:r>
          </w:p>
        </w:tc>
        <w:tc>
          <w:tcPr>
            <w:tcW w:w="8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82A0E" w14:textId="77777777" w:rsidR="00075B16" w:rsidRPr="0073740E" w:rsidRDefault="00075B16" w:rsidP="00CB2626">
            <w:pPr>
              <w:pBdr>
                <w:top w:val="none" w:sz="0" w:space="0" w:color="000000"/>
                <w:left w:val="none" w:sz="0" w:space="0" w:color="000000"/>
                <w:bottom w:val="none" w:sz="0" w:space="0" w:color="000000"/>
                <w:right w:val="none" w:sz="0" w:space="0" w:color="000000"/>
              </w:pBdr>
              <w:spacing w:before="100" w:after="100"/>
              <w:ind w:left="100" w:right="100"/>
              <w:jc w:val="center"/>
              <w:rPr>
                <w:lang w:val="en-US"/>
              </w:rPr>
            </w:pPr>
            <w:r w:rsidRPr="0073740E">
              <w:rPr>
                <w:rFonts w:ascii="Arial" w:eastAsia="Arial" w:hAnsi="Arial" w:cs="Arial"/>
                <w:color w:val="000000"/>
                <w:lang w:val="en-US"/>
              </w:rPr>
              <w:t>3.46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22DBC" w14:textId="77777777" w:rsidR="00075B16" w:rsidRPr="0073740E" w:rsidRDefault="00075B16" w:rsidP="00CB2626">
            <w:pPr>
              <w:pBdr>
                <w:top w:val="none" w:sz="0" w:space="0" w:color="000000"/>
                <w:left w:val="none" w:sz="0" w:space="0" w:color="000000"/>
                <w:bottom w:val="none" w:sz="0" w:space="0" w:color="000000"/>
                <w:right w:val="none" w:sz="0" w:space="0" w:color="000000"/>
              </w:pBdr>
              <w:spacing w:before="100" w:after="100"/>
              <w:ind w:left="100" w:right="100"/>
              <w:jc w:val="center"/>
              <w:rPr>
                <w:lang w:val="en-US"/>
              </w:rPr>
            </w:pPr>
            <w:r w:rsidRPr="0073740E">
              <w:rPr>
                <w:rFonts w:ascii="Arial" w:eastAsia="Arial" w:hAnsi="Arial" w:cs="Arial"/>
                <w:color w:val="000000"/>
                <w:lang w:val="en-US"/>
              </w:rPr>
              <w:t>0.35</w:t>
            </w:r>
          </w:p>
        </w:tc>
        <w:tc>
          <w:tcPr>
            <w:tcW w:w="171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1462F" w14:textId="6F7FBBB5" w:rsidR="00075B16" w:rsidRPr="0073740E" w:rsidRDefault="00075B16" w:rsidP="00CB2626">
            <w:pPr>
              <w:pBdr>
                <w:top w:val="none" w:sz="0" w:space="0" w:color="000000"/>
                <w:left w:val="none" w:sz="0" w:space="0" w:color="000000"/>
                <w:bottom w:val="none" w:sz="0" w:space="0" w:color="000000"/>
                <w:right w:val="none" w:sz="0" w:space="0" w:color="000000"/>
              </w:pBdr>
              <w:spacing w:before="100" w:after="100"/>
              <w:ind w:left="100" w:right="100"/>
              <w:jc w:val="center"/>
              <w:rPr>
                <w:lang w:val="en-US"/>
              </w:rPr>
            </w:pPr>
            <w:r w:rsidRPr="0073740E">
              <w:rPr>
                <w:rFonts w:ascii="Arial" w:eastAsia="Arial" w:hAnsi="Arial" w:cs="Arial"/>
                <w:color w:val="000000"/>
                <w:lang w:val="en-US"/>
              </w:rPr>
              <w:t>1.76</w:t>
            </w:r>
            <w:r w:rsidR="00CB2626" w:rsidRPr="0073740E">
              <w:rPr>
                <w:rFonts w:ascii="Arial" w:eastAsia="Arial" w:hAnsi="Arial" w:cs="Arial"/>
                <w:color w:val="000000"/>
                <w:lang w:val="en-US"/>
              </w:rPr>
              <w:t xml:space="preserve"> </w:t>
            </w:r>
            <w:r w:rsidRPr="0073740E">
              <w:rPr>
                <w:rFonts w:ascii="Arial" w:eastAsia="Arial" w:hAnsi="Arial" w:cs="Arial"/>
                <w:color w:val="000000"/>
                <w:lang w:val="en-US"/>
              </w:rPr>
              <w:t>-</w:t>
            </w:r>
            <w:r w:rsidR="00CB2626" w:rsidRPr="0073740E">
              <w:rPr>
                <w:rFonts w:ascii="Arial" w:eastAsia="Arial" w:hAnsi="Arial" w:cs="Arial"/>
                <w:color w:val="000000"/>
                <w:lang w:val="en-US"/>
              </w:rPr>
              <w:t xml:space="preserve"> </w:t>
            </w:r>
            <w:r w:rsidRPr="0073740E">
              <w:rPr>
                <w:rFonts w:ascii="Arial" w:eastAsia="Arial" w:hAnsi="Arial" w:cs="Arial"/>
                <w:color w:val="000000"/>
                <w:lang w:val="en-US"/>
              </w:rPr>
              <w:t>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E5E74" w14:textId="77777777" w:rsidR="00075B16" w:rsidRPr="0073740E" w:rsidRDefault="00075B16" w:rsidP="00CB2626">
            <w:pPr>
              <w:pBdr>
                <w:top w:val="none" w:sz="0" w:space="0" w:color="000000"/>
                <w:left w:val="none" w:sz="0" w:space="0" w:color="000000"/>
                <w:bottom w:val="none" w:sz="0" w:space="0" w:color="000000"/>
                <w:right w:val="none" w:sz="0" w:space="0" w:color="000000"/>
              </w:pBdr>
              <w:spacing w:before="100" w:after="100"/>
              <w:ind w:left="100" w:right="100"/>
              <w:jc w:val="center"/>
              <w:rPr>
                <w:lang w:val="en-US"/>
              </w:rPr>
            </w:pPr>
            <w:r w:rsidRPr="0073740E">
              <w:rPr>
                <w:rFonts w:ascii="Arial" w:eastAsia="Arial" w:hAnsi="Arial" w:cs="Arial"/>
                <w:color w:val="000000"/>
                <w:lang w:val="en-US"/>
              </w:rPr>
              <w:t>3.10</w:t>
            </w:r>
          </w:p>
        </w:tc>
        <w:tc>
          <w:tcPr>
            <w:tcW w:w="10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A6FC5" w14:textId="77777777" w:rsidR="00075B16" w:rsidRPr="0073740E" w:rsidRDefault="00075B16" w:rsidP="00CB2626">
            <w:pPr>
              <w:pBdr>
                <w:top w:val="none" w:sz="0" w:space="0" w:color="000000"/>
                <w:left w:val="none" w:sz="0" w:space="0" w:color="000000"/>
                <w:bottom w:val="none" w:sz="0" w:space="0" w:color="000000"/>
                <w:right w:val="none" w:sz="0" w:space="0" w:color="000000"/>
              </w:pBdr>
              <w:spacing w:before="100" w:after="100"/>
              <w:ind w:left="100" w:right="100"/>
              <w:jc w:val="center"/>
              <w:rPr>
                <w:lang w:val="en-US"/>
              </w:rPr>
            </w:pPr>
            <w:r w:rsidRPr="0073740E">
              <w:rPr>
                <w:rFonts w:ascii="Arial" w:eastAsia="Arial" w:hAnsi="Arial" w:cs="Arial"/>
                <w:color w:val="000000"/>
                <w:lang w:val="en-US"/>
              </w:rPr>
              <w:t>0.33</w:t>
            </w:r>
          </w:p>
        </w:tc>
        <w:tc>
          <w:tcPr>
            <w:tcW w:w="171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E940F" w14:textId="7C5478E8" w:rsidR="00075B16" w:rsidRPr="0073740E" w:rsidRDefault="00075B16" w:rsidP="00CB2626">
            <w:pPr>
              <w:pBdr>
                <w:top w:val="none" w:sz="0" w:space="0" w:color="000000"/>
                <w:left w:val="none" w:sz="0" w:space="0" w:color="000000"/>
                <w:bottom w:val="none" w:sz="0" w:space="0" w:color="000000"/>
                <w:right w:val="none" w:sz="0" w:space="0" w:color="000000"/>
              </w:pBdr>
              <w:spacing w:before="100" w:after="100"/>
              <w:ind w:left="100" w:right="100"/>
              <w:jc w:val="center"/>
              <w:rPr>
                <w:lang w:val="en-US"/>
              </w:rPr>
            </w:pPr>
            <w:r w:rsidRPr="0073740E">
              <w:rPr>
                <w:rFonts w:ascii="Arial" w:eastAsia="Arial" w:hAnsi="Arial" w:cs="Arial"/>
                <w:color w:val="000000"/>
                <w:lang w:val="en-US"/>
              </w:rPr>
              <w:t>1.63</w:t>
            </w:r>
            <w:r w:rsidR="00CB2626" w:rsidRPr="0073740E">
              <w:rPr>
                <w:rFonts w:ascii="Arial" w:eastAsia="Arial" w:hAnsi="Arial" w:cs="Arial"/>
                <w:color w:val="000000"/>
                <w:lang w:val="en-US"/>
              </w:rPr>
              <w:t xml:space="preserve"> </w:t>
            </w:r>
            <w:r w:rsidRPr="0073740E">
              <w:rPr>
                <w:rFonts w:ascii="Arial" w:eastAsia="Arial" w:hAnsi="Arial" w:cs="Arial"/>
                <w:color w:val="000000"/>
                <w:lang w:val="en-US"/>
              </w:rPr>
              <w:t>-</w:t>
            </w:r>
            <w:r w:rsidR="00CB2626" w:rsidRPr="0073740E">
              <w:rPr>
                <w:rFonts w:ascii="Arial" w:eastAsia="Arial" w:hAnsi="Arial" w:cs="Arial"/>
                <w:color w:val="000000"/>
                <w:lang w:val="en-US"/>
              </w:rPr>
              <w:t xml:space="preserve"> </w:t>
            </w:r>
            <w:r w:rsidRPr="0073740E">
              <w:rPr>
                <w:rFonts w:ascii="Arial" w:eastAsia="Arial" w:hAnsi="Arial" w:cs="Arial"/>
                <w:color w:val="000000"/>
                <w:lang w:val="en-US"/>
              </w:rPr>
              <w:t>5.9</w:t>
            </w:r>
          </w:p>
        </w:tc>
      </w:tr>
      <w:tr w:rsidR="002E67EC" w:rsidRPr="0073740E" w14:paraId="16725104" w14:textId="77777777" w:rsidTr="00D36EC4">
        <w:trPr>
          <w:jc w:val="center"/>
        </w:trPr>
        <w:tc>
          <w:tcPr>
            <w:tcW w:w="9761" w:type="dxa"/>
            <w:gridSpan w:val="9"/>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0BBD2" w14:textId="6B592D7F" w:rsidR="002E67EC" w:rsidRPr="0073740E" w:rsidRDefault="002E67EC" w:rsidP="00E30B0A">
            <w:pPr>
              <w:pBdr>
                <w:top w:val="none" w:sz="0" w:space="0" w:color="000000"/>
                <w:left w:val="none" w:sz="0" w:space="0" w:color="000000"/>
                <w:bottom w:val="none" w:sz="0" w:space="0" w:color="000000"/>
                <w:right w:val="none" w:sz="0" w:space="0" w:color="000000"/>
              </w:pBdr>
              <w:spacing w:before="100" w:after="100"/>
              <w:ind w:left="283" w:right="100"/>
              <w:rPr>
                <w:rFonts w:ascii="Arial" w:eastAsia="Arial" w:hAnsi="Arial" w:cs="Arial"/>
                <w:color w:val="000000"/>
                <w:lang w:val="en-US"/>
              </w:rPr>
            </w:pPr>
            <w:r>
              <w:rPr>
                <w:rFonts w:ascii="Arial" w:eastAsia="Arial" w:hAnsi="Arial" w:cs="Arial"/>
                <w:color w:val="000000"/>
                <w:lang w:val="en-US"/>
              </w:rPr>
              <w:t>Subgroups (Class 3 Obesity)</w:t>
            </w:r>
          </w:p>
        </w:tc>
      </w:tr>
      <w:tr w:rsidR="00D36EC4" w:rsidRPr="0073740E" w14:paraId="085A446D" w14:textId="77777777" w:rsidTr="00D36EC4">
        <w:trPr>
          <w:jc w:val="center"/>
        </w:trPr>
        <w:tc>
          <w:tcPr>
            <w:tcW w:w="22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18ED8" w14:textId="1BF5A1FD" w:rsidR="00D36EC4" w:rsidRPr="0073740E" w:rsidRDefault="00D36EC4" w:rsidP="00C112A6">
            <w:pPr>
              <w:pBdr>
                <w:top w:val="none" w:sz="0" w:space="0" w:color="000000"/>
                <w:left w:val="none" w:sz="0" w:space="0" w:color="000000"/>
                <w:bottom w:val="none" w:sz="0" w:space="0" w:color="000000"/>
                <w:right w:val="none" w:sz="0" w:space="0" w:color="000000"/>
              </w:pBdr>
              <w:spacing w:before="100" w:after="100"/>
              <w:ind w:left="567" w:right="100"/>
              <w:rPr>
                <w:rFonts w:ascii="Arial" w:eastAsia="Arial" w:hAnsi="Arial" w:cs="Arial"/>
                <w:color w:val="000000"/>
                <w:lang w:val="en-US"/>
              </w:rPr>
            </w:pPr>
            <w:r>
              <w:rPr>
                <w:rFonts w:ascii="Arial" w:eastAsia="Arial" w:hAnsi="Arial" w:cs="Arial"/>
                <w:color w:val="000000"/>
              </w:rPr>
              <w:t>[40,45)</w:t>
            </w:r>
          </w:p>
        </w:tc>
        <w:tc>
          <w:tcPr>
            <w:tcW w:w="8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1E0F7" w14:textId="395434C3" w:rsidR="00D36EC4" w:rsidRPr="0073740E" w:rsidRDefault="00D36EC4" w:rsidP="00D36EC4">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lang w:val="en-US"/>
              </w:rPr>
            </w:pPr>
            <w:r>
              <w:rPr>
                <w:rFonts w:ascii="Arial" w:eastAsia="Arial" w:hAnsi="Arial" w:cs="Arial"/>
                <w:color w:val="000000"/>
              </w:rPr>
              <w:t>0.97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03E2B" w14:textId="6E78EC1D" w:rsidR="00D36EC4" w:rsidRPr="0073740E" w:rsidRDefault="00D36EC4" w:rsidP="00D36EC4">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lang w:val="en-US"/>
              </w:rPr>
            </w:pPr>
            <w:r>
              <w:rPr>
                <w:rFonts w:ascii="Arial" w:eastAsia="Arial" w:hAnsi="Arial" w:cs="Arial"/>
                <w:color w:val="000000"/>
              </w:rPr>
              <w:t>0.48</w:t>
            </w:r>
          </w:p>
        </w:tc>
        <w:tc>
          <w:tcPr>
            <w:tcW w:w="171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DDAAD" w14:textId="40EDA6EF" w:rsidR="00D36EC4" w:rsidRPr="0073740E" w:rsidRDefault="00D36EC4" w:rsidP="00D36EC4">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lang w:val="en-US"/>
              </w:rPr>
            </w:pPr>
            <w:r>
              <w:rPr>
                <w:rFonts w:ascii="Arial" w:eastAsia="Arial" w:hAnsi="Arial" w:cs="Arial"/>
                <w:color w:val="000000"/>
              </w:rPr>
              <w:t>0.37</w:t>
            </w:r>
            <w:r w:rsidRPr="0073740E">
              <w:rPr>
                <w:rFonts w:ascii="Arial" w:eastAsia="Arial" w:hAnsi="Arial" w:cs="Arial"/>
                <w:color w:val="000000"/>
                <w:lang w:val="en-US"/>
              </w:rPr>
              <w:t xml:space="preserve"> - </w:t>
            </w:r>
            <w:r>
              <w:rPr>
                <w:rFonts w:ascii="Arial" w:eastAsia="Arial" w:hAnsi="Arial" w:cs="Arial"/>
                <w:color w:val="000000"/>
              </w:rPr>
              <w:t>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AFDA2" w14:textId="15F65EFC" w:rsidR="00D36EC4" w:rsidRPr="0073740E" w:rsidRDefault="00D36EC4" w:rsidP="00D36EC4">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lang w:val="en-US"/>
              </w:rPr>
            </w:pPr>
            <w:r>
              <w:rPr>
                <w:rFonts w:ascii="Arial" w:eastAsia="Arial" w:hAnsi="Arial" w:cs="Arial"/>
                <w:color w:val="000000"/>
              </w:rPr>
              <w:t>0.91</w:t>
            </w:r>
          </w:p>
        </w:tc>
        <w:tc>
          <w:tcPr>
            <w:tcW w:w="10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10114" w14:textId="27A6B048" w:rsidR="00D36EC4" w:rsidRPr="0073740E" w:rsidRDefault="00D36EC4" w:rsidP="00D36EC4">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lang w:val="en-US"/>
              </w:rPr>
            </w:pPr>
            <w:r>
              <w:rPr>
                <w:rFonts w:ascii="Arial" w:eastAsia="Arial" w:hAnsi="Arial" w:cs="Arial"/>
                <w:color w:val="000000"/>
              </w:rPr>
              <w:t>0.45</w:t>
            </w:r>
          </w:p>
        </w:tc>
        <w:tc>
          <w:tcPr>
            <w:tcW w:w="171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30BD8" w14:textId="791036BB" w:rsidR="00D36EC4" w:rsidRPr="0073740E" w:rsidRDefault="00D36EC4" w:rsidP="00D36EC4">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lang w:val="en-US"/>
              </w:rPr>
            </w:pPr>
            <w:r>
              <w:rPr>
                <w:rFonts w:ascii="Arial" w:eastAsia="Arial" w:hAnsi="Arial" w:cs="Arial"/>
                <w:color w:val="000000"/>
              </w:rPr>
              <w:t>0.38</w:t>
            </w:r>
            <w:r w:rsidRPr="0073740E">
              <w:rPr>
                <w:rFonts w:ascii="Arial" w:eastAsia="Arial" w:hAnsi="Arial" w:cs="Arial"/>
                <w:color w:val="000000"/>
                <w:lang w:val="en-US"/>
              </w:rPr>
              <w:t xml:space="preserve"> - </w:t>
            </w:r>
            <w:r>
              <w:rPr>
                <w:rFonts w:ascii="Arial" w:eastAsia="Arial" w:hAnsi="Arial" w:cs="Arial"/>
                <w:color w:val="000000"/>
              </w:rPr>
              <w:t>2.18</w:t>
            </w:r>
          </w:p>
        </w:tc>
      </w:tr>
      <w:tr w:rsidR="00D36EC4" w:rsidRPr="0073740E" w14:paraId="603A3B89" w14:textId="77777777" w:rsidTr="00D36EC4">
        <w:trPr>
          <w:jc w:val="center"/>
        </w:trPr>
        <w:tc>
          <w:tcPr>
            <w:tcW w:w="22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87A5A" w14:textId="73BD927B" w:rsidR="00D36EC4" w:rsidRPr="0073740E" w:rsidRDefault="00D36EC4" w:rsidP="00C112A6">
            <w:pPr>
              <w:pBdr>
                <w:top w:val="none" w:sz="0" w:space="0" w:color="000000"/>
                <w:left w:val="none" w:sz="0" w:space="0" w:color="000000"/>
                <w:bottom w:val="none" w:sz="0" w:space="0" w:color="000000"/>
                <w:right w:val="none" w:sz="0" w:space="0" w:color="000000"/>
              </w:pBdr>
              <w:spacing w:before="100" w:after="100"/>
              <w:ind w:left="567" w:right="100"/>
              <w:rPr>
                <w:rFonts w:ascii="Arial" w:eastAsia="Arial" w:hAnsi="Arial" w:cs="Arial"/>
                <w:color w:val="000000"/>
                <w:lang w:val="en-US"/>
              </w:rPr>
            </w:pPr>
            <w:r>
              <w:rPr>
                <w:rFonts w:ascii="Arial" w:eastAsia="Arial" w:hAnsi="Arial" w:cs="Arial"/>
                <w:color w:val="000000"/>
              </w:rPr>
              <w:t>[45,50)</w:t>
            </w:r>
          </w:p>
        </w:tc>
        <w:tc>
          <w:tcPr>
            <w:tcW w:w="8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A949A" w14:textId="4AA980D4" w:rsidR="00D36EC4" w:rsidRPr="0073740E" w:rsidRDefault="00D36EC4" w:rsidP="00D36EC4">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lang w:val="en-US"/>
              </w:rPr>
            </w:pPr>
            <w:r>
              <w:rPr>
                <w:rFonts w:ascii="Arial" w:eastAsia="Arial" w:hAnsi="Arial" w:cs="Arial"/>
                <w:color w:val="000000"/>
              </w:rPr>
              <w:t>3.81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3C3D8" w14:textId="63C02080" w:rsidR="00D36EC4" w:rsidRPr="0073740E" w:rsidRDefault="00D36EC4" w:rsidP="00D36EC4">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lang w:val="en-US"/>
              </w:rPr>
            </w:pPr>
            <w:r>
              <w:rPr>
                <w:rFonts w:ascii="Arial" w:eastAsia="Arial" w:hAnsi="Arial" w:cs="Arial"/>
                <w:color w:val="000000"/>
              </w:rPr>
              <w:t>0.38</w:t>
            </w:r>
          </w:p>
        </w:tc>
        <w:tc>
          <w:tcPr>
            <w:tcW w:w="171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CFE87" w14:textId="71E47A7B" w:rsidR="00D36EC4" w:rsidRPr="0073740E" w:rsidRDefault="00D36EC4" w:rsidP="00D36EC4">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lang w:val="en-US"/>
              </w:rPr>
            </w:pPr>
            <w:r>
              <w:rPr>
                <w:rFonts w:ascii="Arial" w:eastAsia="Arial" w:hAnsi="Arial" w:cs="Arial"/>
                <w:color w:val="000000"/>
              </w:rPr>
              <w:t>1.81</w:t>
            </w:r>
            <w:r w:rsidRPr="0073740E">
              <w:rPr>
                <w:rFonts w:ascii="Arial" w:eastAsia="Arial" w:hAnsi="Arial" w:cs="Arial"/>
                <w:color w:val="000000"/>
                <w:lang w:val="en-US"/>
              </w:rPr>
              <w:t xml:space="preserve"> - </w:t>
            </w:r>
            <w:r>
              <w:rPr>
                <w:rFonts w:ascii="Arial" w:eastAsia="Arial" w:hAnsi="Arial" w:cs="Arial"/>
                <w:color w:val="000000"/>
              </w:rPr>
              <w:t>8.01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D3858" w14:textId="44E68F6B" w:rsidR="00D36EC4" w:rsidRPr="0073740E" w:rsidRDefault="00D36EC4" w:rsidP="00D36EC4">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lang w:val="en-US"/>
              </w:rPr>
            </w:pPr>
            <w:r>
              <w:rPr>
                <w:rFonts w:ascii="Arial" w:eastAsia="Arial" w:hAnsi="Arial" w:cs="Arial"/>
                <w:color w:val="000000"/>
              </w:rPr>
              <w:t>3.35</w:t>
            </w:r>
          </w:p>
        </w:tc>
        <w:tc>
          <w:tcPr>
            <w:tcW w:w="10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73D66" w14:textId="5C18D256" w:rsidR="00D36EC4" w:rsidRPr="0073740E" w:rsidRDefault="00D36EC4" w:rsidP="00D36EC4">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lang w:val="en-US"/>
              </w:rPr>
            </w:pPr>
            <w:r>
              <w:rPr>
                <w:rFonts w:ascii="Arial" w:eastAsia="Arial" w:hAnsi="Arial" w:cs="Arial"/>
                <w:color w:val="000000"/>
              </w:rPr>
              <w:t>0.37</w:t>
            </w:r>
          </w:p>
        </w:tc>
        <w:tc>
          <w:tcPr>
            <w:tcW w:w="171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B12BB" w14:textId="5C848658" w:rsidR="00D36EC4" w:rsidRPr="0073740E" w:rsidRDefault="00D36EC4" w:rsidP="00D36EC4">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lang w:val="en-US"/>
              </w:rPr>
            </w:pPr>
            <w:r>
              <w:rPr>
                <w:rFonts w:ascii="Arial" w:eastAsia="Arial" w:hAnsi="Arial" w:cs="Arial"/>
                <w:color w:val="000000"/>
              </w:rPr>
              <w:t>1.63</w:t>
            </w:r>
            <w:r w:rsidRPr="0073740E">
              <w:rPr>
                <w:rFonts w:ascii="Arial" w:eastAsia="Arial" w:hAnsi="Arial" w:cs="Arial"/>
                <w:color w:val="000000"/>
                <w:lang w:val="en-US"/>
              </w:rPr>
              <w:t xml:space="preserve"> - </w:t>
            </w:r>
            <w:r>
              <w:rPr>
                <w:rFonts w:ascii="Arial" w:eastAsia="Arial" w:hAnsi="Arial" w:cs="Arial"/>
                <w:color w:val="000000"/>
              </w:rPr>
              <w:t>6.87</w:t>
            </w:r>
          </w:p>
        </w:tc>
      </w:tr>
      <w:tr w:rsidR="00D36EC4" w:rsidRPr="0073740E" w14:paraId="622B7059" w14:textId="77777777" w:rsidTr="00D36EC4">
        <w:trPr>
          <w:jc w:val="center"/>
        </w:trPr>
        <w:tc>
          <w:tcPr>
            <w:tcW w:w="22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89A593" w14:textId="198519B2" w:rsidR="00D36EC4" w:rsidRPr="0073740E" w:rsidRDefault="00D36EC4" w:rsidP="00C112A6">
            <w:pPr>
              <w:pBdr>
                <w:top w:val="none" w:sz="0" w:space="0" w:color="000000"/>
                <w:left w:val="none" w:sz="0" w:space="0" w:color="000000"/>
                <w:bottom w:val="none" w:sz="0" w:space="0" w:color="000000"/>
                <w:right w:val="none" w:sz="0" w:space="0" w:color="000000"/>
              </w:pBdr>
              <w:spacing w:before="100" w:after="100"/>
              <w:ind w:left="567" w:right="100"/>
              <w:rPr>
                <w:rFonts w:ascii="Arial" w:eastAsia="Arial" w:hAnsi="Arial" w:cs="Arial"/>
                <w:color w:val="000000"/>
                <w:lang w:val="en-US"/>
              </w:rPr>
            </w:pPr>
            <w:r>
              <w:rPr>
                <w:rFonts w:ascii="Arial" w:eastAsia="Arial" w:hAnsi="Arial" w:cs="Arial"/>
                <w:color w:val="000000"/>
              </w:rPr>
              <w:t>≥50</w:t>
            </w:r>
          </w:p>
        </w:tc>
        <w:tc>
          <w:tcPr>
            <w:tcW w:w="8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A1D10A" w14:textId="22377F08" w:rsidR="00D36EC4" w:rsidRPr="0073740E" w:rsidRDefault="00D36EC4" w:rsidP="00D36EC4">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lang w:val="en-US"/>
              </w:rPr>
            </w:pPr>
            <w:r>
              <w:rPr>
                <w:rFonts w:ascii="Arial" w:eastAsia="Arial" w:hAnsi="Arial" w:cs="Arial"/>
                <w:color w:val="000000"/>
              </w:rPr>
              <w:t>7.88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DD6844" w14:textId="461126AE" w:rsidR="00D36EC4" w:rsidRPr="0073740E" w:rsidRDefault="00D36EC4" w:rsidP="00D36EC4">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lang w:val="en-US"/>
              </w:rPr>
            </w:pPr>
            <w:r>
              <w:rPr>
                <w:rFonts w:ascii="Arial" w:eastAsia="Arial" w:hAnsi="Arial" w:cs="Arial"/>
                <w:color w:val="000000"/>
              </w:rPr>
              <w:t>0.33</w:t>
            </w:r>
          </w:p>
        </w:tc>
        <w:tc>
          <w:tcPr>
            <w:tcW w:w="1713"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F5C773" w14:textId="2F5C4B7E" w:rsidR="00D36EC4" w:rsidRPr="0073740E" w:rsidRDefault="00D36EC4" w:rsidP="00D36EC4">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lang w:val="en-US"/>
              </w:rPr>
            </w:pPr>
            <w:r>
              <w:rPr>
                <w:rFonts w:ascii="Arial" w:eastAsia="Arial" w:hAnsi="Arial" w:cs="Arial"/>
                <w:color w:val="000000"/>
              </w:rPr>
              <w:t>4.12</w:t>
            </w:r>
            <w:r w:rsidRPr="0073740E">
              <w:rPr>
                <w:rFonts w:ascii="Arial" w:eastAsia="Arial" w:hAnsi="Arial" w:cs="Arial"/>
                <w:color w:val="000000"/>
                <w:lang w:val="en-US"/>
              </w:rPr>
              <w:t xml:space="preserve"> - </w:t>
            </w:r>
            <w:r>
              <w:rPr>
                <w:rFonts w:ascii="Arial" w:eastAsia="Arial" w:hAnsi="Arial" w:cs="Arial"/>
                <w:color w:val="000000"/>
              </w:rPr>
              <w:t>15.05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F1834F" w14:textId="44CC0012" w:rsidR="00D36EC4" w:rsidRPr="0073740E" w:rsidRDefault="00D36EC4" w:rsidP="00D36EC4">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lang w:val="en-US"/>
              </w:rPr>
            </w:pPr>
            <w:r>
              <w:rPr>
                <w:rFonts w:ascii="Arial" w:eastAsia="Arial" w:hAnsi="Arial" w:cs="Arial"/>
                <w:color w:val="000000"/>
              </w:rPr>
              <w:t>7.01</w:t>
            </w:r>
          </w:p>
        </w:tc>
        <w:tc>
          <w:tcPr>
            <w:tcW w:w="10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474358" w14:textId="612B79CB" w:rsidR="00D36EC4" w:rsidRPr="0073740E" w:rsidRDefault="00D36EC4" w:rsidP="00D36EC4">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lang w:val="en-US"/>
              </w:rPr>
            </w:pPr>
            <w:r>
              <w:rPr>
                <w:rFonts w:ascii="Arial" w:eastAsia="Arial" w:hAnsi="Arial" w:cs="Arial"/>
                <w:color w:val="000000"/>
              </w:rPr>
              <w:t>0.32</w:t>
            </w:r>
          </w:p>
        </w:tc>
        <w:tc>
          <w:tcPr>
            <w:tcW w:w="1713"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EF520B" w14:textId="47C3FCEC" w:rsidR="00D36EC4" w:rsidRPr="0073740E" w:rsidRDefault="00D36EC4" w:rsidP="00D36EC4">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lang w:val="en-US"/>
              </w:rPr>
            </w:pPr>
            <w:r>
              <w:rPr>
                <w:rFonts w:ascii="Arial" w:eastAsia="Arial" w:hAnsi="Arial" w:cs="Arial"/>
                <w:color w:val="000000"/>
              </w:rPr>
              <w:t>3.72</w:t>
            </w:r>
            <w:r w:rsidRPr="0073740E">
              <w:rPr>
                <w:rFonts w:ascii="Arial" w:eastAsia="Arial" w:hAnsi="Arial" w:cs="Arial"/>
                <w:color w:val="000000"/>
                <w:lang w:val="en-US"/>
              </w:rPr>
              <w:t xml:space="preserve"> - </w:t>
            </w:r>
            <w:r>
              <w:rPr>
                <w:rFonts w:ascii="Arial" w:eastAsia="Arial" w:hAnsi="Arial" w:cs="Arial"/>
                <w:color w:val="000000"/>
              </w:rPr>
              <w:t>13.22</w:t>
            </w:r>
          </w:p>
        </w:tc>
      </w:tr>
    </w:tbl>
    <w:p w14:paraId="14AB1B1A" w14:textId="77777777" w:rsidR="00384947" w:rsidRPr="005865D6" w:rsidRDefault="00384947" w:rsidP="00384947">
      <w:pPr>
        <w:rPr>
          <w:rFonts w:ascii="Arial" w:hAnsi="Arial" w:cs="Arial"/>
          <w:lang w:val="en-US"/>
        </w:rPr>
      </w:pPr>
    </w:p>
    <w:p w14:paraId="081FB6AC" w14:textId="1ED4F5EA" w:rsidR="007E22E4" w:rsidRPr="007E22E4" w:rsidRDefault="007E22E4" w:rsidP="007E22E4">
      <w:pPr>
        <w:spacing w:line="480" w:lineRule="auto"/>
        <w:jc w:val="both"/>
        <w:rPr>
          <w:rFonts w:ascii="Arial" w:hAnsi="Arial" w:cs="Arial"/>
          <w:lang w:val="en-US"/>
        </w:rPr>
      </w:pPr>
      <w:r w:rsidRPr="007E22E4">
        <w:rPr>
          <w:rFonts w:ascii="Arial" w:hAnsi="Arial" w:cs="Arial"/>
          <w:vertAlign w:val="superscript"/>
          <w:lang w:val="en-US"/>
        </w:rPr>
        <w:t>1</w:t>
      </w:r>
      <w:r w:rsidRPr="007E22E4">
        <w:rPr>
          <w:rFonts w:ascii="Arial" w:hAnsi="Arial" w:cs="Arial"/>
          <w:lang w:val="en-US"/>
        </w:rPr>
        <w:t>A</w:t>
      </w:r>
      <w:r>
        <w:rPr>
          <w:rFonts w:ascii="Arial" w:hAnsi="Arial" w:cs="Arial"/>
          <w:lang w:val="en-US"/>
        </w:rPr>
        <w:t>djusted for age, sex, and obstructive sleep apnea.</w:t>
      </w:r>
    </w:p>
    <w:p w14:paraId="033B6DB2" w14:textId="69B379A4" w:rsidR="00384947" w:rsidRPr="005865D6" w:rsidRDefault="00384947" w:rsidP="00384947">
      <w:pPr>
        <w:spacing w:line="480" w:lineRule="auto"/>
        <w:jc w:val="both"/>
        <w:rPr>
          <w:rFonts w:ascii="Arial" w:hAnsi="Arial" w:cs="Arial"/>
          <w:lang w:val="en-US"/>
        </w:rPr>
      </w:pPr>
      <w:r w:rsidRPr="005865D6">
        <w:rPr>
          <w:rFonts w:ascii="Arial" w:hAnsi="Arial" w:cs="Arial"/>
          <w:lang w:val="en-US"/>
        </w:rPr>
        <w:t xml:space="preserve">Abbreviations: </w:t>
      </w:r>
      <w:r w:rsidR="008361D9" w:rsidRPr="005865D6">
        <w:rPr>
          <w:rFonts w:ascii="Arial" w:hAnsi="Arial" w:cs="Arial"/>
          <w:lang w:val="en-US"/>
        </w:rPr>
        <w:t>95% confidence interval (95%CI)</w:t>
      </w:r>
      <w:r w:rsidR="008361D9">
        <w:rPr>
          <w:rFonts w:ascii="Arial" w:hAnsi="Arial" w:cs="Arial"/>
          <w:lang w:val="en-US"/>
        </w:rPr>
        <w:t xml:space="preserve">, </w:t>
      </w:r>
      <w:r w:rsidR="003F17F1">
        <w:rPr>
          <w:rFonts w:ascii="Arial" w:hAnsi="Arial" w:cs="Arial"/>
          <w:lang w:val="en-US"/>
        </w:rPr>
        <w:t>adjusted prevalence ratio (</w:t>
      </w:r>
      <w:proofErr w:type="spellStart"/>
      <w:r w:rsidR="003F17F1">
        <w:rPr>
          <w:rFonts w:ascii="Arial" w:hAnsi="Arial" w:cs="Arial"/>
          <w:lang w:val="en-US"/>
        </w:rPr>
        <w:t>aPR</w:t>
      </w:r>
      <w:proofErr w:type="spellEnd"/>
      <w:r w:rsidR="003F17F1">
        <w:rPr>
          <w:rFonts w:ascii="Arial" w:hAnsi="Arial" w:cs="Arial"/>
          <w:lang w:val="en-US"/>
        </w:rPr>
        <w:t>)</w:t>
      </w:r>
      <w:r w:rsidRPr="005865D6">
        <w:rPr>
          <w:rFonts w:ascii="Arial" w:hAnsi="Arial" w:cs="Arial"/>
          <w:lang w:val="en-US"/>
        </w:rPr>
        <w:t xml:space="preserve">, </w:t>
      </w:r>
      <w:r w:rsidR="003F17F1">
        <w:rPr>
          <w:rFonts w:ascii="Arial" w:hAnsi="Arial" w:cs="Arial"/>
          <w:lang w:val="en-US"/>
        </w:rPr>
        <w:t xml:space="preserve">prevalence ratio </w:t>
      </w:r>
      <w:r w:rsidR="00B67182">
        <w:rPr>
          <w:rFonts w:ascii="Arial" w:hAnsi="Arial" w:cs="Arial"/>
          <w:lang w:val="en-US"/>
        </w:rPr>
        <w:t xml:space="preserve">(PR), </w:t>
      </w:r>
      <w:r w:rsidR="004343E5">
        <w:rPr>
          <w:rFonts w:ascii="Arial" w:hAnsi="Arial" w:cs="Arial"/>
          <w:lang w:val="en-US"/>
        </w:rPr>
        <w:t>standard error (SE)</w:t>
      </w:r>
      <w:r w:rsidRPr="005865D6">
        <w:rPr>
          <w:rFonts w:ascii="Arial" w:hAnsi="Arial" w:cs="Arial"/>
          <w:lang w:val="en-US"/>
        </w:rPr>
        <w:t>.</w:t>
      </w:r>
    </w:p>
    <w:p w14:paraId="19EBF073" w14:textId="77777777" w:rsidR="00384947" w:rsidRPr="005865D6" w:rsidRDefault="00384947" w:rsidP="00384947">
      <w:pPr>
        <w:spacing w:line="480" w:lineRule="auto"/>
        <w:jc w:val="both"/>
        <w:rPr>
          <w:rFonts w:ascii="Arial" w:hAnsi="Arial" w:cs="Arial"/>
          <w:lang w:val="en-US"/>
        </w:rPr>
      </w:pPr>
    </w:p>
    <w:p w14:paraId="3AEF31D9" w14:textId="77777777" w:rsidR="00384947" w:rsidRDefault="00384947" w:rsidP="00086F55">
      <w:pPr>
        <w:rPr>
          <w:rFonts w:ascii="Arial" w:hAnsi="Arial" w:cs="Arial"/>
          <w:b/>
          <w:bCs/>
          <w:lang w:val="en-US"/>
        </w:rPr>
      </w:pPr>
    </w:p>
    <w:p w14:paraId="23876C09" w14:textId="77777777" w:rsidR="00384947" w:rsidRDefault="00384947">
      <w:pPr>
        <w:rPr>
          <w:rFonts w:ascii="Arial" w:hAnsi="Arial" w:cs="Arial"/>
          <w:b/>
          <w:bCs/>
          <w:lang w:val="en-US"/>
        </w:rPr>
      </w:pPr>
      <w:r>
        <w:rPr>
          <w:rFonts w:ascii="Arial" w:hAnsi="Arial" w:cs="Arial"/>
          <w:b/>
          <w:bCs/>
          <w:lang w:val="en-US"/>
        </w:rPr>
        <w:br w:type="page"/>
      </w:r>
    </w:p>
    <w:p w14:paraId="6DF9FD12" w14:textId="623D0681" w:rsidR="00086F55" w:rsidRPr="005865D6" w:rsidRDefault="00086F55" w:rsidP="00086F55">
      <w:pPr>
        <w:rPr>
          <w:rFonts w:ascii="Arial" w:hAnsi="Arial" w:cs="Arial"/>
          <w:lang w:val="en-US"/>
        </w:rPr>
      </w:pPr>
      <w:r w:rsidRPr="005865D6">
        <w:rPr>
          <w:rFonts w:ascii="Arial" w:hAnsi="Arial" w:cs="Arial"/>
          <w:b/>
          <w:bCs/>
          <w:lang w:val="en-US"/>
        </w:rPr>
        <w:lastRenderedPageBreak/>
        <w:t xml:space="preserve">Table </w:t>
      </w:r>
      <w:r w:rsidR="00384947">
        <w:rPr>
          <w:rFonts w:ascii="Arial" w:hAnsi="Arial" w:cs="Arial"/>
          <w:b/>
          <w:bCs/>
          <w:lang w:val="en-US"/>
        </w:rPr>
        <w:t>3</w:t>
      </w:r>
      <w:r w:rsidRPr="005865D6">
        <w:rPr>
          <w:rFonts w:ascii="Arial" w:hAnsi="Arial" w:cs="Arial"/>
          <w:lang w:val="en-US"/>
        </w:rPr>
        <w:t xml:space="preserve">. </w:t>
      </w:r>
      <w:r w:rsidR="00CD27C5" w:rsidRPr="005865D6">
        <w:rPr>
          <w:rFonts w:ascii="Arial" w:hAnsi="Arial" w:cs="Arial"/>
          <w:lang w:val="en-US"/>
        </w:rPr>
        <w:t xml:space="preserve">Univariable and multivariable </w:t>
      </w:r>
      <w:r w:rsidR="00044500">
        <w:rPr>
          <w:rFonts w:ascii="Arial" w:hAnsi="Arial" w:cs="Arial"/>
          <w:lang w:val="en-US"/>
        </w:rPr>
        <w:t>ordinal logistic</w:t>
      </w:r>
      <w:r w:rsidR="00CD27C5" w:rsidRPr="005865D6">
        <w:rPr>
          <w:rFonts w:ascii="Arial" w:hAnsi="Arial" w:cs="Arial"/>
          <w:lang w:val="en-US"/>
        </w:rPr>
        <w:t xml:space="preserve"> regression models of </w:t>
      </w:r>
      <w:r w:rsidR="00CF584D">
        <w:rPr>
          <w:rFonts w:ascii="Arial" w:hAnsi="Arial" w:cs="Arial"/>
          <w:lang w:val="en-US"/>
        </w:rPr>
        <w:t xml:space="preserve">lung </w:t>
      </w:r>
      <w:r w:rsidR="00CD27C5" w:rsidRPr="005865D6">
        <w:rPr>
          <w:rFonts w:ascii="Arial" w:hAnsi="Arial" w:cs="Arial"/>
          <w:lang w:val="en-US"/>
        </w:rPr>
        <w:t xml:space="preserve">atelectasis </w:t>
      </w:r>
      <w:r w:rsidR="00CF584D">
        <w:rPr>
          <w:rFonts w:ascii="Arial" w:hAnsi="Arial" w:cs="Arial"/>
          <w:lang w:val="en-US"/>
        </w:rPr>
        <w:t xml:space="preserve">percentage coverage. </w:t>
      </w:r>
    </w:p>
    <w:tbl>
      <w:tblPr>
        <w:tblStyle w:val="Table"/>
        <w:tblW w:w="0" w:type="auto"/>
        <w:jc w:val="center"/>
        <w:tblCellMar>
          <w:left w:w="60" w:type="dxa"/>
          <w:right w:w="60" w:type="dxa"/>
        </w:tblCellMar>
        <w:tblLook w:val="0000" w:firstRow="0" w:lastRow="0" w:firstColumn="0" w:lastColumn="0" w:noHBand="0" w:noVBand="0"/>
      </w:tblPr>
      <w:tblGrid>
        <w:gridCol w:w="1824"/>
        <w:gridCol w:w="1701"/>
        <w:gridCol w:w="1701"/>
        <w:gridCol w:w="1701"/>
        <w:gridCol w:w="1701"/>
      </w:tblGrid>
      <w:tr w:rsidR="00044500" w:rsidRPr="005865D6" w14:paraId="6F70F587" w14:textId="77777777" w:rsidTr="00466F7D">
        <w:trPr>
          <w:cantSplit/>
          <w:tblHeader/>
          <w:jc w:val="center"/>
        </w:trPr>
        <w:tc>
          <w:tcPr>
            <w:tcW w:w="1824" w:type="dxa"/>
            <w:tcBorders>
              <w:top w:val="single" w:sz="18" w:space="0" w:color="D3D3D3"/>
              <w:left w:val="single" w:sz="4" w:space="0" w:color="FFFFFF"/>
              <w:bottom w:val="single" w:sz="16" w:space="0" w:color="D3D3D3"/>
            </w:tcBorders>
          </w:tcPr>
          <w:p w14:paraId="2BD5279A" w14:textId="77777777" w:rsidR="00044500" w:rsidRPr="005865D6" w:rsidRDefault="00044500" w:rsidP="00044500">
            <w:pPr>
              <w:keepNext/>
              <w:spacing w:after="60"/>
              <w:rPr>
                <w:rFonts w:ascii="Arial" w:hAnsi="Arial" w:cs="Arial"/>
                <w:sz w:val="22"/>
                <w:szCs w:val="22"/>
              </w:rPr>
            </w:pPr>
            <w:r w:rsidRPr="005865D6">
              <w:rPr>
                <w:rFonts w:ascii="Arial" w:hAnsi="Arial" w:cs="Arial"/>
                <w:b/>
                <w:sz w:val="22"/>
                <w:szCs w:val="22"/>
              </w:rPr>
              <w:t>Characteristic</w:t>
            </w:r>
          </w:p>
        </w:tc>
        <w:tc>
          <w:tcPr>
            <w:tcW w:w="1701" w:type="dxa"/>
            <w:tcBorders>
              <w:top w:val="single" w:sz="18" w:space="0" w:color="D3D3D3"/>
              <w:bottom w:val="single" w:sz="16" w:space="0" w:color="D3D3D3"/>
            </w:tcBorders>
          </w:tcPr>
          <w:p w14:paraId="2B5D1590" w14:textId="3F9E8CBE" w:rsidR="00044500" w:rsidRPr="005865D6" w:rsidRDefault="00044500" w:rsidP="00044500">
            <w:pPr>
              <w:keepNext/>
              <w:spacing w:after="60"/>
              <w:jc w:val="center"/>
              <w:rPr>
                <w:rFonts w:ascii="Arial" w:hAnsi="Arial" w:cs="Arial"/>
                <w:sz w:val="22"/>
                <w:szCs w:val="22"/>
              </w:rPr>
            </w:pPr>
            <w:r>
              <w:rPr>
                <w:rFonts w:ascii="Arial" w:hAnsi="Arial" w:cs="Arial"/>
                <w:b/>
                <w:sz w:val="22"/>
                <w:szCs w:val="22"/>
              </w:rPr>
              <w:t>OR</w:t>
            </w:r>
          </w:p>
        </w:tc>
        <w:tc>
          <w:tcPr>
            <w:tcW w:w="1701" w:type="dxa"/>
            <w:tcBorders>
              <w:top w:val="single" w:sz="18" w:space="0" w:color="D3D3D3"/>
              <w:bottom w:val="single" w:sz="16" w:space="0" w:color="D3D3D3"/>
            </w:tcBorders>
          </w:tcPr>
          <w:p w14:paraId="5CE32115" w14:textId="2F09EEB6" w:rsidR="00044500" w:rsidRPr="005865D6" w:rsidRDefault="00044500" w:rsidP="00044500">
            <w:pPr>
              <w:keepNext/>
              <w:spacing w:after="60"/>
              <w:jc w:val="center"/>
              <w:rPr>
                <w:rFonts w:ascii="Arial" w:hAnsi="Arial" w:cs="Arial"/>
                <w:b/>
              </w:rPr>
            </w:pPr>
            <w:r w:rsidRPr="005865D6">
              <w:rPr>
                <w:rFonts w:ascii="Arial" w:hAnsi="Arial" w:cs="Arial"/>
                <w:b/>
                <w:sz w:val="22"/>
                <w:szCs w:val="22"/>
              </w:rPr>
              <w:t>95%CI</w:t>
            </w:r>
          </w:p>
        </w:tc>
        <w:tc>
          <w:tcPr>
            <w:tcW w:w="1701" w:type="dxa"/>
            <w:tcBorders>
              <w:top w:val="single" w:sz="18" w:space="0" w:color="D3D3D3"/>
              <w:bottom w:val="single" w:sz="16" w:space="0" w:color="D3D3D3"/>
            </w:tcBorders>
          </w:tcPr>
          <w:p w14:paraId="0CFDC98E" w14:textId="0D13419A" w:rsidR="00044500" w:rsidRPr="005865D6" w:rsidRDefault="00044500" w:rsidP="00044500">
            <w:pPr>
              <w:keepNext/>
              <w:spacing w:after="60"/>
              <w:jc w:val="center"/>
              <w:rPr>
                <w:rFonts w:ascii="Arial" w:hAnsi="Arial" w:cs="Arial"/>
                <w:b/>
              </w:rPr>
            </w:pPr>
            <w:proofErr w:type="spellStart"/>
            <w:r>
              <w:rPr>
                <w:rFonts w:ascii="Arial" w:hAnsi="Arial" w:cs="Arial"/>
                <w:b/>
                <w:sz w:val="22"/>
                <w:szCs w:val="22"/>
              </w:rPr>
              <w:t>aOR</w:t>
            </w:r>
            <w:proofErr w:type="spellEnd"/>
          </w:p>
        </w:tc>
        <w:tc>
          <w:tcPr>
            <w:tcW w:w="1701" w:type="dxa"/>
            <w:tcBorders>
              <w:top w:val="single" w:sz="18" w:space="0" w:color="D3D3D3"/>
              <w:bottom w:val="single" w:sz="16" w:space="0" w:color="D3D3D3"/>
            </w:tcBorders>
          </w:tcPr>
          <w:p w14:paraId="10791CC4" w14:textId="2B17858C" w:rsidR="00044500" w:rsidRPr="005865D6" w:rsidRDefault="00044500" w:rsidP="00044500">
            <w:pPr>
              <w:keepNext/>
              <w:spacing w:after="60"/>
              <w:jc w:val="center"/>
              <w:rPr>
                <w:rFonts w:ascii="Arial" w:hAnsi="Arial" w:cs="Arial"/>
                <w:b/>
              </w:rPr>
            </w:pPr>
            <w:r w:rsidRPr="005865D6">
              <w:rPr>
                <w:rFonts w:ascii="Arial" w:hAnsi="Arial" w:cs="Arial"/>
                <w:b/>
                <w:sz w:val="22"/>
                <w:szCs w:val="22"/>
              </w:rPr>
              <w:t>95%CI</w:t>
            </w:r>
          </w:p>
        </w:tc>
      </w:tr>
      <w:tr w:rsidR="00044500" w:rsidRPr="005865D6" w14:paraId="739027D8" w14:textId="77777777" w:rsidTr="00044500">
        <w:trPr>
          <w:cantSplit/>
          <w:jc w:val="center"/>
        </w:trPr>
        <w:tc>
          <w:tcPr>
            <w:tcW w:w="1824" w:type="dxa"/>
            <w:tcBorders>
              <w:top w:val="single" w:sz="0" w:space="0" w:color="D3D3D3"/>
              <w:left w:val="single" w:sz="4" w:space="0" w:color="FFFFFF" w:themeColor="background1"/>
              <w:right w:val="single" w:sz="4" w:space="0" w:color="FFFFFF" w:themeColor="background1"/>
            </w:tcBorders>
          </w:tcPr>
          <w:p w14:paraId="5B882DA2" w14:textId="14A15A56" w:rsidR="00044500" w:rsidRPr="0077148E" w:rsidRDefault="00044500" w:rsidP="00044500">
            <w:pPr>
              <w:keepNext/>
              <w:spacing w:after="60"/>
              <w:rPr>
                <w:rFonts w:ascii="Arial" w:hAnsi="Arial" w:cs="Arial"/>
                <w:b/>
                <w:bCs/>
                <w:sz w:val="22"/>
                <w:szCs w:val="22"/>
                <w:vertAlign w:val="superscript"/>
              </w:rPr>
            </w:pPr>
            <w:r w:rsidRPr="005865D6">
              <w:rPr>
                <w:rFonts w:ascii="Arial" w:hAnsi="Arial" w:cs="Arial"/>
                <w:b/>
                <w:bCs/>
                <w:sz w:val="22"/>
                <w:szCs w:val="22"/>
              </w:rPr>
              <w:t xml:space="preserve">Obesity </w:t>
            </w:r>
            <w:r w:rsidR="00032916">
              <w:rPr>
                <w:rFonts w:ascii="Arial" w:hAnsi="Arial" w:cs="Arial"/>
                <w:b/>
                <w:bCs/>
                <w:sz w:val="22"/>
                <w:szCs w:val="22"/>
              </w:rPr>
              <w:t>category</w:t>
            </w:r>
            <w:r w:rsidR="0080046C">
              <w:rPr>
                <w:rFonts w:ascii="Arial" w:hAnsi="Arial" w:cs="Arial"/>
                <w:b/>
                <w:bCs/>
                <w:sz w:val="22"/>
                <w:szCs w:val="22"/>
                <w:vertAlign w:val="superscript"/>
              </w:rPr>
              <w:t>1</w:t>
            </w:r>
          </w:p>
        </w:tc>
        <w:tc>
          <w:tcPr>
            <w:tcW w:w="1701" w:type="dxa"/>
            <w:tcBorders>
              <w:top w:val="single" w:sz="0" w:space="0" w:color="D3D3D3"/>
              <w:left w:val="single" w:sz="4" w:space="0" w:color="FFFFFF" w:themeColor="background1"/>
              <w:right w:val="single" w:sz="4" w:space="0" w:color="FFFFFF"/>
            </w:tcBorders>
          </w:tcPr>
          <w:p w14:paraId="124B87C8" w14:textId="77777777" w:rsidR="00044500" w:rsidRPr="005865D6" w:rsidRDefault="00044500" w:rsidP="00044500">
            <w:pPr>
              <w:keepNext/>
              <w:spacing w:after="60"/>
              <w:jc w:val="center"/>
              <w:rPr>
                <w:rFonts w:ascii="Arial" w:hAnsi="Arial" w:cs="Arial"/>
                <w:sz w:val="22"/>
                <w:szCs w:val="22"/>
              </w:rPr>
            </w:pPr>
          </w:p>
        </w:tc>
        <w:tc>
          <w:tcPr>
            <w:tcW w:w="1701" w:type="dxa"/>
            <w:tcBorders>
              <w:top w:val="single" w:sz="0" w:space="0" w:color="D3D3D3"/>
              <w:left w:val="single" w:sz="4" w:space="0" w:color="FFFFFF"/>
              <w:right w:val="single" w:sz="4" w:space="0" w:color="FFFFFF"/>
            </w:tcBorders>
          </w:tcPr>
          <w:p w14:paraId="74794CC7" w14:textId="77777777" w:rsidR="00044500" w:rsidRPr="005865D6" w:rsidRDefault="00044500" w:rsidP="00044500">
            <w:pPr>
              <w:keepNext/>
              <w:spacing w:after="60"/>
              <w:jc w:val="center"/>
              <w:rPr>
                <w:rFonts w:ascii="Arial" w:hAnsi="Arial" w:cs="Arial"/>
              </w:rPr>
            </w:pPr>
          </w:p>
        </w:tc>
        <w:tc>
          <w:tcPr>
            <w:tcW w:w="1701" w:type="dxa"/>
            <w:tcBorders>
              <w:top w:val="single" w:sz="0" w:space="0" w:color="D3D3D3"/>
              <w:left w:val="single" w:sz="4" w:space="0" w:color="FFFFFF"/>
              <w:right w:val="single" w:sz="4" w:space="0" w:color="FFFFFF"/>
            </w:tcBorders>
          </w:tcPr>
          <w:p w14:paraId="4BBFBA41" w14:textId="77777777" w:rsidR="00044500" w:rsidRPr="005865D6" w:rsidRDefault="00044500" w:rsidP="00044500">
            <w:pPr>
              <w:keepNext/>
              <w:spacing w:after="60"/>
              <w:jc w:val="center"/>
              <w:rPr>
                <w:rFonts w:ascii="Arial" w:hAnsi="Arial" w:cs="Arial"/>
              </w:rPr>
            </w:pPr>
          </w:p>
        </w:tc>
        <w:tc>
          <w:tcPr>
            <w:tcW w:w="1701" w:type="dxa"/>
            <w:tcBorders>
              <w:top w:val="single" w:sz="0" w:space="0" w:color="D3D3D3"/>
              <w:left w:val="single" w:sz="4" w:space="0" w:color="FFFFFF"/>
              <w:right w:val="single" w:sz="4" w:space="0" w:color="FFFFFF"/>
            </w:tcBorders>
          </w:tcPr>
          <w:p w14:paraId="6C8354B8" w14:textId="0A21BF97" w:rsidR="00044500" w:rsidRPr="005865D6" w:rsidRDefault="00044500" w:rsidP="00044500">
            <w:pPr>
              <w:keepNext/>
              <w:spacing w:after="60"/>
              <w:jc w:val="center"/>
              <w:rPr>
                <w:rFonts w:ascii="Arial" w:hAnsi="Arial" w:cs="Arial"/>
              </w:rPr>
            </w:pPr>
          </w:p>
        </w:tc>
      </w:tr>
      <w:tr w:rsidR="002401D1" w:rsidRPr="005865D6" w14:paraId="3004382C" w14:textId="297C2018" w:rsidTr="00532DB6">
        <w:trPr>
          <w:cantSplit/>
          <w:jc w:val="center"/>
        </w:trPr>
        <w:tc>
          <w:tcPr>
            <w:tcW w:w="1824" w:type="dxa"/>
          </w:tcPr>
          <w:p w14:paraId="7C557CC8" w14:textId="78496CDF" w:rsidR="002401D1" w:rsidRPr="005865D6" w:rsidRDefault="002401D1" w:rsidP="00044500">
            <w:pPr>
              <w:keepNext/>
              <w:spacing w:after="60"/>
              <w:rPr>
                <w:rFonts w:ascii="Arial" w:hAnsi="Arial" w:cs="Arial"/>
                <w:sz w:val="22"/>
                <w:szCs w:val="22"/>
              </w:rPr>
            </w:pPr>
            <w:r w:rsidRPr="005865D6">
              <w:rPr>
                <w:rFonts w:ascii="Arial" w:hAnsi="Arial" w:cs="Arial"/>
                <w:sz w:val="22"/>
                <w:szCs w:val="22"/>
              </w:rPr>
              <w:t xml:space="preserve">    Class 1 </w:t>
            </w:r>
          </w:p>
        </w:tc>
        <w:tc>
          <w:tcPr>
            <w:tcW w:w="3402" w:type="dxa"/>
            <w:gridSpan w:val="2"/>
          </w:tcPr>
          <w:p w14:paraId="19E7F08B" w14:textId="3368E9C5" w:rsidR="002401D1" w:rsidRPr="005865D6" w:rsidRDefault="002401D1" w:rsidP="00044500">
            <w:pPr>
              <w:keepNext/>
              <w:spacing w:after="60"/>
              <w:jc w:val="center"/>
              <w:rPr>
                <w:rFonts w:ascii="Arial" w:hAnsi="Arial" w:cs="Arial"/>
              </w:rPr>
            </w:pPr>
            <w:r w:rsidRPr="005865D6">
              <w:rPr>
                <w:rFonts w:ascii="Arial" w:hAnsi="Arial" w:cs="Arial"/>
                <w:sz w:val="22"/>
                <w:szCs w:val="22"/>
              </w:rPr>
              <w:t>Reference</w:t>
            </w:r>
          </w:p>
        </w:tc>
        <w:tc>
          <w:tcPr>
            <w:tcW w:w="3402" w:type="dxa"/>
            <w:gridSpan w:val="2"/>
          </w:tcPr>
          <w:p w14:paraId="7203C455" w14:textId="3BBAD532" w:rsidR="002401D1" w:rsidRPr="005865D6" w:rsidRDefault="002401D1" w:rsidP="00044500">
            <w:pPr>
              <w:keepNext/>
              <w:spacing w:after="60"/>
              <w:jc w:val="center"/>
              <w:rPr>
                <w:rFonts w:ascii="Arial" w:hAnsi="Arial" w:cs="Arial"/>
              </w:rPr>
            </w:pPr>
            <w:r w:rsidRPr="0042198F">
              <w:rPr>
                <w:rFonts w:ascii="Arial" w:hAnsi="Arial" w:cs="Arial"/>
                <w:sz w:val="22"/>
                <w:szCs w:val="22"/>
              </w:rPr>
              <w:t>Reference</w:t>
            </w:r>
          </w:p>
        </w:tc>
      </w:tr>
      <w:tr w:rsidR="00345A36" w:rsidRPr="005865D6" w14:paraId="1CE3D988" w14:textId="77777777" w:rsidTr="00044500">
        <w:trPr>
          <w:cantSplit/>
          <w:jc w:val="center"/>
        </w:trPr>
        <w:tc>
          <w:tcPr>
            <w:tcW w:w="1824" w:type="dxa"/>
          </w:tcPr>
          <w:p w14:paraId="2CEBC45B" w14:textId="33E29010" w:rsidR="00345A36" w:rsidRPr="005865D6" w:rsidRDefault="00345A36" w:rsidP="00345A36">
            <w:pPr>
              <w:keepNext/>
              <w:spacing w:after="60"/>
              <w:rPr>
                <w:rFonts w:ascii="Arial" w:hAnsi="Arial" w:cs="Arial"/>
                <w:sz w:val="22"/>
                <w:szCs w:val="22"/>
              </w:rPr>
            </w:pPr>
            <w:r w:rsidRPr="005865D6">
              <w:rPr>
                <w:rFonts w:ascii="Arial" w:hAnsi="Arial" w:cs="Arial"/>
                <w:sz w:val="22"/>
                <w:szCs w:val="22"/>
              </w:rPr>
              <w:t xml:space="preserve">    Class 2 </w:t>
            </w:r>
          </w:p>
        </w:tc>
        <w:tc>
          <w:tcPr>
            <w:tcW w:w="1701" w:type="dxa"/>
          </w:tcPr>
          <w:p w14:paraId="6BD89EC3" w14:textId="09510FB8" w:rsidR="00345A36" w:rsidRPr="005865D6" w:rsidRDefault="00345A36" w:rsidP="00345A36">
            <w:pPr>
              <w:keepNext/>
              <w:spacing w:after="60"/>
              <w:jc w:val="center"/>
              <w:rPr>
                <w:rFonts w:ascii="Arial" w:hAnsi="Arial" w:cs="Arial"/>
                <w:sz w:val="22"/>
                <w:szCs w:val="22"/>
              </w:rPr>
            </w:pPr>
            <w:r w:rsidRPr="00B069D6">
              <w:rPr>
                <w:rFonts w:ascii="Arial" w:hAnsi="Arial" w:cs="Arial"/>
                <w:sz w:val="22"/>
                <w:szCs w:val="22"/>
              </w:rPr>
              <w:t>1.61</w:t>
            </w:r>
          </w:p>
        </w:tc>
        <w:tc>
          <w:tcPr>
            <w:tcW w:w="1701" w:type="dxa"/>
          </w:tcPr>
          <w:p w14:paraId="3BF3E9C2" w14:textId="4C2F97F6" w:rsidR="00345A36" w:rsidRPr="005865D6" w:rsidRDefault="00345A36" w:rsidP="00345A36">
            <w:pPr>
              <w:keepNext/>
              <w:spacing w:after="60"/>
              <w:jc w:val="center"/>
              <w:rPr>
                <w:rFonts w:ascii="Arial" w:hAnsi="Arial" w:cs="Arial"/>
              </w:rPr>
            </w:pPr>
            <w:r w:rsidRPr="00B069D6">
              <w:rPr>
                <w:rFonts w:ascii="Arial" w:hAnsi="Arial" w:cs="Arial"/>
                <w:color w:val="333333"/>
                <w:sz w:val="22"/>
                <w:szCs w:val="22"/>
                <w:shd w:val="clear" w:color="auto" w:fill="FFFFFF"/>
              </w:rPr>
              <w:t>0.56—4.65</w:t>
            </w:r>
          </w:p>
        </w:tc>
        <w:tc>
          <w:tcPr>
            <w:tcW w:w="1701" w:type="dxa"/>
          </w:tcPr>
          <w:p w14:paraId="1200D680" w14:textId="7B68BE70" w:rsidR="00345A36" w:rsidRPr="005865D6" w:rsidRDefault="00345A36" w:rsidP="00345A36">
            <w:pPr>
              <w:keepNext/>
              <w:spacing w:after="60"/>
              <w:jc w:val="center"/>
              <w:rPr>
                <w:rFonts w:ascii="Arial" w:hAnsi="Arial" w:cs="Arial"/>
              </w:rPr>
            </w:pPr>
            <w:r w:rsidRPr="00B069D6">
              <w:rPr>
                <w:rFonts w:ascii="Arial" w:hAnsi="Arial" w:cs="Arial"/>
                <w:sz w:val="22"/>
                <w:szCs w:val="22"/>
              </w:rPr>
              <w:t>1.48</w:t>
            </w:r>
          </w:p>
        </w:tc>
        <w:tc>
          <w:tcPr>
            <w:tcW w:w="1701" w:type="dxa"/>
          </w:tcPr>
          <w:p w14:paraId="175B924B" w14:textId="5BF4956B" w:rsidR="00345A36" w:rsidRPr="005865D6" w:rsidRDefault="00345A36" w:rsidP="00345A36">
            <w:pPr>
              <w:keepNext/>
              <w:spacing w:after="60"/>
              <w:jc w:val="center"/>
              <w:rPr>
                <w:rFonts w:ascii="Arial" w:hAnsi="Arial" w:cs="Arial"/>
              </w:rPr>
            </w:pPr>
            <w:r w:rsidRPr="00B069D6">
              <w:rPr>
                <w:rFonts w:ascii="Arial" w:hAnsi="Arial" w:cs="Arial"/>
                <w:sz w:val="22"/>
                <w:szCs w:val="22"/>
              </w:rPr>
              <w:t>0.51—4.28</w:t>
            </w:r>
          </w:p>
        </w:tc>
      </w:tr>
      <w:tr w:rsidR="00345A36" w:rsidRPr="005865D6" w14:paraId="7105B94C" w14:textId="77777777" w:rsidTr="00044500">
        <w:trPr>
          <w:cantSplit/>
          <w:jc w:val="center"/>
        </w:trPr>
        <w:tc>
          <w:tcPr>
            <w:tcW w:w="1824" w:type="dxa"/>
          </w:tcPr>
          <w:p w14:paraId="6C1D0A40" w14:textId="15BD82C4" w:rsidR="00345A36" w:rsidRPr="005865D6" w:rsidRDefault="00345A36" w:rsidP="00345A36">
            <w:pPr>
              <w:keepNext/>
              <w:rPr>
                <w:rFonts w:ascii="Arial" w:hAnsi="Arial" w:cs="Arial"/>
                <w:sz w:val="22"/>
                <w:szCs w:val="22"/>
              </w:rPr>
            </w:pPr>
            <w:r w:rsidRPr="005865D6">
              <w:rPr>
                <w:rFonts w:ascii="Arial" w:hAnsi="Arial" w:cs="Arial"/>
                <w:sz w:val="22"/>
                <w:szCs w:val="22"/>
              </w:rPr>
              <w:t xml:space="preserve">    Class 3 </w:t>
            </w:r>
          </w:p>
        </w:tc>
        <w:tc>
          <w:tcPr>
            <w:tcW w:w="1701" w:type="dxa"/>
          </w:tcPr>
          <w:p w14:paraId="311F1CE8" w14:textId="314FCB5B" w:rsidR="00345A36" w:rsidRPr="005865D6" w:rsidRDefault="00345A36" w:rsidP="00345A36">
            <w:pPr>
              <w:keepNext/>
              <w:spacing w:after="60"/>
              <w:jc w:val="center"/>
              <w:rPr>
                <w:rFonts w:ascii="Arial" w:hAnsi="Arial" w:cs="Arial"/>
                <w:sz w:val="22"/>
                <w:szCs w:val="22"/>
              </w:rPr>
            </w:pPr>
            <w:r w:rsidRPr="00B069D6">
              <w:rPr>
                <w:rFonts w:ascii="Arial" w:hAnsi="Arial" w:cs="Arial"/>
                <w:color w:val="333333"/>
                <w:sz w:val="22"/>
                <w:szCs w:val="22"/>
                <w:shd w:val="clear" w:color="auto" w:fill="FFFFFF"/>
              </w:rPr>
              <w:t>5.55</w:t>
            </w:r>
          </w:p>
        </w:tc>
        <w:tc>
          <w:tcPr>
            <w:tcW w:w="1701" w:type="dxa"/>
          </w:tcPr>
          <w:p w14:paraId="4A5878A0" w14:textId="752C55B6" w:rsidR="00345A36" w:rsidRPr="005865D6" w:rsidRDefault="00345A36" w:rsidP="00345A36">
            <w:pPr>
              <w:keepNext/>
              <w:spacing w:after="60"/>
              <w:jc w:val="center"/>
              <w:rPr>
                <w:rFonts w:ascii="Arial" w:hAnsi="Arial" w:cs="Arial"/>
              </w:rPr>
            </w:pPr>
            <w:r w:rsidRPr="00B069D6">
              <w:rPr>
                <w:rFonts w:ascii="Arial" w:hAnsi="Arial" w:cs="Arial"/>
                <w:color w:val="333333"/>
                <w:sz w:val="22"/>
                <w:szCs w:val="22"/>
              </w:rPr>
              <w:t>2.38—12.94</w:t>
            </w:r>
          </w:p>
        </w:tc>
        <w:tc>
          <w:tcPr>
            <w:tcW w:w="1701" w:type="dxa"/>
          </w:tcPr>
          <w:p w14:paraId="757A016A" w14:textId="15B1A8F0" w:rsidR="00345A36" w:rsidRPr="005865D6" w:rsidRDefault="00345A36" w:rsidP="00345A36">
            <w:pPr>
              <w:keepNext/>
              <w:spacing w:after="60"/>
              <w:jc w:val="center"/>
              <w:rPr>
                <w:rFonts w:ascii="Arial" w:hAnsi="Arial" w:cs="Arial"/>
              </w:rPr>
            </w:pPr>
            <w:r w:rsidRPr="00B069D6">
              <w:rPr>
                <w:rFonts w:ascii="Arial" w:hAnsi="Arial" w:cs="Arial"/>
                <w:sz w:val="22"/>
                <w:szCs w:val="22"/>
              </w:rPr>
              <w:t>5.12</w:t>
            </w:r>
          </w:p>
        </w:tc>
        <w:tc>
          <w:tcPr>
            <w:tcW w:w="1701" w:type="dxa"/>
          </w:tcPr>
          <w:p w14:paraId="3F185EC7" w14:textId="42DC2428" w:rsidR="00345A36" w:rsidRPr="005865D6" w:rsidRDefault="00345A36" w:rsidP="00345A36">
            <w:pPr>
              <w:keepNext/>
              <w:spacing w:after="60"/>
              <w:jc w:val="center"/>
              <w:rPr>
                <w:rFonts w:ascii="Arial" w:hAnsi="Arial" w:cs="Arial"/>
              </w:rPr>
            </w:pPr>
            <w:r w:rsidRPr="00B069D6">
              <w:rPr>
                <w:rFonts w:ascii="Arial" w:hAnsi="Arial" w:cs="Arial"/>
                <w:sz w:val="22"/>
                <w:szCs w:val="22"/>
              </w:rPr>
              <w:t>2.17—12.09</w:t>
            </w:r>
          </w:p>
        </w:tc>
      </w:tr>
      <w:tr w:rsidR="00FD269B" w:rsidRPr="005865D6" w14:paraId="262FC915" w14:textId="77777777" w:rsidTr="00044500">
        <w:trPr>
          <w:cantSplit/>
          <w:jc w:val="center"/>
        </w:trPr>
        <w:tc>
          <w:tcPr>
            <w:tcW w:w="1824" w:type="dxa"/>
          </w:tcPr>
          <w:p w14:paraId="03A28EA0" w14:textId="77777777" w:rsidR="00FD269B" w:rsidRPr="005865D6" w:rsidRDefault="00FD269B" w:rsidP="00FD269B">
            <w:pPr>
              <w:keepNext/>
              <w:spacing w:after="60"/>
              <w:rPr>
                <w:rFonts w:ascii="Arial" w:hAnsi="Arial" w:cs="Arial"/>
                <w:b/>
                <w:bCs/>
                <w:sz w:val="22"/>
                <w:szCs w:val="22"/>
              </w:rPr>
            </w:pPr>
            <w:r w:rsidRPr="005865D6">
              <w:rPr>
                <w:rFonts w:ascii="Arial" w:hAnsi="Arial" w:cs="Arial"/>
                <w:b/>
                <w:bCs/>
                <w:sz w:val="22"/>
                <w:szCs w:val="22"/>
              </w:rPr>
              <w:t>Age</w:t>
            </w:r>
          </w:p>
        </w:tc>
        <w:tc>
          <w:tcPr>
            <w:tcW w:w="1701" w:type="dxa"/>
          </w:tcPr>
          <w:p w14:paraId="0E4646E7" w14:textId="44D6366B" w:rsidR="00FD269B" w:rsidRPr="005865D6" w:rsidRDefault="00FD269B" w:rsidP="00FD269B">
            <w:pPr>
              <w:keepNext/>
              <w:spacing w:after="60"/>
              <w:jc w:val="center"/>
              <w:rPr>
                <w:rFonts w:ascii="Arial" w:hAnsi="Arial" w:cs="Arial"/>
                <w:sz w:val="22"/>
                <w:szCs w:val="22"/>
              </w:rPr>
            </w:pPr>
            <w:r w:rsidRPr="00B069D6">
              <w:rPr>
                <w:rFonts w:ascii="Arial" w:hAnsi="Arial" w:cs="Arial"/>
                <w:sz w:val="22"/>
                <w:szCs w:val="22"/>
              </w:rPr>
              <w:t>0.99</w:t>
            </w:r>
          </w:p>
        </w:tc>
        <w:tc>
          <w:tcPr>
            <w:tcW w:w="1701" w:type="dxa"/>
          </w:tcPr>
          <w:p w14:paraId="0A80C369" w14:textId="398E5FCF" w:rsidR="00FD269B" w:rsidRPr="005865D6" w:rsidRDefault="00FD269B" w:rsidP="00FD269B">
            <w:pPr>
              <w:keepNext/>
              <w:spacing w:after="60"/>
              <w:jc w:val="center"/>
              <w:rPr>
                <w:rFonts w:ascii="Arial" w:hAnsi="Arial" w:cs="Arial"/>
              </w:rPr>
            </w:pPr>
            <w:r w:rsidRPr="00B069D6">
              <w:rPr>
                <w:rFonts w:ascii="Arial" w:hAnsi="Arial" w:cs="Arial"/>
                <w:sz w:val="22"/>
                <w:szCs w:val="22"/>
              </w:rPr>
              <w:t>0.97—1.01</w:t>
            </w:r>
          </w:p>
        </w:tc>
        <w:tc>
          <w:tcPr>
            <w:tcW w:w="1701" w:type="dxa"/>
          </w:tcPr>
          <w:p w14:paraId="4AF08A59" w14:textId="28FE8296" w:rsidR="00FD269B" w:rsidRPr="005865D6" w:rsidRDefault="00FD269B" w:rsidP="00FD269B">
            <w:pPr>
              <w:keepNext/>
              <w:spacing w:after="60"/>
              <w:jc w:val="center"/>
              <w:rPr>
                <w:rFonts w:ascii="Arial" w:hAnsi="Arial" w:cs="Arial"/>
              </w:rPr>
            </w:pPr>
            <w:r w:rsidRPr="00B069D6">
              <w:rPr>
                <w:rFonts w:ascii="Arial" w:hAnsi="Arial" w:cs="Arial"/>
                <w:sz w:val="22"/>
                <w:szCs w:val="22"/>
              </w:rPr>
              <w:t>1.00</w:t>
            </w:r>
          </w:p>
        </w:tc>
        <w:tc>
          <w:tcPr>
            <w:tcW w:w="1701" w:type="dxa"/>
          </w:tcPr>
          <w:p w14:paraId="08D54D38" w14:textId="4552914C" w:rsidR="00FD269B" w:rsidRPr="005865D6" w:rsidRDefault="00FD269B" w:rsidP="00FD269B">
            <w:pPr>
              <w:keepNext/>
              <w:spacing w:after="60"/>
              <w:jc w:val="center"/>
              <w:rPr>
                <w:rFonts w:ascii="Arial" w:hAnsi="Arial" w:cs="Arial"/>
              </w:rPr>
            </w:pPr>
            <w:r w:rsidRPr="00B069D6">
              <w:rPr>
                <w:rFonts w:ascii="Arial" w:hAnsi="Arial" w:cs="Arial"/>
                <w:sz w:val="22"/>
                <w:szCs w:val="22"/>
              </w:rPr>
              <w:t>0.97—1.02</w:t>
            </w:r>
          </w:p>
        </w:tc>
      </w:tr>
      <w:tr w:rsidR="00044500" w:rsidRPr="005865D6" w14:paraId="0C8F619B" w14:textId="77777777" w:rsidTr="00044500">
        <w:trPr>
          <w:cantSplit/>
          <w:jc w:val="center"/>
        </w:trPr>
        <w:tc>
          <w:tcPr>
            <w:tcW w:w="1824" w:type="dxa"/>
          </w:tcPr>
          <w:p w14:paraId="1241F7A9" w14:textId="77777777" w:rsidR="00044500" w:rsidRPr="005865D6" w:rsidRDefault="00044500" w:rsidP="00044500">
            <w:pPr>
              <w:keepNext/>
              <w:spacing w:after="60"/>
              <w:rPr>
                <w:rFonts w:ascii="Arial" w:hAnsi="Arial" w:cs="Arial"/>
                <w:b/>
                <w:bCs/>
                <w:sz w:val="22"/>
                <w:szCs w:val="22"/>
              </w:rPr>
            </w:pPr>
            <w:r w:rsidRPr="005865D6">
              <w:rPr>
                <w:rFonts w:ascii="Arial" w:hAnsi="Arial" w:cs="Arial"/>
                <w:b/>
                <w:bCs/>
                <w:sz w:val="22"/>
                <w:szCs w:val="22"/>
              </w:rPr>
              <w:t>Sex</w:t>
            </w:r>
          </w:p>
        </w:tc>
        <w:tc>
          <w:tcPr>
            <w:tcW w:w="1701" w:type="dxa"/>
          </w:tcPr>
          <w:p w14:paraId="07C6B762" w14:textId="77777777" w:rsidR="00044500" w:rsidRPr="005865D6" w:rsidRDefault="00044500" w:rsidP="00044500">
            <w:pPr>
              <w:keepNext/>
              <w:spacing w:after="60"/>
              <w:jc w:val="center"/>
              <w:rPr>
                <w:rFonts w:ascii="Arial" w:hAnsi="Arial" w:cs="Arial"/>
                <w:sz w:val="22"/>
                <w:szCs w:val="22"/>
              </w:rPr>
            </w:pPr>
          </w:p>
        </w:tc>
        <w:tc>
          <w:tcPr>
            <w:tcW w:w="1701" w:type="dxa"/>
          </w:tcPr>
          <w:p w14:paraId="7889D7EC" w14:textId="77777777" w:rsidR="00044500" w:rsidRPr="005865D6" w:rsidRDefault="00044500" w:rsidP="00044500">
            <w:pPr>
              <w:keepNext/>
              <w:spacing w:after="60"/>
              <w:jc w:val="center"/>
              <w:rPr>
                <w:rFonts w:ascii="Arial" w:hAnsi="Arial" w:cs="Arial"/>
              </w:rPr>
            </w:pPr>
          </w:p>
        </w:tc>
        <w:tc>
          <w:tcPr>
            <w:tcW w:w="1701" w:type="dxa"/>
          </w:tcPr>
          <w:p w14:paraId="68F4EF3B" w14:textId="77777777" w:rsidR="00044500" w:rsidRPr="005865D6" w:rsidRDefault="00044500" w:rsidP="00044500">
            <w:pPr>
              <w:keepNext/>
              <w:spacing w:after="60"/>
              <w:jc w:val="center"/>
              <w:rPr>
                <w:rFonts w:ascii="Arial" w:hAnsi="Arial" w:cs="Arial"/>
              </w:rPr>
            </w:pPr>
          </w:p>
        </w:tc>
        <w:tc>
          <w:tcPr>
            <w:tcW w:w="1701" w:type="dxa"/>
          </w:tcPr>
          <w:p w14:paraId="5B2D63CE" w14:textId="7D4F5ECE" w:rsidR="00044500" w:rsidRPr="005865D6" w:rsidRDefault="00044500" w:rsidP="00044500">
            <w:pPr>
              <w:keepNext/>
              <w:spacing w:after="60"/>
              <w:jc w:val="center"/>
              <w:rPr>
                <w:rFonts w:ascii="Arial" w:hAnsi="Arial" w:cs="Arial"/>
              </w:rPr>
            </w:pPr>
          </w:p>
        </w:tc>
      </w:tr>
      <w:tr w:rsidR="002401D1" w:rsidRPr="005865D6" w14:paraId="73A32BD1" w14:textId="5E9228FF" w:rsidTr="00C53400">
        <w:trPr>
          <w:cantSplit/>
          <w:jc w:val="center"/>
        </w:trPr>
        <w:tc>
          <w:tcPr>
            <w:tcW w:w="1824" w:type="dxa"/>
          </w:tcPr>
          <w:p w14:paraId="73A02BD5" w14:textId="77777777" w:rsidR="002401D1" w:rsidRPr="005865D6" w:rsidRDefault="002401D1" w:rsidP="00044500">
            <w:pPr>
              <w:keepNext/>
              <w:spacing w:after="60"/>
              <w:rPr>
                <w:rFonts w:ascii="Arial" w:hAnsi="Arial" w:cs="Arial"/>
                <w:sz w:val="22"/>
                <w:szCs w:val="22"/>
              </w:rPr>
            </w:pPr>
            <w:r w:rsidRPr="005865D6">
              <w:rPr>
                <w:rFonts w:ascii="Arial" w:hAnsi="Arial" w:cs="Arial"/>
                <w:sz w:val="22"/>
                <w:szCs w:val="22"/>
              </w:rPr>
              <w:t>    Woman</w:t>
            </w:r>
          </w:p>
        </w:tc>
        <w:tc>
          <w:tcPr>
            <w:tcW w:w="3402" w:type="dxa"/>
            <w:gridSpan w:val="2"/>
          </w:tcPr>
          <w:p w14:paraId="283BACDC" w14:textId="52AFA6D1" w:rsidR="002401D1" w:rsidRPr="005865D6" w:rsidRDefault="002401D1" w:rsidP="00044500">
            <w:pPr>
              <w:keepNext/>
              <w:spacing w:after="60"/>
              <w:jc w:val="center"/>
              <w:rPr>
                <w:rFonts w:ascii="Arial" w:hAnsi="Arial" w:cs="Arial"/>
              </w:rPr>
            </w:pPr>
            <w:r w:rsidRPr="000A19EF">
              <w:rPr>
                <w:rFonts w:ascii="Arial" w:hAnsi="Arial" w:cs="Arial"/>
                <w:sz w:val="22"/>
                <w:szCs w:val="22"/>
              </w:rPr>
              <w:t>Reference</w:t>
            </w:r>
          </w:p>
        </w:tc>
        <w:tc>
          <w:tcPr>
            <w:tcW w:w="3402" w:type="dxa"/>
            <w:gridSpan w:val="2"/>
          </w:tcPr>
          <w:p w14:paraId="14632ED2" w14:textId="7DF4F004" w:rsidR="002401D1" w:rsidRPr="005865D6" w:rsidRDefault="002401D1" w:rsidP="00044500">
            <w:pPr>
              <w:keepNext/>
              <w:spacing w:after="60"/>
              <w:jc w:val="center"/>
              <w:rPr>
                <w:rFonts w:ascii="Arial" w:hAnsi="Arial" w:cs="Arial"/>
              </w:rPr>
            </w:pPr>
            <w:r w:rsidRPr="000A19EF">
              <w:rPr>
                <w:rFonts w:ascii="Arial" w:hAnsi="Arial" w:cs="Arial"/>
                <w:sz w:val="22"/>
                <w:szCs w:val="22"/>
              </w:rPr>
              <w:t>Reference</w:t>
            </w:r>
          </w:p>
        </w:tc>
      </w:tr>
      <w:tr w:rsidR="00237185" w:rsidRPr="005865D6" w14:paraId="27C831E3" w14:textId="77777777" w:rsidTr="00044500">
        <w:trPr>
          <w:cantSplit/>
          <w:jc w:val="center"/>
        </w:trPr>
        <w:tc>
          <w:tcPr>
            <w:tcW w:w="1824" w:type="dxa"/>
          </w:tcPr>
          <w:p w14:paraId="55D4D601" w14:textId="77777777" w:rsidR="00237185" w:rsidRPr="005865D6" w:rsidRDefault="00237185" w:rsidP="00237185">
            <w:pPr>
              <w:keepNext/>
              <w:spacing w:after="60"/>
              <w:rPr>
                <w:rFonts w:ascii="Arial" w:hAnsi="Arial" w:cs="Arial"/>
                <w:sz w:val="22"/>
                <w:szCs w:val="22"/>
              </w:rPr>
            </w:pPr>
            <w:r w:rsidRPr="005865D6">
              <w:rPr>
                <w:rFonts w:ascii="Arial" w:hAnsi="Arial" w:cs="Arial"/>
                <w:sz w:val="22"/>
                <w:szCs w:val="22"/>
              </w:rPr>
              <w:t>    Man</w:t>
            </w:r>
          </w:p>
        </w:tc>
        <w:tc>
          <w:tcPr>
            <w:tcW w:w="1701" w:type="dxa"/>
          </w:tcPr>
          <w:p w14:paraId="6122BF8D" w14:textId="1D511535" w:rsidR="00237185" w:rsidRPr="005865D6" w:rsidRDefault="00237185" w:rsidP="00237185">
            <w:pPr>
              <w:keepNext/>
              <w:spacing w:after="60"/>
              <w:jc w:val="center"/>
              <w:rPr>
                <w:rFonts w:ascii="Arial" w:hAnsi="Arial" w:cs="Arial"/>
                <w:sz w:val="22"/>
                <w:szCs w:val="22"/>
              </w:rPr>
            </w:pPr>
            <w:r w:rsidRPr="00B069D6">
              <w:rPr>
                <w:rFonts w:ascii="Arial" w:hAnsi="Arial" w:cs="Arial"/>
                <w:sz w:val="22"/>
                <w:szCs w:val="22"/>
              </w:rPr>
              <w:t>1.70</w:t>
            </w:r>
          </w:p>
        </w:tc>
        <w:tc>
          <w:tcPr>
            <w:tcW w:w="1701" w:type="dxa"/>
          </w:tcPr>
          <w:p w14:paraId="6A14CC80" w14:textId="0EB20288" w:rsidR="00237185" w:rsidRPr="005865D6" w:rsidRDefault="00237185" w:rsidP="00237185">
            <w:pPr>
              <w:keepNext/>
              <w:spacing w:after="60"/>
              <w:jc w:val="center"/>
              <w:rPr>
                <w:rFonts w:ascii="Arial" w:hAnsi="Arial" w:cs="Arial"/>
              </w:rPr>
            </w:pPr>
            <w:r w:rsidRPr="00B069D6">
              <w:rPr>
                <w:rFonts w:ascii="Arial" w:hAnsi="Arial" w:cs="Arial"/>
                <w:sz w:val="22"/>
                <w:szCs w:val="22"/>
              </w:rPr>
              <w:t>0.84—3.44</w:t>
            </w:r>
          </w:p>
        </w:tc>
        <w:tc>
          <w:tcPr>
            <w:tcW w:w="1701" w:type="dxa"/>
          </w:tcPr>
          <w:p w14:paraId="5F8A926F" w14:textId="520F69C8" w:rsidR="00237185" w:rsidRPr="005865D6" w:rsidRDefault="00237185" w:rsidP="00237185">
            <w:pPr>
              <w:keepNext/>
              <w:spacing w:after="60"/>
              <w:jc w:val="center"/>
              <w:rPr>
                <w:rFonts w:ascii="Arial" w:hAnsi="Arial" w:cs="Arial"/>
              </w:rPr>
            </w:pPr>
            <w:r w:rsidRPr="00B069D6">
              <w:rPr>
                <w:rFonts w:ascii="Arial" w:hAnsi="Arial" w:cs="Arial"/>
                <w:sz w:val="22"/>
                <w:szCs w:val="22"/>
              </w:rPr>
              <w:t>0.62</w:t>
            </w:r>
          </w:p>
        </w:tc>
        <w:tc>
          <w:tcPr>
            <w:tcW w:w="1701" w:type="dxa"/>
          </w:tcPr>
          <w:p w14:paraId="3AF6362C" w14:textId="7C4D1FBA" w:rsidR="00237185" w:rsidRPr="005865D6" w:rsidRDefault="00237185" w:rsidP="00237185">
            <w:pPr>
              <w:keepNext/>
              <w:spacing w:after="60"/>
              <w:jc w:val="center"/>
              <w:rPr>
                <w:rFonts w:ascii="Arial" w:hAnsi="Arial" w:cs="Arial"/>
              </w:rPr>
            </w:pPr>
            <w:r w:rsidRPr="00B069D6">
              <w:rPr>
                <w:rFonts w:ascii="Arial" w:hAnsi="Arial" w:cs="Arial"/>
                <w:sz w:val="22"/>
                <w:szCs w:val="22"/>
              </w:rPr>
              <w:t>0.27—1.43</w:t>
            </w:r>
          </w:p>
        </w:tc>
      </w:tr>
      <w:tr w:rsidR="00044500" w:rsidRPr="005865D6" w14:paraId="7C69D0F2" w14:textId="77777777" w:rsidTr="00044500">
        <w:trPr>
          <w:cantSplit/>
          <w:jc w:val="center"/>
        </w:trPr>
        <w:tc>
          <w:tcPr>
            <w:tcW w:w="1824" w:type="dxa"/>
          </w:tcPr>
          <w:p w14:paraId="462E9CB1" w14:textId="77777777" w:rsidR="00044500" w:rsidRPr="005865D6" w:rsidRDefault="00044500" w:rsidP="00044500">
            <w:pPr>
              <w:keepNext/>
              <w:spacing w:after="60"/>
              <w:rPr>
                <w:rFonts w:ascii="Arial" w:hAnsi="Arial" w:cs="Arial"/>
                <w:b/>
                <w:bCs/>
                <w:sz w:val="22"/>
                <w:szCs w:val="22"/>
              </w:rPr>
            </w:pPr>
            <w:r w:rsidRPr="005865D6">
              <w:rPr>
                <w:rFonts w:ascii="Arial" w:hAnsi="Arial" w:cs="Arial"/>
                <w:b/>
                <w:bCs/>
                <w:sz w:val="22"/>
                <w:szCs w:val="22"/>
              </w:rPr>
              <w:t>Obstructive sleep apnea</w:t>
            </w:r>
          </w:p>
        </w:tc>
        <w:tc>
          <w:tcPr>
            <w:tcW w:w="1701" w:type="dxa"/>
          </w:tcPr>
          <w:p w14:paraId="053E1A3B" w14:textId="77777777" w:rsidR="00044500" w:rsidRPr="005865D6" w:rsidRDefault="00044500" w:rsidP="00044500">
            <w:pPr>
              <w:keepNext/>
              <w:spacing w:after="60"/>
              <w:jc w:val="center"/>
              <w:rPr>
                <w:rFonts w:ascii="Arial" w:hAnsi="Arial" w:cs="Arial"/>
                <w:sz w:val="22"/>
                <w:szCs w:val="22"/>
              </w:rPr>
            </w:pPr>
          </w:p>
        </w:tc>
        <w:tc>
          <w:tcPr>
            <w:tcW w:w="1701" w:type="dxa"/>
          </w:tcPr>
          <w:p w14:paraId="53CF348C" w14:textId="77777777" w:rsidR="00044500" w:rsidRPr="005865D6" w:rsidRDefault="00044500" w:rsidP="00044500">
            <w:pPr>
              <w:keepNext/>
              <w:spacing w:after="60"/>
              <w:jc w:val="center"/>
              <w:rPr>
                <w:rFonts w:ascii="Arial" w:hAnsi="Arial" w:cs="Arial"/>
              </w:rPr>
            </w:pPr>
          </w:p>
        </w:tc>
        <w:tc>
          <w:tcPr>
            <w:tcW w:w="1701" w:type="dxa"/>
          </w:tcPr>
          <w:p w14:paraId="09C7B6A5" w14:textId="77777777" w:rsidR="00044500" w:rsidRPr="005865D6" w:rsidRDefault="00044500" w:rsidP="00044500">
            <w:pPr>
              <w:keepNext/>
              <w:spacing w:after="60"/>
              <w:jc w:val="center"/>
              <w:rPr>
                <w:rFonts w:ascii="Arial" w:hAnsi="Arial" w:cs="Arial"/>
              </w:rPr>
            </w:pPr>
          </w:p>
        </w:tc>
        <w:tc>
          <w:tcPr>
            <w:tcW w:w="1701" w:type="dxa"/>
          </w:tcPr>
          <w:p w14:paraId="4F1FB148" w14:textId="3F71BF61" w:rsidR="00044500" w:rsidRPr="005865D6" w:rsidRDefault="00044500" w:rsidP="00044500">
            <w:pPr>
              <w:keepNext/>
              <w:spacing w:after="60"/>
              <w:jc w:val="center"/>
              <w:rPr>
                <w:rFonts w:ascii="Arial" w:hAnsi="Arial" w:cs="Arial"/>
              </w:rPr>
            </w:pPr>
          </w:p>
        </w:tc>
      </w:tr>
      <w:tr w:rsidR="002401D1" w:rsidRPr="005865D6" w14:paraId="710CBBD5" w14:textId="031DAB07" w:rsidTr="00F9591E">
        <w:trPr>
          <w:cantSplit/>
          <w:jc w:val="center"/>
        </w:trPr>
        <w:tc>
          <w:tcPr>
            <w:tcW w:w="1824" w:type="dxa"/>
          </w:tcPr>
          <w:p w14:paraId="0281C429" w14:textId="77777777" w:rsidR="002401D1" w:rsidRPr="005865D6" w:rsidRDefault="002401D1" w:rsidP="00044500">
            <w:pPr>
              <w:keepNext/>
              <w:spacing w:after="60"/>
              <w:rPr>
                <w:rFonts w:ascii="Arial" w:hAnsi="Arial" w:cs="Arial"/>
                <w:sz w:val="22"/>
                <w:szCs w:val="22"/>
              </w:rPr>
            </w:pPr>
            <w:r w:rsidRPr="005865D6">
              <w:rPr>
                <w:rFonts w:ascii="Arial" w:hAnsi="Arial" w:cs="Arial"/>
                <w:sz w:val="22"/>
                <w:szCs w:val="22"/>
              </w:rPr>
              <w:t>    No</w:t>
            </w:r>
          </w:p>
        </w:tc>
        <w:tc>
          <w:tcPr>
            <w:tcW w:w="3402" w:type="dxa"/>
            <w:gridSpan w:val="2"/>
          </w:tcPr>
          <w:p w14:paraId="2436D44E" w14:textId="05C0A9AC" w:rsidR="002401D1" w:rsidRPr="005865D6" w:rsidRDefault="002401D1" w:rsidP="00044500">
            <w:pPr>
              <w:keepNext/>
              <w:spacing w:after="60"/>
              <w:jc w:val="center"/>
              <w:rPr>
                <w:rFonts w:ascii="Arial" w:hAnsi="Arial" w:cs="Arial"/>
              </w:rPr>
            </w:pPr>
            <w:r w:rsidRPr="005865D6">
              <w:rPr>
                <w:rFonts w:ascii="Arial" w:hAnsi="Arial" w:cs="Arial"/>
                <w:sz w:val="22"/>
                <w:szCs w:val="22"/>
              </w:rPr>
              <w:t>Reference</w:t>
            </w:r>
          </w:p>
        </w:tc>
        <w:tc>
          <w:tcPr>
            <w:tcW w:w="3402" w:type="dxa"/>
            <w:gridSpan w:val="2"/>
          </w:tcPr>
          <w:p w14:paraId="667B86FB" w14:textId="2B449B06" w:rsidR="002401D1" w:rsidRPr="005865D6" w:rsidRDefault="002401D1" w:rsidP="00044500">
            <w:pPr>
              <w:keepNext/>
              <w:spacing w:after="60"/>
              <w:jc w:val="center"/>
              <w:rPr>
                <w:rFonts w:ascii="Arial" w:hAnsi="Arial" w:cs="Arial"/>
              </w:rPr>
            </w:pPr>
            <w:r w:rsidRPr="005865D6">
              <w:rPr>
                <w:rFonts w:ascii="Arial" w:hAnsi="Arial" w:cs="Arial"/>
                <w:sz w:val="22"/>
                <w:szCs w:val="22"/>
              </w:rPr>
              <w:t>Reference</w:t>
            </w:r>
          </w:p>
        </w:tc>
      </w:tr>
      <w:tr w:rsidR="008F149F" w:rsidRPr="005865D6" w14:paraId="30526F15" w14:textId="77777777" w:rsidTr="00044500">
        <w:trPr>
          <w:cantSplit/>
          <w:jc w:val="center"/>
        </w:trPr>
        <w:tc>
          <w:tcPr>
            <w:tcW w:w="1824" w:type="dxa"/>
          </w:tcPr>
          <w:p w14:paraId="108EDE7B" w14:textId="77777777" w:rsidR="008F149F" w:rsidRPr="005865D6" w:rsidRDefault="008F149F" w:rsidP="008F149F">
            <w:pPr>
              <w:keepNext/>
              <w:spacing w:after="60"/>
              <w:rPr>
                <w:rFonts w:ascii="Arial" w:hAnsi="Arial" w:cs="Arial"/>
                <w:sz w:val="22"/>
                <w:szCs w:val="22"/>
              </w:rPr>
            </w:pPr>
            <w:r w:rsidRPr="005865D6">
              <w:rPr>
                <w:rFonts w:ascii="Arial" w:hAnsi="Arial" w:cs="Arial"/>
                <w:sz w:val="22"/>
                <w:szCs w:val="22"/>
              </w:rPr>
              <w:t>    Yes</w:t>
            </w:r>
          </w:p>
        </w:tc>
        <w:tc>
          <w:tcPr>
            <w:tcW w:w="1701" w:type="dxa"/>
          </w:tcPr>
          <w:p w14:paraId="53F9D126" w14:textId="0DB2D007" w:rsidR="008F149F" w:rsidRPr="005865D6" w:rsidRDefault="008F149F" w:rsidP="008F149F">
            <w:pPr>
              <w:keepNext/>
              <w:spacing w:after="60"/>
              <w:jc w:val="center"/>
              <w:rPr>
                <w:rFonts w:ascii="Arial" w:hAnsi="Arial" w:cs="Arial"/>
                <w:sz w:val="22"/>
                <w:szCs w:val="22"/>
              </w:rPr>
            </w:pPr>
            <w:r w:rsidRPr="00B069D6">
              <w:rPr>
                <w:rFonts w:ascii="Arial" w:hAnsi="Arial" w:cs="Arial"/>
                <w:sz w:val="22"/>
                <w:szCs w:val="22"/>
              </w:rPr>
              <w:t>5.39</w:t>
            </w:r>
          </w:p>
        </w:tc>
        <w:tc>
          <w:tcPr>
            <w:tcW w:w="1701" w:type="dxa"/>
          </w:tcPr>
          <w:p w14:paraId="0DBAE744" w14:textId="6D50EF32" w:rsidR="008F149F" w:rsidRPr="005865D6" w:rsidRDefault="008F149F" w:rsidP="008F149F">
            <w:pPr>
              <w:keepNext/>
              <w:spacing w:after="60"/>
              <w:jc w:val="center"/>
              <w:rPr>
                <w:rFonts w:ascii="Arial" w:hAnsi="Arial" w:cs="Arial"/>
              </w:rPr>
            </w:pPr>
            <w:r w:rsidRPr="00B069D6">
              <w:rPr>
                <w:rFonts w:ascii="Arial" w:hAnsi="Arial" w:cs="Arial"/>
                <w:sz w:val="22"/>
                <w:szCs w:val="22"/>
              </w:rPr>
              <w:t>2.92—9.93</w:t>
            </w:r>
          </w:p>
        </w:tc>
        <w:tc>
          <w:tcPr>
            <w:tcW w:w="1701" w:type="dxa"/>
          </w:tcPr>
          <w:p w14:paraId="5F43FB63" w14:textId="5EA77E47" w:rsidR="008F149F" w:rsidRPr="005865D6" w:rsidRDefault="008F149F" w:rsidP="008F149F">
            <w:pPr>
              <w:keepNext/>
              <w:spacing w:after="60"/>
              <w:jc w:val="center"/>
              <w:rPr>
                <w:rFonts w:ascii="Arial" w:hAnsi="Arial" w:cs="Arial"/>
              </w:rPr>
            </w:pPr>
            <w:r w:rsidRPr="00B069D6">
              <w:rPr>
                <w:rFonts w:ascii="Arial" w:hAnsi="Arial" w:cs="Arial"/>
                <w:color w:val="333333"/>
                <w:sz w:val="22"/>
                <w:szCs w:val="22"/>
                <w:shd w:val="clear" w:color="auto" w:fill="FFFFFF"/>
              </w:rPr>
              <w:t>5.46</w:t>
            </w:r>
          </w:p>
        </w:tc>
        <w:tc>
          <w:tcPr>
            <w:tcW w:w="1701" w:type="dxa"/>
          </w:tcPr>
          <w:p w14:paraId="5646CFED" w14:textId="6DE56B70" w:rsidR="008F149F" w:rsidRPr="005865D6" w:rsidRDefault="008F149F" w:rsidP="008F149F">
            <w:pPr>
              <w:keepNext/>
              <w:spacing w:after="60"/>
              <w:jc w:val="center"/>
              <w:rPr>
                <w:rFonts w:ascii="Arial" w:hAnsi="Arial" w:cs="Arial"/>
              </w:rPr>
            </w:pPr>
            <w:r w:rsidRPr="00B069D6">
              <w:rPr>
                <w:rFonts w:ascii="Arial" w:hAnsi="Arial" w:cs="Arial"/>
                <w:color w:val="333333"/>
                <w:sz w:val="22"/>
                <w:szCs w:val="22"/>
                <w:shd w:val="clear" w:color="auto" w:fill="FFFFFF"/>
              </w:rPr>
              <w:t>2.64—11.29</w:t>
            </w:r>
          </w:p>
        </w:tc>
      </w:tr>
    </w:tbl>
    <w:p w14:paraId="05CB410B" w14:textId="77777777" w:rsidR="00086F55" w:rsidRPr="005865D6" w:rsidRDefault="00086F55" w:rsidP="00086F55">
      <w:pPr>
        <w:rPr>
          <w:rFonts w:ascii="Arial" w:hAnsi="Arial" w:cs="Arial"/>
          <w:lang w:val="en-US"/>
        </w:rPr>
      </w:pPr>
    </w:p>
    <w:p w14:paraId="611648A7" w14:textId="50D912B2" w:rsidR="0077148E" w:rsidRPr="007E22E4" w:rsidRDefault="0080046C" w:rsidP="004816F4">
      <w:pPr>
        <w:spacing w:after="120" w:line="480" w:lineRule="auto"/>
        <w:jc w:val="both"/>
        <w:rPr>
          <w:rFonts w:ascii="Arial" w:hAnsi="Arial" w:cs="Arial"/>
          <w:lang w:val="en-US"/>
        </w:rPr>
      </w:pPr>
      <w:r>
        <w:rPr>
          <w:rFonts w:ascii="Arial" w:hAnsi="Arial" w:cs="Arial"/>
          <w:vertAlign w:val="superscript"/>
          <w:lang w:val="en-US"/>
        </w:rPr>
        <w:t>1</w:t>
      </w:r>
      <w:r w:rsidR="0077148E">
        <w:rPr>
          <w:rFonts w:ascii="Arial" w:hAnsi="Arial" w:cs="Arial"/>
          <w:lang w:val="en-US"/>
        </w:rPr>
        <w:t xml:space="preserve">Proportional odds assumption not met for obesity category. </w:t>
      </w:r>
      <w:r w:rsidR="00B076F6">
        <w:rPr>
          <w:rFonts w:ascii="Arial" w:hAnsi="Arial" w:cs="Arial"/>
          <w:lang w:val="en-US"/>
        </w:rPr>
        <w:t>However, models are</w:t>
      </w:r>
      <w:r w:rsidR="0077148E">
        <w:rPr>
          <w:rFonts w:ascii="Arial" w:hAnsi="Arial" w:cs="Arial"/>
          <w:lang w:val="en-US"/>
        </w:rPr>
        <w:t xml:space="preserve"> </w:t>
      </w:r>
      <w:r w:rsidR="000C30C4">
        <w:rPr>
          <w:rFonts w:ascii="Arial" w:hAnsi="Arial" w:cs="Arial"/>
          <w:lang w:val="en-US"/>
        </w:rPr>
        <w:t>presented</w:t>
      </w:r>
      <w:r w:rsidR="0077148E">
        <w:rPr>
          <w:rFonts w:ascii="Arial" w:hAnsi="Arial" w:cs="Arial"/>
          <w:lang w:val="en-US"/>
        </w:rPr>
        <w:t xml:space="preserve"> to </w:t>
      </w:r>
      <w:r w:rsidR="000C30C4">
        <w:rPr>
          <w:rFonts w:ascii="Arial" w:hAnsi="Arial" w:cs="Arial"/>
          <w:lang w:val="en-US"/>
        </w:rPr>
        <w:t>show</w:t>
      </w:r>
      <w:r w:rsidR="0077148E">
        <w:rPr>
          <w:rFonts w:ascii="Arial" w:hAnsi="Arial" w:cs="Arial"/>
          <w:lang w:val="en-US"/>
        </w:rPr>
        <w:t xml:space="preserve"> first-order effects. </w:t>
      </w:r>
    </w:p>
    <w:p w14:paraId="1557D1FC" w14:textId="1A1675AA" w:rsidR="008361D9" w:rsidRPr="005865D6" w:rsidRDefault="008361D9" w:rsidP="008361D9">
      <w:pPr>
        <w:spacing w:line="480" w:lineRule="auto"/>
        <w:jc w:val="both"/>
        <w:rPr>
          <w:rFonts w:ascii="Arial" w:hAnsi="Arial" w:cs="Arial"/>
          <w:lang w:val="en-US"/>
        </w:rPr>
      </w:pPr>
      <w:r w:rsidRPr="005865D6">
        <w:rPr>
          <w:rFonts w:ascii="Arial" w:hAnsi="Arial" w:cs="Arial"/>
          <w:lang w:val="en-US"/>
        </w:rPr>
        <w:t>Abbreviations: 95% confidence interval (95%CI)</w:t>
      </w:r>
      <w:r>
        <w:rPr>
          <w:rFonts w:ascii="Arial" w:hAnsi="Arial" w:cs="Arial"/>
          <w:lang w:val="en-US"/>
        </w:rPr>
        <w:t>, adjusted odds ratio (</w:t>
      </w:r>
      <w:proofErr w:type="spellStart"/>
      <w:r>
        <w:rPr>
          <w:rFonts w:ascii="Arial" w:hAnsi="Arial" w:cs="Arial"/>
          <w:lang w:val="en-US"/>
        </w:rPr>
        <w:t>a</w:t>
      </w:r>
      <w:r w:rsidR="00F25224">
        <w:rPr>
          <w:rFonts w:ascii="Arial" w:hAnsi="Arial" w:cs="Arial"/>
          <w:lang w:val="en-US"/>
        </w:rPr>
        <w:t>O</w:t>
      </w:r>
      <w:r>
        <w:rPr>
          <w:rFonts w:ascii="Arial" w:hAnsi="Arial" w:cs="Arial"/>
          <w:lang w:val="en-US"/>
        </w:rPr>
        <w:t>R</w:t>
      </w:r>
      <w:proofErr w:type="spellEnd"/>
      <w:r>
        <w:rPr>
          <w:rFonts w:ascii="Arial" w:hAnsi="Arial" w:cs="Arial"/>
          <w:lang w:val="en-US"/>
        </w:rPr>
        <w:t>)</w:t>
      </w:r>
      <w:r w:rsidRPr="005865D6">
        <w:rPr>
          <w:rFonts w:ascii="Arial" w:hAnsi="Arial" w:cs="Arial"/>
          <w:lang w:val="en-US"/>
        </w:rPr>
        <w:t xml:space="preserve">, </w:t>
      </w:r>
      <w:r>
        <w:rPr>
          <w:rFonts w:ascii="Arial" w:hAnsi="Arial" w:cs="Arial"/>
          <w:lang w:val="en-US"/>
        </w:rPr>
        <w:t>odds ratio (</w:t>
      </w:r>
      <w:r w:rsidR="00F25224">
        <w:rPr>
          <w:rFonts w:ascii="Arial" w:hAnsi="Arial" w:cs="Arial"/>
          <w:lang w:val="en-US"/>
        </w:rPr>
        <w:t>O</w:t>
      </w:r>
      <w:r>
        <w:rPr>
          <w:rFonts w:ascii="Arial" w:hAnsi="Arial" w:cs="Arial"/>
          <w:lang w:val="en-US"/>
        </w:rPr>
        <w:t>R)</w:t>
      </w:r>
    </w:p>
    <w:p w14:paraId="2DC792FB" w14:textId="77777777" w:rsidR="00086F55" w:rsidRPr="005865D6" w:rsidRDefault="00086F55" w:rsidP="00086F55">
      <w:pPr>
        <w:spacing w:line="480" w:lineRule="auto"/>
        <w:jc w:val="both"/>
        <w:rPr>
          <w:rFonts w:ascii="Arial" w:hAnsi="Arial" w:cs="Arial"/>
          <w:lang w:val="en-US"/>
        </w:rPr>
      </w:pPr>
    </w:p>
    <w:p w14:paraId="68DB7945" w14:textId="77777777" w:rsidR="00CD2339" w:rsidRPr="005865D6" w:rsidRDefault="00CD2339" w:rsidP="0067160D">
      <w:pPr>
        <w:jc w:val="both"/>
        <w:rPr>
          <w:rFonts w:ascii="Arial" w:hAnsi="Arial" w:cs="Arial"/>
          <w:lang w:val="en-US"/>
        </w:rPr>
        <w:sectPr w:rsidR="00CD2339" w:rsidRPr="005865D6" w:rsidSect="003F2CB7">
          <w:pgSz w:w="15840" w:h="12240" w:orient="landscape"/>
          <w:pgMar w:top="1418" w:right="1418" w:bottom="1418" w:left="1418" w:header="709" w:footer="709" w:gutter="0"/>
          <w:cols w:space="708"/>
          <w:docGrid w:linePitch="360"/>
        </w:sectPr>
      </w:pPr>
    </w:p>
    <w:p w14:paraId="3581E7CD" w14:textId="1E9E266D" w:rsidR="001E0336" w:rsidRDefault="00132462" w:rsidP="005A5B1E">
      <w:pPr>
        <w:spacing w:line="480" w:lineRule="auto"/>
        <w:jc w:val="both"/>
        <w:rPr>
          <w:rFonts w:ascii="Arial" w:hAnsi="Arial" w:cs="Arial"/>
          <w:lang w:val="en-US"/>
        </w:rPr>
      </w:pPr>
      <w:r w:rsidRPr="00F73BE4">
        <w:rPr>
          <w:rFonts w:ascii="Arial" w:hAnsi="Arial" w:cs="Arial"/>
          <w:b/>
          <w:bCs/>
          <w:lang w:val="en-US"/>
        </w:rPr>
        <w:lastRenderedPageBreak/>
        <w:t>Figure 1</w:t>
      </w:r>
      <w:r>
        <w:rPr>
          <w:rFonts w:ascii="Arial" w:hAnsi="Arial" w:cs="Arial"/>
          <w:lang w:val="en-US"/>
        </w:rPr>
        <w:t xml:space="preserve">. </w:t>
      </w:r>
      <w:r w:rsidR="00740633">
        <w:rPr>
          <w:rFonts w:ascii="Arial" w:hAnsi="Arial" w:cs="Arial"/>
          <w:lang w:val="en-US"/>
        </w:rPr>
        <w:t>Pairwise non-linear relationships between</w:t>
      </w:r>
      <w:r w:rsidR="00310BE7">
        <w:rPr>
          <w:rFonts w:ascii="Arial" w:hAnsi="Arial" w:cs="Arial"/>
          <w:lang w:val="en-US"/>
        </w:rPr>
        <w:t xml:space="preserve"> body mass index, </w:t>
      </w:r>
      <w:r w:rsidR="00DC7E6F">
        <w:rPr>
          <w:rFonts w:ascii="Arial" w:hAnsi="Arial" w:cs="Arial"/>
          <w:lang w:val="en-US"/>
        </w:rPr>
        <w:t xml:space="preserve">preoperative </w:t>
      </w:r>
      <w:r w:rsidR="00310BE7">
        <w:rPr>
          <w:rFonts w:ascii="Arial" w:hAnsi="Arial" w:cs="Arial"/>
          <w:lang w:val="en-US"/>
        </w:rPr>
        <w:t xml:space="preserve">SpO2, and preoperative atelectasis percentage coverage in chest CT scan. </w:t>
      </w:r>
    </w:p>
    <w:p w14:paraId="0653C448" w14:textId="13B70643" w:rsidR="00334EC5" w:rsidRDefault="00A07FC0" w:rsidP="005A5B1E">
      <w:pPr>
        <w:spacing w:line="480" w:lineRule="auto"/>
        <w:jc w:val="both"/>
        <w:rPr>
          <w:rFonts w:ascii="Arial" w:hAnsi="Arial" w:cs="Arial"/>
          <w:lang w:val="en-US"/>
        </w:rPr>
      </w:pPr>
      <w:r>
        <w:rPr>
          <w:rFonts w:ascii="Arial" w:hAnsi="Arial" w:cs="Arial"/>
          <w:noProof/>
          <w:lang w:val="en-US"/>
          <w14:ligatures w14:val="standardContextual"/>
        </w:rPr>
        <w:drawing>
          <wp:inline distT="0" distB="0" distL="0" distR="0" wp14:anchorId="6F77F99A" wp14:editId="39543981">
            <wp:extent cx="5612129" cy="4676774"/>
            <wp:effectExtent l="0" t="0" r="8255" b="0"/>
            <wp:docPr id="1470743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74303" name="Imagen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29" cy="4676774"/>
                    </a:xfrm>
                    <a:prstGeom prst="rect">
                      <a:avLst/>
                    </a:prstGeom>
                  </pic:spPr>
                </pic:pic>
              </a:graphicData>
            </a:graphic>
          </wp:inline>
        </w:drawing>
      </w:r>
    </w:p>
    <w:p w14:paraId="6EEE6257" w14:textId="4B05D65B" w:rsidR="00132462" w:rsidRDefault="00132462" w:rsidP="005A5B1E">
      <w:pPr>
        <w:spacing w:line="480" w:lineRule="auto"/>
        <w:jc w:val="both"/>
        <w:rPr>
          <w:rFonts w:ascii="Arial" w:hAnsi="Arial" w:cs="Arial"/>
          <w:lang w:val="en-US"/>
        </w:rPr>
      </w:pPr>
    </w:p>
    <w:p w14:paraId="39FD3A99" w14:textId="77777777" w:rsidR="00132462" w:rsidRDefault="00132462">
      <w:pPr>
        <w:rPr>
          <w:rFonts w:ascii="Arial" w:hAnsi="Arial" w:cs="Arial"/>
          <w:lang w:val="en-US"/>
        </w:rPr>
      </w:pPr>
      <w:r>
        <w:rPr>
          <w:rFonts w:ascii="Arial" w:hAnsi="Arial" w:cs="Arial"/>
          <w:lang w:val="en-US"/>
        </w:rPr>
        <w:br w:type="page"/>
      </w:r>
    </w:p>
    <w:p w14:paraId="037F705A" w14:textId="46C774E2" w:rsidR="00132462" w:rsidRDefault="00132462" w:rsidP="005A5B1E">
      <w:pPr>
        <w:spacing w:line="480" w:lineRule="auto"/>
        <w:jc w:val="both"/>
        <w:rPr>
          <w:rFonts w:ascii="Arial" w:hAnsi="Arial" w:cs="Arial"/>
          <w:lang w:val="en-US"/>
        </w:rPr>
      </w:pPr>
      <w:r w:rsidRPr="00F73BE4">
        <w:rPr>
          <w:rFonts w:ascii="Arial" w:hAnsi="Arial" w:cs="Arial"/>
          <w:b/>
          <w:bCs/>
          <w:lang w:val="en-US"/>
        </w:rPr>
        <w:lastRenderedPageBreak/>
        <w:t>Figure 2</w:t>
      </w:r>
      <w:r>
        <w:rPr>
          <w:rFonts w:ascii="Arial" w:hAnsi="Arial" w:cs="Arial"/>
          <w:lang w:val="en-US"/>
        </w:rPr>
        <w:t>.</w:t>
      </w:r>
      <w:r w:rsidR="00F171B5">
        <w:rPr>
          <w:rFonts w:ascii="Arial" w:hAnsi="Arial" w:cs="Arial"/>
          <w:lang w:val="en-US"/>
        </w:rPr>
        <w:t xml:space="preserve"> Relative frequency of atelectasis percentage coverage</w:t>
      </w:r>
      <w:r w:rsidR="0024559B">
        <w:rPr>
          <w:rFonts w:ascii="Arial" w:hAnsi="Arial" w:cs="Arial"/>
          <w:lang w:val="en-US"/>
        </w:rPr>
        <w:t xml:space="preserve"> by BMI categories</w:t>
      </w:r>
      <w:r w:rsidR="00F171B5">
        <w:rPr>
          <w:rFonts w:ascii="Arial" w:hAnsi="Arial" w:cs="Arial"/>
          <w:lang w:val="en-US"/>
        </w:rPr>
        <w:t xml:space="preserve">.   </w:t>
      </w:r>
    </w:p>
    <w:p w14:paraId="5BFFDF45" w14:textId="74329560" w:rsidR="00132462" w:rsidRDefault="00A07FC0">
      <w:pPr>
        <w:rPr>
          <w:rFonts w:ascii="Arial" w:hAnsi="Arial" w:cs="Arial"/>
          <w:lang w:val="en-US"/>
        </w:rPr>
      </w:pPr>
      <w:r>
        <w:rPr>
          <w:rFonts w:ascii="Arial" w:hAnsi="Arial" w:cs="Arial"/>
          <w:noProof/>
          <w:lang w:val="en-US"/>
          <w14:ligatures w14:val="standardContextual"/>
        </w:rPr>
        <w:drawing>
          <wp:inline distT="0" distB="0" distL="0" distR="0" wp14:anchorId="5399887F" wp14:editId="0E19FD21">
            <wp:extent cx="5612130" cy="3507740"/>
            <wp:effectExtent l="0" t="0" r="7620" b="0"/>
            <wp:docPr id="35030849"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30849" name="Imagen 2" descr="Gráfic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3507740"/>
                    </a:xfrm>
                    <a:prstGeom prst="rect">
                      <a:avLst/>
                    </a:prstGeom>
                  </pic:spPr>
                </pic:pic>
              </a:graphicData>
            </a:graphic>
          </wp:inline>
        </w:drawing>
      </w:r>
      <w:r w:rsidR="00132462">
        <w:rPr>
          <w:rFonts w:ascii="Arial" w:hAnsi="Arial" w:cs="Arial"/>
          <w:lang w:val="en-US"/>
        </w:rPr>
        <w:br w:type="page"/>
      </w:r>
    </w:p>
    <w:p w14:paraId="242285C6" w14:textId="26E3B8CC" w:rsidR="00132462" w:rsidRDefault="00132462" w:rsidP="005A5B1E">
      <w:pPr>
        <w:spacing w:line="480" w:lineRule="auto"/>
        <w:jc w:val="both"/>
        <w:rPr>
          <w:rFonts w:ascii="Arial" w:hAnsi="Arial" w:cs="Arial"/>
          <w:lang w:val="en-US"/>
        </w:rPr>
      </w:pPr>
      <w:r w:rsidRPr="007074C6">
        <w:rPr>
          <w:rFonts w:ascii="Arial" w:hAnsi="Arial" w:cs="Arial"/>
          <w:b/>
          <w:bCs/>
          <w:lang w:val="en-US"/>
        </w:rPr>
        <w:lastRenderedPageBreak/>
        <w:t>Figure 3</w:t>
      </w:r>
      <w:r>
        <w:rPr>
          <w:rFonts w:ascii="Arial" w:hAnsi="Arial" w:cs="Arial"/>
          <w:lang w:val="en-US"/>
        </w:rPr>
        <w:t>.</w:t>
      </w:r>
      <w:r w:rsidR="00002015" w:rsidRPr="00002015">
        <w:rPr>
          <w:rFonts w:ascii="Arial" w:hAnsi="Arial" w:cs="Arial"/>
          <w:lang w:val="en-US"/>
        </w:rPr>
        <w:t xml:space="preserve"> </w:t>
      </w:r>
      <w:r w:rsidR="00002015">
        <w:rPr>
          <w:rFonts w:ascii="Arial" w:hAnsi="Arial" w:cs="Arial"/>
          <w:lang w:val="en-US"/>
        </w:rPr>
        <w:t>Partial effect of body mass index (BMI) on mean SpO2.</w:t>
      </w:r>
    </w:p>
    <w:p w14:paraId="06AEF4DB" w14:textId="028C5019" w:rsidR="00CF7960" w:rsidRDefault="00BD6041" w:rsidP="005A5B1E">
      <w:pPr>
        <w:spacing w:line="480" w:lineRule="auto"/>
        <w:jc w:val="both"/>
        <w:rPr>
          <w:rFonts w:ascii="Arial" w:hAnsi="Arial" w:cs="Arial"/>
          <w:lang w:val="en-US"/>
        </w:rPr>
      </w:pPr>
      <w:r>
        <w:rPr>
          <w:rFonts w:ascii="Arial" w:hAnsi="Arial" w:cs="Arial"/>
          <w:noProof/>
          <w:lang w:val="en-US"/>
        </w:rPr>
        <w:drawing>
          <wp:inline distT="0" distB="0" distL="0" distR="0" wp14:anchorId="4E7A52B3" wp14:editId="1BAE7399">
            <wp:extent cx="5613397" cy="3929378"/>
            <wp:effectExtent l="0" t="0" r="6985" b="0"/>
            <wp:docPr id="44710313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03137" name="Imagen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613397" cy="3929378"/>
                    </a:xfrm>
                    <a:prstGeom prst="rect">
                      <a:avLst/>
                    </a:prstGeom>
                    <a:noFill/>
                    <a:ln>
                      <a:noFill/>
                    </a:ln>
                  </pic:spPr>
                </pic:pic>
              </a:graphicData>
            </a:graphic>
          </wp:inline>
        </w:drawing>
      </w:r>
    </w:p>
    <w:p w14:paraId="5549ABE5" w14:textId="052FCCD4" w:rsidR="00132462" w:rsidRDefault="0013196F" w:rsidP="001D2409">
      <w:pPr>
        <w:jc w:val="both"/>
        <w:rPr>
          <w:rFonts w:ascii="Arial" w:hAnsi="Arial" w:cs="Arial"/>
          <w:lang w:val="en-US"/>
        </w:rPr>
      </w:pPr>
      <w:r>
        <w:rPr>
          <w:rFonts w:ascii="Arial" w:hAnsi="Arial" w:cs="Arial"/>
          <w:lang w:val="en-US"/>
        </w:rPr>
        <w:t>The green</w:t>
      </w:r>
      <w:r w:rsidR="00576C02">
        <w:rPr>
          <w:rFonts w:ascii="Arial" w:hAnsi="Arial" w:cs="Arial"/>
          <w:lang w:val="en-US"/>
        </w:rPr>
        <w:t>-blue</w:t>
      </w:r>
      <w:r>
        <w:rPr>
          <w:rFonts w:ascii="Arial" w:hAnsi="Arial" w:cs="Arial"/>
          <w:lang w:val="en-US"/>
        </w:rPr>
        <w:t xml:space="preserve"> </w:t>
      </w:r>
      <w:r w:rsidR="002C48C1">
        <w:rPr>
          <w:rFonts w:ascii="Arial" w:hAnsi="Arial" w:cs="Arial"/>
          <w:lang w:val="en-US"/>
        </w:rPr>
        <w:t xml:space="preserve">line represents the mean SpO2 </w:t>
      </w:r>
      <w:r w:rsidR="00FD3468">
        <w:rPr>
          <w:rFonts w:ascii="Arial" w:hAnsi="Arial" w:cs="Arial"/>
          <w:lang w:val="en-US"/>
        </w:rPr>
        <w:t xml:space="preserve">across increasing values of BMI, with its </w:t>
      </w:r>
      <w:r w:rsidR="00E948CD">
        <w:rPr>
          <w:rFonts w:ascii="Arial" w:hAnsi="Arial" w:cs="Arial"/>
          <w:lang w:val="en-US"/>
        </w:rPr>
        <w:t xml:space="preserve">95% confidence interval (shaded area). </w:t>
      </w:r>
      <w:r w:rsidR="00F45641" w:rsidRPr="009E54F2">
        <w:rPr>
          <w:rFonts w:ascii="Arial" w:hAnsi="Arial" w:cs="Arial"/>
          <w:b/>
          <w:bCs/>
          <w:lang w:val="en-US"/>
        </w:rPr>
        <w:t>A)</w:t>
      </w:r>
      <w:r w:rsidR="00F45641">
        <w:rPr>
          <w:rFonts w:ascii="Arial" w:hAnsi="Arial" w:cs="Arial"/>
          <w:lang w:val="en-US"/>
        </w:rPr>
        <w:t xml:space="preserve"> </w:t>
      </w:r>
      <w:r w:rsidR="00241E8A">
        <w:rPr>
          <w:rFonts w:ascii="Arial" w:hAnsi="Arial" w:cs="Arial"/>
          <w:lang w:val="en-US"/>
        </w:rPr>
        <w:t>M</w:t>
      </w:r>
      <w:r w:rsidR="00F45641">
        <w:rPr>
          <w:rFonts w:ascii="Arial" w:hAnsi="Arial" w:cs="Arial"/>
          <w:lang w:val="en-US"/>
        </w:rPr>
        <w:t xml:space="preserve">odel including </w:t>
      </w:r>
      <w:r w:rsidR="00385CF8">
        <w:rPr>
          <w:rFonts w:ascii="Arial" w:hAnsi="Arial" w:cs="Arial"/>
          <w:lang w:val="en-US"/>
        </w:rPr>
        <w:t xml:space="preserve">only </w:t>
      </w:r>
      <w:r w:rsidR="00F45641">
        <w:rPr>
          <w:rFonts w:ascii="Arial" w:hAnsi="Arial" w:cs="Arial"/>
          <w:lang w:val="en-US"/>
        </w:rPr>
        <w:t>a smoothed term for BMI</w:t>
      </w:r>
      <w:r w:rsidR="00385CF8">
        <w:rPr>
          <w:rFonts w:ascii="Arial" w:hAnsi="Arial" w:cs="Arial"/>
          <w:lang w:val="en-US"/>
        </w:rPr>
        <w:sym w:font="Symbol" w:char="F0BE"/>
      </w:r>
      <w:r w:rsidR="00385CF8">
        <w:rPr>
          <w:rFonts w:ascii="Arial" w:hAnsi="Arial" w:cs="Arial"/>
          <w:lang w:val="en-US"/>
        </w:rPr>
        <w:t>s(BMI</w:t>
      </w:r>
      <w:r w:rsidR="001B5B73">
        <w:rPr>
          <w:rFonts w:ascii="Arial" w:hAnsi="Arial" w:cs="Arial"/>
          <w:lang w:val="en-US"/>
        </w:rPr>
        <w:t>)</w:t>
      </w:r>
      <w:r w:rsidR="00385CF8">
        <w:rPr>
          <w:rFonts w:ascii="Arial" w:hAnsi="Arial" w:cs="Arial"/>
          <w:lang w:val="en-US"/>
        </w:rPr>
        <w:sym w:font="Symbol" w:char="F0BE"/>
      </w:r>
      <w:r w:rsidR="001D2409">
        <w:rPr>
          <w:rFonts w:ascii="Arial" w:hAnsi="Arial" w:cs="Arial"/>
          <w:lang w:val="en-US"/>
        </w:rPr>
        <w:t>(p</w:t>
      </w:r>
      <w:r w:rsidR="00991EB9" w:rsidRPr="00991EB9">
        <w:rPr>
          <w:rFonts w:ascii="Arial" w:hAnsi="Arial" w:cs="Arial"/>
          <w:lang w:val="en-US"/>
        </w:rPr>
        <w:t>&lt;0.001</w:t>
      </w:r>
      <w:r w:rsidR="001D2409">
        <w:rPr>
          <w:rFonts w:ascii="Arial" w:hAnsi="Arial" w:cs="Arial"/>
          <w:lang w:val="en-US"/>
        </w:rPr>
        <w:t>)</w:t>
      </w:r>
      <w:r w:rsidR="009E54F2">
        <w:rPr>
          <w:rFonts w:ascii="Arial" w:hAnsi="Arial" w:cs="Arial"/>
          <w:lang w:val="en-US"/>
        </w:rPr>
        <w:t>.</w:t>
      </w:r>
      <w:r w:rsidR="00385CF8">
        <w:rPr>
          <w:rFonts w:ascii="Arial" w:hAnsi="Arial" w:cs="Arial"/>
          <w:lang w:val="en-US"/>
        </w:rPr>
        <w:t xml:space="preserve"> </w:t>
      </w:r>
      <w:r w:rsidR="00385CF8" w:rsidRPr="009E54F2">
        <w:rPr>
          <w:rFonts w:ascii="Arial" w:hAnsi="Arial" w:cs="Arial"/>
          <w:b/>
          <w:bCs/>
          <w:lang w:val="en-US"/>
        </w:rPr>
        <w:t>B)</w:t>
      </w:r>
      <w:r w:rsidR="00F45641">
        <w:rPr>
          <w:rFonts w:ascii="Arial" w:hAnsi="Arial" w:cs="Arial"/>
          <w:lang w:val="en-US"/>
        </w:rPr>
        <w:t xml:space="preserve"> </w:t>
      </w:r>
      <w:r w:rsidR="00241E8A">
        <w:rPr>
          <w:rFonts w:ascii="Arial" w:hAnsi="Arial" w:cs="Arial"/>
          <w:lang w:val="en-US"/>
        </w:rPr>
        <w:t>M</w:t>
      </w:r>
      <w:r w:rsidR="001B5B73">
        <w:rPr>
          <w:rFonts w:ascii="Arial" w:hAnsi="Arial" w:cs="Arial"/>
          <w:lang w:val="en-US"/>
        </w:rPr>
        <w:t xml:space="preserve">odel including terms for s(BMI) </w:t>
      </w:r>
      <w:r w:rsidR="00991EB9">
        <w:rPr>
          <w:rFonts w:ascii="Arial" w:hAnsi="Arial" w:cs="Arial"/>
          <w:lang w:val="en-US"/>
        </w:rPr>
        <w:t>(p</w:t>
      </w:r>
      <w:r w:rsidR="00991EB9" w:rsidRPr="00991EB9">
        <w:rPr>
          <w:rFonts w:ascii="Arial" w:hAnsi="Arial" w:cs="Arial"/>
          <w:lang w:val="en-US"/>
        </w:rPr>
        <w:t>&lt;0.001</w:t>
      </w:r>
      <w:r w:rsidR="00991EB9">
        <w:rPr>
          <w:rFonts w:ascii="Arial" w:hAnsi="Arial" w:cs="Arial"/>
          <w:lang w:val="en-US"/>
        </w:rPr>
        <w:t>)</w:t>
      </w:r>
      <w:r w:rsidR="00991EB9">
        <w:rPr>
          <w:rFonts w:ascii="Arial" w:hAnsi="Arial" w:cs="Arial"/>
          <w:lang w:val="en-US"/>
        </w:rPr>
        <w:t xml:space="preserve"> </w:t>
      </w:r>
      <w:r w:rsidR="001B5B73">
        <w:rPr>
          <w:rFonts w:ascii="Arial" w:hAnsi="Arial" w:cs="Arial"/>
          <w:lang w:val="en-US"/>
        </w:rPr>
        <w:t>and obstructive sleep apnea</w:t>
      </w:r>
      <w:r w:rsidR="00576C02">
        <w:rPr>
          <w:rFonts w:ascii="Arial" w:hAnsi="Arial" w:cs="Arial"/>
          <w:lang w:val="en-US"/>
        </w:rPr>
        <w:t xml:space="preserve"> (OSA)</w:t>
      </w:r>
      <w:r w:rsidR="001B5B73">
        <w:rPr>
          <w:rFonts w:ascii="Arial" w:hAnsi="Arial" w:cs="Arial"/>
          <w:lang w:val="en-US"/>
        </w:rPr>
        <w:t>.</w:t>
      </w:r>
      <w:r w:rsidR="009E54F2">
        <w:rPr>
          <w:rFonts w:ascii="Arial" w:hAnsi="Arial" w:cs="Arial"/>
          <w:lang w:val="en-US"/>
        </w:rPr>
        <w:t xml:space="preserve"> </w:t>
      </w:r>
      <w:r w:rsidR="009E54F2" w:rsidRPr="009E54F2">
        <w:rPr>
          <w:rFonts w:ascii="Arial" w:hAnsi="Arial" w:cs="Arial"/>
          <w:b/>
          <w:bCs/>
          <w:lang w:val="en-US"/>
        </w:rPr>
        <w:t>C)</w:t>
      </w:r>
      <w:r w:rsidR="009E54F2">
        <w:rPr>
          <w:rFonts w:ascii="Arial" w:hAnsi="Arial" w:cs="Arial"/>
          <w:lang w:val="en-US"/>
        </w:rPr>
        <w:t xml:space="preserve"> </w:t>
      </w:r>
      <w:r w:rsidR="00241E8A">
        <w:rPr>
          <w:rFonts w:ascii="Arial" w:hAnsi="Arial" w:cs="Arial"/>
          <w:lang w:val="en-US"/>
        </w:rPr>
        <w:t>M</w:t>
      </w:r>
      <w:r w:rsidR="009E54F2">
        <w:rPr>
          <w:rFonts w:ascii="Arial" w:hAnsi="Arial" w:cs="Arial"/>
          <w:lang w:val="en-US"/>
        </w:rPr>
        <w:t xml:space="preserve">odel including </w:t>
      </w:r>
      <w:r w:rsidR="00576C02">
        <w:rPr>
          <w:rFonts w:ascii="Arial" w:hAnsi="Arial" w:cs="Arial"/>
          <w:lang w:val="en-US"/>
        </w:rPr>
        <w:t xml:space="preserve">s(BMI) </w:t>
      </w:r>
      <w:r w:rsidR="00991EB9">
        <w:rPr>
          <w:rFonts w:ascii="Arial" w:hAnsi="Arial" w:cs="Arial"/>
          <w:lang w:val="en-US"/>
        </w:rPr>
        <w:t>(p</w:t>
      </w:r>
      <w:r w:rsidR="00991EB9">
        <w:rPr>
          <w:rFonts w:ascii="Arial" w:hAnsi="Arial" w:cs="Arial"/>
          <w:lang w:val="en-US"/>
        </w:rPr>
        <w:t>=0.2</w:t>
      </w:r>
      <w:r w:rsidR="00991EB9">
        <w:rPr>
          <w:rFonts w:ascii="Arial" w:hAnsi="Arial" w:cs="Arial"/>
          <w:lang w:val="en-US"/>
        </w:rPr>
        <w:t>)</w:t>
      </w:r>
      <w:r w:rsidR="00991EB9">
        <w:rPr>
          <w:rFonts w:ascii="Arial" w:hAnsi="Arial" w:cs="Arial"/>
          <w:lang w:val="en-US"/>
        </w:rPr>
        <w:t xml:space="preserve"> </w:t>
      </w:r>
      <w:r w:rsidR="00576C02">
        <w:rPr>
          <w:rFonts w:ascii="Arial" w:hAnsi="Arial" w:cs="Arial"/>
          <w:lang w:val="en-US"/>
        </w:rPr>
        <w:t xml:space="preserve">and atelectasis percent as predictors. </w:t>
      </w:r>
      <w:r w:rsidR="00576C02" w:rsidRPr="001D2409">
        <w:rPr>
          <w:rFonts w:ascii="Arial" w:hAnsi="Arial" w:cs="Arial"/>
          <w:b/>
          <w:bCs/>
          <w:lang w:val="en-US"/>
        </w:rPr>
        <w:t>D)</w:t>
      </w:r>
      <w:r w:rsidR="00576C02">
        <w:rPr>
          <w:rFonts w:ascii="Arial" w:hAnsi="Arial" w:cs="Arial"/>
          <w:lang w:val="en-US"/>
        </w:rPr>
        <w:t xml:space="preserve"> </w:t>
      </w:r>
      <w:r w:rsidR="00241E8A">
        <w:rPr>
          <w:rFonts w:ascii="Arial" w:hAnsi="Arial" w:cs="Arial"/>
          <w:lang w:val="en-US"/>
        </w:rPr>
        <w:t>M</w:t>
      </w:r>
      <w:r w:rsidR="001D2409">
        <w:rPr>
          <w:rFonts w:ascii="Arial" w:hAnsi="Arial" w:cs="Arial"/>
          <w:lang w:val="en-US"/>
        </w:rPr>
        <w:t xml:space="preserve">odel including s(BMI) </w:t>
      </w:r>
      <w:r w:rsidR="00241E8A">
        <w:rPr>
          <w:rFonts w:ascii="Arial" w:hAnsi="Arial" w:cs="Arial"/>
          <w:lang w:val="en-US"/>
        </w:rPr>
        <w:t>(p=0.</w:t>
      </w:r>
      <w:r w:rsidR="00241E8A">
        <w:rPr>
          <w:rFonts w:ascii="Arial" w:hAnsi="Arial" w:cs="Arial"/>
          <w:lang w:val="en-US"/>
        </w:rPr>
        <w:t>3</w:t>
      </w:r>
      <w:r w:rsidR="00991EB9">
        <w:rPr>
          <w:rFonts w:ascii="Arial" w:hAnsi="Arial" w:cs="Arial"/>
          <w:lang w:val="en-US"/>
        </w:rPr>
        <w:t xml:space="preserve">) </w:t>
      </w:r>
      <w:r w:rsidR="001D2409">
        <w:rPr>
          <w:rFonts w:ascii="Arial" w:hAnsi="Arial" w:cs="Arial"/>
          <w:lang w:val="en-US"/>
        </w:rPr>
        <w:t xml:space="preserve">adjusted for age, sex, OSA, mean altitude at the place of residence, hemoglobin, and atelectasis percentage. </w:t>
      </w:r>
      <w:r w:rsidR="009E54F2">
        <w:rPr>
          <w:rFonts w:ascii="Arial" w:hAnsi="Arial" w:cs="Arial"/>
          <w:lang w:val="en-US"/>
        </w:rPr>
        <w:t xml:space="preserve"> </w:t>
      </w:r>
      <w:r w:rsidR="00132462">
        <w:rPr>
          <w:rFonts w:ascii="Arial" w:hAnsi="Arial" w:cs="Arial"/>
          <w:lang w:val="en-US"/>
        </w:rPr>
        <w:br w:type="page"/>
      </w:r>
    </w:p>
    <w:p w14:paraId="41671188" w14:textId="77777777" w:rsidR="00002015" w:rsidRDefault="00132462" w:rsidP="00002015">
      <w:pPr>
        <w:jc w:val="both"/>
        <w:rPr>
          <w:rFonts w:ascii="Arial" w:hAnsi="Arial" w:cs="Arial"/>
          <w:lang w:val="en-US"/>
        </w:rPr>
      </w:pPr>
      <w:r w:rsidRPr="007074C6">
        <w:rPr>
          <w:rFonts w:ascii="Arial" w:hAnsi="Arial" w:cs="Arial"/>
          <w:b/>
          <w:bCs/>
          <w:lang w:val="en-US"/>
        </w:rPr>
        <w:lastRenderedPageBreak/>
        <w:t>Supplementary Figure 1</w:t>
      </w:r>
      <w:r>
        <w:rPr>
          <w:rFonts w:ascii="Arial" w:hAnsi="Arial" w:cs="Arial"/>
          <w:lang w:val="en-US"/>
        </w:rPr>
        <w:t xml:space="preserve">. </w:t>
      </w:r>
      <w:r w:rsidR="00002015">
        <w:rPr>
          <w:rFonts w:ascii="Arial" w:hAnsi="Arial" w:cs="Arial"/>
          <w:lang w:val="en-US"/>
        </w:rPr>
        <w:t>Directed acyclic graph (DAG).</w:t>
      </w:r>
    </w:p>
    <w:p w14:paraId="283B53AE" w14:textId="77777777" w:rsidR="008D6D32" w:rsidRDefault="00BD6041">
      <w:pPr>
        <w:rPr>
          <w:rFonts w:ascii="Arial" w:hAnsi="Arial" w:cs="Arial"/>
          <w:lang w:val="en-US"/>
        </w:rPr>
      </w:pPr>
      <w:r>
        <w:rPr>
          <w:rFonts w:ascii="Arial" w:hAnsi="Arial" w:cs="Arial"/>
          <w:noProof/>
          <w:lang w:val="en-US"/>
        </w:rPr>
        <w:drawing>
          <wp:inline distT="0" distB="0" distL="0" distR="0" wp14:anchorId="17FC349A" wp14:editId="26137D65">
            <wp:extent cx="5407124" cy="3505200"/>
            <wp:effectExtent l="0" t="0" r="3175" b="0"/>
            <wp:docPr id="181291607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916073" name="Imagen 5"/>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407124" cy="3505200"/>
                    </a:xfrm>
                    <a:prstGeom prst="rect">
                      <a:avLst/>
                    </a:prstGeom>
                    <a:noFill/>
                    <a:ln>
                      <a:noFill/>
                    </a:ln>
                  </pic:spPr>
                </pic:pic>
              </a:graphicData>
            </a:graphic>
          </wp:inline>
        </w:drawing>
      </w:r>
    </w:p>
    <w:p w14:paraId="3ADD3316" w14:textId="117EE3A1" w:rsidR="007922E8" w:rsidRDefault="00F205CF" w:rsidP="00051C5D">
      <w:pPr>
        <w:jc w:val="both"/>
        <w:rPr>
          <w:rFonts w:ascii="Arial" w:hAnsi="Arial" w:cs="Arial"/>
          <w:lang w:val="en-US"/>
        </w:rPr>
      </w:pPr>
      <w:r>
        <w:rPr>
          <w:rFonts w:ascii="Arial" w:hAnsi="Arial" w:cs="Arial"/>
          <w:lang w:val="en-US"/>
        </w:rPr>
        <w:t>Each circle (node) is used to present a variable</w:t>
      </w:r>
      <w:r w:rsidR="0075266C">
        <w:rPr>
          <w:rFonts w:ascii="Arial" w:hAnsi="Arial" w:cs="Arial"/>
          <w:lang w:val="en-US"/>
        </w:rPr>
        <w:t>.</w:t>
      </w:r>
      <w:r w:rsidR="00C03A96">
        <w:rPr>
          <w:rFonts w:ascii="Arial" w:hAnsi="Arial" w:cs="Arial"/>
          <w:lang w:val="en-US"/>
        </w:rPr>
        <w:t xml:space="preserve"> </w:t>
      </w:r>
      <w:r w:rsidR="00B32CEA">
        <w:rPr>
          <w:rFonts w:ascii="Arial" w:hAnsi="Arial" w:cs="Arial"/>
          <w:lang w:val="en-US"/>
        </w:rPr>
        <w:t xml:space="preserve">The node in green </w:t>
      </w:r>
      <w:r w:rsidR="00673080">
        <w:rPr>
          <w:rFonts w:ascii="Arial" w:hAnsi="Arial" w:cs="Arial"/>
          <w:lang w:val="en-US"/>
        </w:rPr>
        <w:t xml:space="preserve">with an </w:t>
      </w:r>
      <w:r w:rsidR="00B200C9">
        <w:rPr>
          <w:rFonts w:ascii="Arial" w:hAnsi="Arial" w:cs="Arial"/>
          <w:lang w:val="en-US"/>
        </w:rPr>
        <w:t>arrowhead</w:t>
      </w:r>
      <w:r w:rsidR="00673080">
        <w:rPr>
          <w:rFonts w:ascii="Arial" w:hAnsi="Arial" w:cs="Arial"/>
          <w:lang w:val="en-US"/>
        </w:rPr>
        <w:t xml:space="preserve"> inside </w:t>
      </w:r>
      <w:r w:rsidR="00B32CEA">
        <w:rPr>
          <w:rFonts w:ascii="Arial" w:hAnsi="Arial" w:cs="Arial"/>
          <w:lang w:val="en-US"/>
        </w:rPr>
        <w:t>is the exposure of interest</w:t>
      </w:r>
      <w:r w:rsidR="003022D5">
        <w:rPr>
          <w:rFonts w:ascii="Arial" w:hAnsi="Arial" w:cs="Arial"/>
          <w:lang w:val="en-US"/>
        </w:rPr>
        <w:t xml:space="preserve"> (obesity class)</w:t>
      </w:r>
      <w:r w:rsidR="00B32CEA">
        <w:rPr>
          <w:rFonts w:ascii="Arial" w:hAnsi="Arial" w:cs="Arial"/>
          <w:lang w:val="en-US"/>
        </w:rPr>
        <w:t xml:space="preserve">, while </w:t>
      </w:r>
      <w:r w:rsidR="009E40AD">
        <w:rPr>
          <w:rFonts w:ascii="Arial" w:hAnsi="Arial" w:cs="Arial"/>
          <w:lang w:val="en-US"/>
        </w:rPr>
        <w:t xml:space="preserve">nodes filled in blue </w:t>
      </w:r>
      <w:r w:rsidR="00B200C9">
        <w:rPr>
          <w:rFonts w:ascii="Arial" w:hAnsi="Arial" w:cs="Arial"/>
          <w:lang w:val="en-US"/>
        </w:rPr>
        <w:t xml:space="preserve">with an “I” inside </w:t>
      </w:r>
      <w:r w:rsidR="009E40AD">
        <w:rPr>
          <w:rFonts w:ascii="Arial" w:hAnsi="Arial" w:cs="Arial"/>
          <w:lang w:val="en-US"/>
        </w:rPr>
        <w:t>are the outcomes of interest</w:t>
      </w:r>
      <w:r w:rsidR="003022D5">
        <w:rPr>
          <w:rFonts w:ascii="Arial" w:hAnsi="Arial" w:cs="Arial"/>
          <w:lang w:val="en-US"/>
        </w:rPr>
        <w:t xml:space="preserve"> (atelectasis and </w:t>
      </w:r>
      <w:r w:rsidR="00263FBB">
        <w:rPr>
          <w:rFonts w:ascii="Arial" w:hAnsi="Arial" w:cs="Arial"/>
          <w:lang w:val="en-US"/>
        </w:rPr>
        <w:t>SpO2 during the preoperative assessment</w:t>
      </w:r>
      <w:r w:rsidR="003022D5">
        <w:rPr>
          <w:rFonts w:ascii="Arial" w:hAnsi="Arial" w:cs="Arial"/>
          <w:lang w:val="en-US"/>
        </w:rPr>
        <w:t>)</w:t>
      </w:r>
      <w:r w:rsidR="009E40AD">
        <w:rPr>
          <w:rFonts w:ascii="Arial" w:hAnsi="Arial" w:cs="Arial"/>
          <w:lang w:val="en-US"/>
        </w:rPr>
        <w:t xml:space="preserve">. </w:t>
      </w:r>
      <w:r w:rsidR="00C10D68">
        <w:rPr>
          <w:rFonts w:ascii="Arial" w:hAnsi="Arial" w:cs="Arial"/>
          <w:lang w:val="en-US"/>
        </w:rPr>
        <w:t xml:space="preserve">White nodes </w:t>
      </w:r>
      <w:r w:rsidR="003022D5">
        <w:rPr>
          <w:rFonts w:ascii="Arial" w:hAnsi="Arial" w:cs="Arial"/>
          <w:lang w:val="en-US"/>
        </w:rPr>
        <w:t xml:space="preserve">(age, sex, and sleep apnea) </w:t>
      </w:r>
      <w:r w:rsidR="00146B80">
        <w:rPr>
          <w:rFonts w:ascii="Arial" w:hAnsi="Arial" w:cs="Arial"/>
          <w:lang w:val="en-US"/>
        </w:rPr>
        <w:t xml:space="preserve">correspond to the minimal set of confounders needed to adjust for </w:t>
      </w:r>
      <w:r w:rsidR="002C4B78">
        <w:rPr>
          <w:rFonts w:ascii="Arial" w:hAnsi="Arial" w:cs="Arial"/>
          <w:lang w:val="en-US"/>
        </w:rPr>
        <w:t xml:space="preserve">to remove biasing pathways. </w:t>
      </w:r>
      <w:r w:rsidR="007922E8">
        <w:rPr>
          <w:rFonts w:ascii="Arial" w:hAnsi="Arial" w:cs="Arial"/>
          <w:lang w:val="en-US"/>
        </w:rPr>
        <w:t>The blue node</w:t>
      </w:r>
      <w:r w:rsidR="00131E0F">
        <w:rPr>
          <w:rFonts w:ascii="Arial" w:hAnsi="Arial" w:cs="Arial"/>
          <w:lang w:val="en-US"/>
        </w:rPr>
        <w:t xml:space="preserve"> (hemoglobin)</w:t>
      </w:r>
      <w:r w:rsidR="007922E8">
        <w:rPr>
          <w:rFonts w:ascii="Arial" w:hAnsi="Arial" w:cs="Arial"/>
          <w:lang w:val="en-US"/>
        </w:rPr>
        <w:t xml:space="preserve"> is an ancestor of </w:t>
      </w:r>
      <w:r w:rsidR="00131E0F">
        <w:rPr>
          <w:rFonts w:ascii="Arial" w:hAnsi="Arial" w:cs="Arial"/>
          <w:lang w:val="en-US"/>
        </w:rPr>
        <w:t xml:space="preserve">the Spo2 outcome. The pink node </w:t>
      </w:r>
      <w:r w:rsidR="00310651">
        <w:rPr>
          <w:rFonts w:ascii="Arial" w:hAnsi="Arial" w:cs="Arial"/>
          <w:lang w:val="en-US"/>
        </w:rPr>
        <w:t xml:space="preserve">(altitude category) </w:t>
      </w:r>
      <w:r w:rsidR="00131E0F">
        <w:rPr>
          <w:rFonts w:ascii="Arial" w:hAnsi="Arial" w:cs="Arial"/>
          <w:lang w:val="en-US"/>
        </w:rPr>
        <w:t xml:space="preserve">is </w:t>
      </w:r>
      <w:r w:rsidR="00310651">
        <w:rPr>
          <w:rFonts w:ascii="Arial" w:hAnsi="Arial" w:cs="Arial"/>
          <w:lang w:val="en-US"/>
        </w:rPr>
        <w:t xml:space="preserve">a covariate for which no biasing pathways are latent. </w:t>
      </w:r>
    </w:p>
    <w:p w14:paraId="2BBACC86" w14:textId="4A3E719D" w:rsidR="00992A41" w:rsidRDefault="0075266C" w:rsidP="00051C5D">
      <w:pPr>
        <w:jc w:val="both"/>
        <w:rPr>
          <w:rFonts w:ascii="Arial" w:hAnsi="Arial" w:cs="Arial"/>
          <w:lang w:val="en-US"/>
        </w:rPr>
      </w:pPr>
      <w:r>
        <w:rPr>
          <w:rFonts w:ascii="Arial" w:hAnsi="Arial" w:cs="Arial"/>
          <w:lang w:val="en-US"/>
        </w:rPr>
        <w:t xml:space="preserve">Black arrows show the direction of association between variables, while green arrows present </w:t>
      </w:r>
      <w:r w:rsidR="00263FBB">
        <w:rPr>
          <w:rFonts w:ascii="Arial" w:hAnsi="Arial" w:cs="Arial"/>
          <w:lang w:val="en-US"/>
        </w:rPr>
        <w:t xml:space="preserve">the </w:t>
      </w:r>
      <w:r w:rsidR="00367594">
        <w:rPr>
          <w:rFonts w:ascii="Arial" w:hAnsi="Arial" w:cs="Arial"/>
          <w:lang w:val="en-US"/>
        </w:rPr>
        <w:t xml:space="preserve">potential </w:t>
      </w:r>
      <w:r w:rsidR="00263FBB">
        <w:rPr>
          <w:rFonts w:ascii="Arial" w:hAnsi="Arial" w:cs="Arial"/>
          <w:lang w:val="en-US"/>
        </w:rPr>
        <w:t>causal path</w:t>
      </w:r>
      <w:r w:rsidR="00634E9F">
        <w:rPr>
          <w:rFonts w:ascii="Arial" w:hAnsi="Arial" w:cs="Arial"/>
          <w:lang w:val="en-US"/>
        </w:rPr>
        <w:t>s</w:t>
      </w:r>
      <w:r w:rsidR="00263FBB">
        <w:rPr>
          <w:rFonts w:ascii="Arial" w:hAnsi="Arial" w:cs="Arial"/>
          <w:lang w:val="en-US"/>
        </w:rPr>
        <w:t xml:space="preserve"> </w:t>
      </w:r>
      <w:r w:rsidR="00634E9F">
        <w:rPr>
          <w:rFonts w:ascii="Arial" w:hAnsi="Arial" w:cs="Arial"/>
          <w:lang w:val="en-US"/>
        </w:rPr>
        <w:t xml:space="preserve">between </w:t>
      </w:r>
      <w:r w:rsidR="00A04657">
        <w:rPr>
          <w:rFonts w:ascii="Arial" w:hAnsi="Arial" w:cs="Arial"/>
          <w:lang w:val="en-US"/>
        </w:rPr>
        <w:t>exposure</w:t>
      </w:r>
      <w:r w:rsidR="00EE5379">
        <w:rPr>
          <w:rFonts w:ascii="Arial" w:hAnsi="Arial" w:cs="Arial"/>
          <w:lang w:val="en-US"/>
        </w:rPr>
        <w:t xml:space="preserve"> </w:t>
      </w:r>
      <w:r w:rsidR="00634E9F">
        <w:rPr>
          <w:rFonts w:ascii="Arial" w:hAnsi="Arial" w:cs="Arial"/>
          <w:lang w:val="en-US"/>
        </w:rPr>
        <w:t xml:space="preserve">and outcome variables. </w:t>
      </w:r>
    </w:p>
    <w:p w14:paraId="12E37B81" w14:textId="20500C58" w:rsidR="00132462" w:rsidRDefault="00992A41" w:rsidP="00051C5D">
      <w:pPr>
        <w:jc w:val="both"/>
        <w:rPr>
          <w:rFonts w:ascii="Arial" w:hAnsi="Arial" w:cs="Arial"/>
          <w:lang w:val="en-US"/>
        </w:rPr>
      </w:pPr>
      <w:r>
        <w:rPr>
          <w:rFonts w:ascii="Arial" w:hAnsi="Arial" w:cs="Arial"/>
          <w:lang w:val="en-US"/>
        </w:rPr>
        <w:t xml:space="preserve">This figure was generated in </w:t>
      </w:r>
      <w:hyperlink r:id="rId15" w:history="1">
        <w:r w:rsidR="0088339E" w:rsidRPr="00451843">
          <w:rPr>
            <w:rStyle w:val="Hipervnculo"/>
            <w:rFonts w:ascii="Arial" w:hAnsi="Arial" w:cs="Arial"/>
            <w:lang w:val="en-US"/>
          </w:rPr>
          <w:t>https://www.dagitty.net/dags.html</w:t>
        </w:r>
      </w:hyperlink>
      <w:r w:rsidR="0088339E">
        <w:rPr>
          <w:rFonts w:ascii="Arial" w:hAnsi="Arial" w:cs="Arial"/>
          <w:lang w:val="en-US"/>
        </w:rPr>
        <w:t xml:space="preserve">; the model code is available at </w:t>
      </w:r>
      <w:hyperlink r:id="rId16" w:history="1">
        <w:r w:rsidR="0088339E" w:rsidRPr="00451843">
          <w:rPr>
            <w:rStyle w:val="Hipervnculo"/>
            <w:rFonts w:ascii="Arial" w:hAnsi="Arial" w:cs="Arial"/>
            <w:lang w:val="en-US"/>
          </w:rPr>
          <w:t>https://github.com/javimangal/preoperative_atelectasis</w:t>
        </w:r>
      </w:hyperlink>
      <w:r w:rsidR="0088339E">
        <w:rPr>
          <w:rFonts w:ascii="Arial" w:hAnsi="Arial" w:cs="Arial"/>
          <w:lang w:val="en-US"/>
        </w:rPr>
        <w:t xml:space="preserve">. </w:t>
      </w:r>
      <w:r w:rsidR="00132462">
        <w:rPr>
          <w:rFonts w:ascii="Arial" w:hAnsi="Arial" w:cs="Arial"/>
          <w:lang w:val="en-US"/>
        </w:rPr>
        <w:br w:type="page"/>
      </w:r>
    </w:p>
    <w:p w14:paraId="59CB56FF" w14:textId="25C89A61" w:rsidR="00002015" w:rsidRPr="007074C6" w:rsidRDefault="00132462" w:rsidP="00002015">
      <w:pPr>
        <w:rPr>
          <w:rFonts w:ascii="Arial" w:hAnsi="Arial" w:cs="Arial"/>
          <w:lang w:val="en-US"/>
        </w:rPr>
      </w:pPr>
      <w:r w:rsidRPr="007074C6">
        <w:rPr>
          <w:rFonts w:ascii="Arial" w:hAnsi="Arial" w:cs="Arial"/>
          <w:b/>
          <w:bCs/>
          <w:lang w:val="en-US"/>
        </w:rPr>
        <w:lastRenderedPageBreak/>
        <w:t>Supplementary Figure 2</w:t>
      </w:r>
      <w:r>
        <w:rPr>
          <w:rFonts w:ascii="Arial" w:hAnsi="Arial" w:cs="Arial"/>
          <w:lang w:val="en-US"/>
        </w:rPr>
        <w:t>.</w:t>
      </w:r>
      <w:r w:rsidR="00002015" w:rsidRPr="00002015">
        <w:rPr>
          <w:rFonts w:ascii="Arial" w:hAnsi="Arial" w:cs="Arial"/>
          <w:lang w:val="en-US"/>
        </w:rPr>
        <w:t xml:space="preserve"> </w:t>
      </w:r>
      <w:r w:rsidR="00002015">
        <w:rPr>
          <w:rFonts w:ascii="Arial" w:hAnsi="Arial" w:cs="Arial"/>
          <w:lang w:val="en-US"/>
        </w:rPr>
        <w:t xml:space="preserve">State of residence of </w:t>
      </w:r>
      <w:r w:rsidR="00002015">
        <w:rPr>
          <w:rFonts w:ascii="Arial" w:hAnsi="Arial" w:cs="Arial"/>
          <w:lang w:val="en-US"/>
        </w:rPr>
        <w:t xml:space="preserve">participants.  </w:t>
      </w:r>
    </w:p>
    <w:p w14:paraId="514FAC2F" w14:textId="071A4C03" w:rsidR="000D723C" w:rsidRDefault="00BC4E34" w:rsidP="00B5060E">
      <w:pPr>
        <w:rPr>
          <w:rFonts w:ascii="Arial" w:hAnsi="Arial" w:cs="Arial"/>
          <w:lang w:val="en-US"/>
        </w:rPr>
      </w:pPr>
      <w:r>
        <w:rPr>
          <w:rFonts w:ascii="Arial" w:hAnsi="Arial" w:cs="Arial"/>
          <w:noProof/>
          <w:lang w:val="en-US"/>
        </w:rPr>
        <w:drawing>
          <wp:inline distT="0" distB="0" distL="0" distR="0" wp14:anchorId="29A4D592" wp14:editId="399483A5">
            <wp:extent cx="5607050" cy="3153965"/>
            <wp:effectExtent l="0" t="0" r="0" b="8890"/>
            <wp:docPr id="164536903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69037" name="Imagen 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07050" cy="3153965"/>
                    </a:xfrm>
                    <a:prstGeom prst="rect">
                      <a:avLst/>
                    </a:prstGeom>
                    <a:noFill/>
                    <a:ln>
                      <a:noFill/>
                    </a:ln>
                  </pic:spPr>
                </pic:pic>
              </a:graphicData>
            </a:graphic>
          </wp:inline>
        </w:drawing>
      </w:r>
    </w:p>
    <w:p w14:paraId="4EACEFF8" w14:textId="193BD172" w:rsidR="00002015" w:rsidRPr="007074C6" w:rsidRDefault="00727CF7">
      <w:pPr>
        <w:rPr>
          <w:rFonts w:ascii="Arial" w:hAnsi="Arial" w:cs="Arial"/>
          <w:lang w:val="en-US"/>
        </w:rPr>
      </w:pPr>
      <w:r>
        <w:rPr>
          <w:rFonts w:ascii="Arial" w:hAnsi="Arial" w:cs="Arial"/>
          <w:lang w:val="en-US"/>
        </w:rPr>
        <w:t>Absolute frequency of patients per state of residence in the USA and Canada.</w:t>
      </w:r>
    </w:p>
    <w:sectPr w:rsidR="00002015" w:rsidRPr="007074C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21E97" w14:textId="77777777" w:rsidR="0015364E" w:rsidRDefault="0015364E" w:rsidP="00E70007">
      <w:pPr>
        <w:spacing w:after="0" w:line="240" w:lineRule="auto"/>
      </w:pPr>
      <w:r>
        <w:separator/>
      </w:r>
    </w:p>
  </w:endnote>
  <w:endnote w:type="continuationSeparator" w:id="0">
    <w:p w14:paraId="1E6DF4A4" w14:textId="77777777" w:rsidR="0015364E" w:rsidRDefault="0015364E" w:rsidP="00E70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F5C1B" w14:textId="77777777" w:rsidR="0015364E" w:rsidRDefault="0015364E" w:rsidP="00E70007">
      <w:pPr>
        <w:spacing w:after="0" w:line="240" w:lineRule="auto"/>
      </w:pPr>
      <w:r>
        <w:separator/>
      </w:r>
    </w:p>
  </w:footnote>
  <w:footnote w:type="continuationSeparator" w:id="0">
    <w:p w14:paraId="6F31C9DB" w14:textId="77777777" w:rsidR="0015364E" w:rsidRDefault="0015364E" w:rsidP="00E700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C0EF5"/>
    <w:multiLevelType w:val="hybridMultilevel"/>
    <w:tmpl w:val="212CE33C"/>
    <w:lvl w:ilvl="0" w:tplc="BB58C99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0177E3E"/>
    <w:multiLevelType w:val="hybridMultilevel"/>
    <w:tmpl w:val="BD68E0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BBC2372"/>
    <w:multiLevelType w:val="hybridMultilevel"/>
    <w:tmpl w:val="34C017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50269CD"/>
    <w:multiLevelType w:val="hybridMultilevel"/>
    <w:tmpl w:val="35D8F034"/>
    <w:lvl w:ilvl="0" w:tplc="747294CE">
      <w:start w:val="1"/>
      <w:numFmt w:val="bullet"/>
      <w:lvlText w:val=""/>
      <w:lvlJc w:val="left"/>
      <w:pPr>
        <w:ind w:left="786" w:hanging="360"/>
      </w:pPr>
      <w:rPr>
        <w:rFonts w:ascii="Symbol" w:hAnsi="Symbol" w:hint="default"/>
      </w:rPr>
    </w:lvl>
    <w:lvl w:ilvl="1" w:tplc="080A0003" w:tentative="1">
      <w:start w:val="1"/>
      <w:numFmt w:val="bullet"/>
      <w:lvlText w:val="o"/>
      <w:lvlJc w:val="left"/>
      <w:pPr>
        <w:ind w:left="1506" w:hanging="360"/>
      </w:pPr>
      <w:rPr>
        <w:rFonts w:ascii="Courier New" w:hAnsi="Courier New" w:cs="Courier New" w:hint="default"/>
      </w:rPr>
    </w:lvl>
    <w:lvl w:ilvl="2" w:tplc="080A0005" w:tentative="1">
      <w:start w:val="1"/>
      <w:numFmt w:val="bullet"/>
      <w:lvlText w:val=""/>
      <w:lvlJc w:val="left"/>
      <w:pPr>
        <w:ind w:left="2226" w:hanging="360"/>
      </w:pPr>
      <w:rPr>
        <w:rFonts w:ascii="Wingdings" w:hAnsi="Wingdings" w:hint="default"/>
      </w:rPr>
    </w:lvl>
    <w:lvl w:ilvl="3" w:tplc="080A0001" w:tentative="1">
      <w:start w:val="1"/>
      <w:numFmt w:val="bullet"/>
      <w:lvlText w:val=""/>
      <w:lvlJc w:val="left"/>
      <w:pPr>
        <w:ind w:left="2946" w:hanging="360"/>
      </w:pPr>
      <w:rPr>
        <w:rFonts w:ascii="Symbol" w:hAnsi="Symbol" w:hint="default"/>
      </w:rPr>
    </w:lvl>
    <w:lvl w:ilvl="4" w:tplc="080A0003" w:tentative="1">
      <w:start w:val="1"/>
      <w:numFmt w:val="bullet"/>
      <w:lvlText w:val="o"/>
      <w:lvlJc w:val="left"/>
      <w:pPr>
        <w:ind w:left="3666" w:hanging="360"/>
      </w:pPr>
      <w:rPr>
        <w:rFonts w:ascii="Courier New" w:hAnsi="Courier New" w:cs="Courier New" w:hint="default"/>
      </w:rPr>
    </w:lvl>
    <w:lvl w:ilvl="5" w:tplc="080A0005" w:tentative="1">
      <w:start w:val="1"/>
      <w:numFmt w:val="bullet"/>
      <w:lvlText w:val=""/>
      <w:lvlJc w:val="left"/>
      <w:pPr>
        <w:ind w:left="4386" w:hanging="360"/>
      </w:pPr>
      <w:rPr>
        <w:rFonts w:ascii="Wingdings" w:hAnsi="Wingdings" w:hint="default"/>
      </w:rPr>
    </w:lvl>
    <w:lvl w:ilvl="6" w:tplc="080A0001" w:tentative="1">
      <w:start w:val="1"/>
      <w:numFmt w:val="bullet"/>
      <w:lvlText w:val=""/>
      <w:lvlJc w:val="left"/>
      <w:pPr>
        <w:ind w:left="5106" w:hanging="360"/>
      </w:pPr>
      <w:rPr>
        <w:rFonts w:ascii="Symbol" w:hAnsi="Symbol" w:hint="default"/>
      </w:rPr>
    </w:lvl>
    <w:lvl w:ilvl="7" w:tplc="080A0003" w:tentative="1">
      <w:start w:val="1"/>
      <w:numFmt w:val="bullet"/>
      <w:lvlText w:val="o"/>
      <w:lvlJc w:val="left"/>
      <w:pPr>
        <w:ind w:left="5826" w:hanging="360"/>
      </w:pPr>
      <w:rPr>
        <w:rFonts w:ascii="Courier New" w:hAnsi="Courier New" w:cs="Courier New" w:hint="default"/>
      </w:rPr>
    </w:lvl>
    <w:lvl w:ilvl="8" w:tplc="080A0005" w:tentative="1">
      <w:start w:val="1"/>
      <w:numFmt w:val="bullet"/>
      <w:lvlText w:val=""/>
      <w:lvlJc w:val="left"/>
      <w:pPr>
        <w:ind w:left="6546" w:hanging="360"/>
      </w:pPr>
      <w:rPr>
        <w:rFonts w:ascii="Wingdings" w:hAnsi="Wingdings" w:hint="default"/>
      </w:rPr>
    </w:lvl>
  </w:abstractNum>
  <w:abstractNum w:abstractNumId="4" w15:restartNumberingAfterBreak="0">
    <w:nsid w:val="40886584"/>
    <w:multiLevelType w:val="hybridMultilevel"/>
    <w:tmpl w:val="5A68CA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5283605"/>
    <w:multiLevelType w:val="hybridMultilevel"/>
    <w:tmpl w:val="2722C4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65F0B05"/>
    <w:multiLevelType w:val="hybridMultilevel"/>
    <w:tmpl w:val="AE0EFC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46314786">
    <w:abstractNumId w:val="6"/>
  </w:num>
  <w:num w:numId="2" w16cid:durableId="889807794">
    <w:abstractNumId w:val="3"/>
  </w:num>
  <w:num w:numId="3" w16cid:durableId="2058896537">
    <w:abstractNumId w:val="1"/>
  </w:num>
  <w:num w:numId="4" w16cid:durableId="1402175126">
    <w:abstractNumId w:val="5"/>
  </w:num>
  <w:num w:numId="5" w16cid:durableId="230115958">
    <w:abstractNumId w:val="0"/>
  </w:num>
  <w:num w:numId="6" w16cid:durableId="920258110">
    <w:abstractNumId w:val="4"/>
  </w:num>
  <w:num w:numId="7" w16cid:durableId="340207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BA8"/>
    <w:rsid w:val="00000B1C"/>
    <w:rsid w:val="00001E61"/>
    <w:rsid w:val="00002015"/>
    <w:rsid w:val="0000361A"/>
    <w:rsid w:val="000056CF"/>
    <w:rsid w:val="00014625"/>
    <w:rsid w:val="00015100"/>
    <w:rsid w:val="00015417"/>
    <w:rsid w:val="00030610"/>
    <w:rsid w:val="00030DFD"/>
    <w:rsid w:val="00032212"/>
    <w:rsid w:val="00032916"/>
    <w:rsid w:val="0003426A"/>
    <w:rsid w:val="000354B0"/>
    <w:rsid w:val="00036D80"/>
    <w:rsid w:val="00044500"/>
    <w:rsid w:val="00044B0C"/>
    <w:rsid w:val="00046871"/>
    <w:rsid w:val="00050E79"/>
    <w:rsid w:val="000518EB"/>
    <w:rsid w:val="00051C5D"/>
    <w:rsid w:val="0005545A"/>
    <w:rsid w:val="000564FD"/>
    <w:rsid w:val="00060ADA"/>
    <w:rsid w:val="00062F4B"/>
    <w:rsid w:val="0007133C"/>
    <w:rsid w:val="00072525"/>
    <w:rsid w:val="00075B16"/>
    <w:rsid w:val="000803B3"/>
    <w:rsid w:val="000826E6"/>
    <w:rsid w:val="000841E5"/>
    <w:rsid w:val="00086F55"/>
    <w:rsid w:val="00087CB0"/>
    <w:rsid w:val="00090044"/>
    <w:rsid w:val="0009028A"/>
    <w:rsid w:val="000936DC"/>
    <w:rsid w:val="000950FC"/>
    <w:rsid w:val="00095EBB"/>
    <w:rsid w:val="000A2BD6"/>
    <w:rsid w:val="000B1494"/>
    <w:rsid w:val="000B28A1"/>
    <w:rsid w:val="000C0255"/>
    <w:rsid w:val="000C1853"/>
    <w:rsid w:val="000C30C4"/>
    <w:rsid w:val="000C5FD4"/>
    <w:rsid w:val="000D1939"/>
    <w:rsid w:val="000D1C3B"/>
    <w:rsid w:val="000D3ACF"/>
    <w:rsid w:val="000D723C"/>
    <w:rsid w:val="000E53E7"/>
    <w:rsid w:val="000E54BF"/>
    <w:rsid w:val="000F197F"/>
    <w:rsid w:val="000F3311"/>
    <w:rsid w:val="000F4050"/>
    <w:rsid w:val="000F495A"/>
    <w:rsid w:val="000F56F3"/>
    <w:rsid w:val="000F6BA4"/>
    <w:rsid w:val="001001FC"/>
    <w:rsid w:val="0010234E"/>
    <w:rsid w:val="00103C93"/>
    <w:rsid w:val="001123CE"/>
    <w:rsid w:val="0011274C"/>
    <w:rsid w:val="00112E3B"/>
    <w:rsid w:val="00113E60"/>
    <w:rsid w:val="00114925"/>
    <w:rsid w:val="001153A4"/>
    <w:rsid w:val="00115421"/>
    <w:rsid w:val="001162FB"/>
    <w:rsid w:val="001237FB"/>
    <w:rsid w:val="0012442B"/>
    <w:rsid w:val="00126AEA"/>
    <w:rsid w:val="00127FA3"/>
    <w:rsid w:val="0013196F"/>
    <w:rsid w:val="00131E0F"/>
    <w:rsid w:val="00131E85"/>
    <w:rsid w:val="00132462"/>
    <w:rsid w:val="00132A4C"/>
    <w:rsid w:val="00133FE0"/>
    <w:rsid w:val="00134035"/>
    <w:rsid w:val="00136057"/>
    <w:rsid w:val="00141606"/>
    <w:rsid w:val="00143358"/>
    <w:rsid w:val="00146947"/>
    <w:rsid w:val="00146B6B"/>
    <w:rsid w:val="00146B80"/>
    <w:rsid w:val="00146F7F"/>
    <w:rsid w:val="0015364E"/>
    <w:rsid w:val="00156246"/>
    <w:rsid w:val="001606AC"/>
    <w:rsid w:val="00160D51"/>
    <w:rsid w:val="001621CD"/>
    <w:rsid w:val="00162F5B"/>
    <w:rsid w:val="00164445"/>
    <w:rsid w:val="00166950"/>
    <w:rsid w:val="00167E59"/>
    <w:rsid w:val="001707F2"/>
    <w:rsid w:val="0017235B"/>
    <w:rsid w:val="0017727B"/>
    <w:rsid w:val="00181F56"/>
    <w:rsid w:val="00183F6A"/>
    <w:rsid w:val="00191FE1"/>
    <w:rsid w:val="00193CAE"/>
    <w:rsid w:val="00194424"/>
    <w:rsid w:val="001A28DF"/>
    <w:rsid w:val="001A2F9C"/>
    <w:rsid w:val="001A3A6F"/>
    <w:rsid w:val="001A4962"/>
    <w:rsid w:val="001A4B2E"/>
    <w:rsid w:val="001A652C"/>
    <w:rsid w:val="001A7C2A"/>
    <w:rsid w:val="001B07B1"/>
    <w:rsid w:val="001B13CD"/>
    <w:rsid w:val="001B2168"/>
    <w:rsid w:val="001B2CC4"/>
    <w:rsid w:val="001B48A2"/>
    <w:rsid w:val="001B5B73"/>
    <w:rsid w:val="001C05CE"/>
    <w:rsid w:val="001C0D15"/>
    <w:rsid w:val="001C1FED"/>
    <w:rsid w:val="001C5A6E"/>
    <w:rsid w:val="001C5AB3"/>
    <w:rsid w:val="001D09AB"/>
    <w:rsid w:val="001D2409"/>
    <w:rsid w:val="001E0336"/>
    <w:rsid w:val="001E4371"/>
    <w:rsid w:val="001E7575"/>
    <w:rsid w:val="001F06FB"/>
    <w:rsid w:val="001F1A83"/>
    <w:rsid w:val="001F3D18"/>
    <w:rsid w:val="001F5499"/>
    <w:rsid w:val="002022A9"/>
    <w:rsid w:val="00202450"/>
    <w:rsid w:val="00203D4F"/>
    <w:rsid w:val="0021250F"/>
    <w:rsid w:val="00215209"/>
    <w:rsid w:val="00215862"/>
    <w:rsid w:val="00216998"/>
    <w:rsid w:val="00223556"/>
    <w:rsid w:val="00231711"/>
    <w:rsid w:val="00235201"/>
    <w:rsid w:val="00237185"/>
    <w:rsid w:val="00237769"/>
    <w:rsid w:val="00240178"/>
    <w:rsid w:val="002401D1"/>
    <w:rsid w:val="00241C4B"/>
    <w:rsid w:val="00241E8A"/>
    <w:rsid w:val="0024239F"/>
    <w:rsid w:val="00244531"/>
    <w:rsid w:val="002447E9"/>
    <w:rsid w:val="00244D71"/>
    <w:rsid w:val="0024559B"/>
    <w:rsid w:val="00245D79"/>
    <w:rsid w:val="00247204"/>
    <w:rsid w:val="002503EB"/>
    <w:rsid w:val="002525D2"/>
    <w:rsid w:val="00253F36"/>
    <w:rsid w:val="0025443F"/>
    <w:rsid w:val="002565CC"/>
    <w:rsid w:val="0026068F"/>
    <w:rsid w:val="00262ED9"/>
    <w:rsid w:val="00262EEE"/>
    <w:rsid w:val="00263CE0"/>
    <w:rsid w:val="00263FBB"/>
    <w:rsid w:val="00267C60"/>
    <w:rsid w:val="00272AE8"/>
    <w:rsid w:val="00274D3B"/>
    <w:rsid w:val="0028038B"/>
    <w:rsid w:val="00280FCC"/>
    <w:rsid w:val="002814E4"/>
    <w:rsid w:val="0028249B"/>
    <w:rsid w:val="002852E0"/>
    <w:rsid w:val="002905C7"/>
    <w:rsid w:val="00291257"/>
    <w:rsid w:val="002929EF"/>
    <w:rsid w:val="00293AAD"/>
    <w:rsid w:val="002A5768"/>
    <w:rsid w:val="002A6054"/>
    <w:rsid w:val="002A6510"/>
    <w:rsid w:val="002A6E9C"/>
    <w:rsid w:val="002B00C8"/>
    <w:rsid w:val="002B13AD"/>
    <w:rsid w:val="002B3260"/>
    <w:rsid w:val="002B332D"/>
    <w:rsid w:val="002B3A88"/>
    <w:rsid w:val="002C369B"/>
    <w:rsid w:val="002C48C1"/>
    <w:rsid w:val="002C4B78"/>
    <w:rsid w:val="002D0BA2"/>
    <w:rsid w:val="002D1321"/>
    <w:rsid w:val="002D3E91"/>
    <w:rsid w:val="002D574C"/>
    <w:rsid w:val="002E67EC"/>
    <w:rsid w:val="002F0C1D"/>
    <w:rsid w:val="002F23A3"/>
    <w:rsid w:val="002F5245"/>
    <w:rsid w:val="002F66A6"/>
    <w:rsid w:val="003022D5"/>
    <w:rsid w:val="00302C01"/>
    <w:rsid w:val="00303078"/>
    <w:rsid w:val="00305AB9"/>
    <w:rsid w:val="00310651"/>
    <w:rsid w:val="003109C9"/>
    <w:rsid w:val="00310BE7"/>
    <w:rsid w:val="00312D3C"/>
    <w:rsid w:val="0031456E"/>
    <w:rsid w:val="00315579"/>
    <w:rsid w:val="00324DF2"/>
    <w:rsid w:val="003319AB"/>
    <w:rsid w:val="0033213E"/>
    <w:rsid w:val="00333337"/>
    <w:rsid w:val="00334EC5"/>
    <w:rsid w:val="00335B41"/>
    <w:rsid w:val="00337B75"/>
    <w:rsid w:val="00337D47"/>
    <w:rsid w:val="003433E3"/>
    <w:rsid w:val="00345496"/>
    <w:rsid w:val="003455DB"/>
    <w:rsid w:val="00345A36"/>
    <w:rsid w:val="0034769A"/>
    <w:rsid w:val="00350D07"/>
    <w:rsid w:val="0035438E"/>
    <w:rsid w:val="00356947"/>
    <w:rsid w:val="00360578"/>
    <w:rsid w:val="00361DF6"/>
    <w:rsid w:val="00363E97"/>
    <w:rsid w:val="00365070"/>
    <w:rsid w:val="00367594"/>
    <w:rsid w:val="003725D9"/>
    <w:rsid w:val="00380425"/>
    <w:rsid w:val="00384947"/>
    <w:rsid w:val="00385CF8"/>
    <w:rsid w:val="003944A2"/>
    <w:rsid w:val="00395C36"/>
    <w:rsid w:val="003963D6"/>
    <w:rsid w:val="003A634A"/>
    <w:rsid w:val="003B2E3F"/>
    <w:rsid w:val="003B3076"/>
    <w:rsid w:val="003B35B3"/>
    <w:rsid w:val="003B54ED"/>
    <w:rsid w:val="003B568B"/>
    <w:rsid w:val="003B78ED"/>
    <w:rsid w:val="003D1454"/>
    <w:rsid w:val="003D6881"/>
    <w:rsid w:val="003D79E9"/>
    <w:rsid w:val="003D7C24"/>
    <w:rsid w:val="003E6F5A"/>
    <w:rsid w:val="003F17F1"/>
    <w:rsid w:val="003F2CB7"/>
    <w:rsid w:val="003F68CC"/>
    <w:rsid w:val="003F776F"/>
    <w:rsid w:val="004010AC"/>
    <w:rsid w:val="00405D47"/>
    <w:rsid w:val="004133ED"/>
    <w:rsid w:val="00417D6A"/>
    <w:rsid w:val="004226F2"/>
    <w:rsid w:val="00422A61"/>
    <w:rsid w:val="00423465"/>
    <w:rsid w:val="00423E65"/>
    <w:rsid w:val="00431F40"/>
    <w:rsid w:val="004338B0"/>
    <w:rsid w:val="00433A68"/>
    <w:rsid w:val="00433C4C"/>
    <w:rsid w:val="00433D52"/>
    <w:rsid w:val="004343E5"/>
    <w:rsid w:val="00435C30"/>
    <w:rsid w:val="00452532"/>
    <w:rsid w:val="004546E7"/>
    <w:rsid w:val="0045747F"/>
    <w:rsid w:val="004628AE"/>
    <w:rsid w:val="0046366D"/>
    <w:rsid w:val="0046414C"/>
    <w:rsid w:val="004648CF"/>
    <w:rsid w:val="00466F7D"/>
    <w:rsid w:val="00467AF6"/>
    <w:rsid w:val="00471E9D"/>
    <w:rsid w:val="00472112"/>
    <w:rsid w:val="00473AA3"/>
    <w:rsid w:val="00474639"/>
    <w:rsid w:val="0047581D"/>
    <w:rsid w:val="00480748"/>
    <w:rsid w:val="004816F4"/>
    <w:rsid w:val="00481A0C"/>
    <w:rsid w:val="00485D10"/>
    <w:rsid w:val="004875E6"/>
    <w:rsid w:val="00487A00"/>
    <w:rsid w:val="00490241"/>
    <w:rsid w:val="00491BC6"/>
    <w:rsid w:val="00491CB6"/>
    <w:rsid w:val="00497C55"/>
    <w:rsid w:val="004A6D2F"/>
    <w:rsid w:val="004B5329"/>
    <w:rsid w:val="004B56F1"/>
    <w:rsid w:val="004B7351"/>
    <w:rsid w:val="004C3BA8"/>
    <w:rsid w:val="004C7513"/>
    <w:rsid w:val="004D4693"/>
    <w:rsid w:val="004D4F34"/>
    <w:rsid w:val="004E0792"/>
    <w:rsid w:val="004E2766"/>
    <w:rsid w:val="004E3812"/>
    <w:rsid w:val="004E4A77"/>
    <w:rsid w:val="004E59C9"/>
    <w:rsid w:val="004E6B3D"/>
    <w:rsid w:val="004F146E"/>
    <w:rsid w:val="004F2115"/>
    <w:rsid w:val="004F380B"/>
    <w:rsid w:val="004F4896"/>
    <w:rsid w:val="00501681"/>
    <w:rsid w:val="00501D42"/>
    <w:rsid w:val="00501E35"/>
    <w:rsid w:val="0050202D"/>
    <w:rsid w:val="00507A32"/>
    <w:rsid w:val="005111C7"/>
    <w:rsid w:val="005115F7"/>
    <w:rsid w:val="005117AC"/>
    <w:rsid w:val="00514FFA"/>
    <w:rsid w:val="00516EB6"/>
    <w:rsid w:val="005206A9"/>
    <w:rsid w:val="005216FE"/>
    <w:rsid w:val="00524027"/>
    <w:rsid w:val="0053088F"/>
    <w:rsid w:val="00530938"/>
    <w:rsid w:val="00535F61"/>
    <w:rsid w:val="005459DF"/>
    <w:rsid w:val="00546957"/>
    <w:rsid w:val="005513E8"/>
    <w:rsid w:val="005605E0"/>
    <w:rsid w:val="005629F9"/>
    <w:rsid w:val="00563B64"/>
    <w:rsid w:val="00564B26"/>
    <w:rsid w:val="005667E7"/>
    <w:rsid w:val="005710CB"/>
    <w:rsid w:val="00571FA9"/>
    <w:rsid w:val="00572B2A"/>
    <w:rsid w:val="005751C4"/>
    <w:rsid w:val="00576C02"/>
    <w:rsid w:val="00585B17"/>
    <w:rsid w:val="005865D6"/>
    <w:rsid w:val="00587246"/>
    <w:rsid w:val="00587B05"/>
    <w:rsid w:val="00587C1F"/>
    <w:rsid w:val="0059369A"/>
    <w:rsid w:val="005961D3"/>
    <w:rsid w:val="005A17F2"/>
    <w:rsid w:val="005A2969"/>
    <w:rsid w:val="005A5B1E"/>
    <w:rsid w:val="005A603B"/>
    <w:rsid w:val="005A6176"/>
    <w:rsid w:val="005A727D"/>
    <w:rsid w:val="005B2EEF"/>
    <w:rsid w:val="005B48EC"/>
    <w:rsid w:val="005B58FB"/>
    <w:rsid w:val="005B6649"/>
    <w:rsid w:val="005C0536"/>
    <w:rsid w:val="005C1CC8"/>
    <w:rsid w:val="005C2A61"/>
    <w:rsid w:val="005C398D"/>
    <w:rsid w:val="005C6A1D"/>
    <w:rsid w:val="005C7FC2"/>
    <w:rsid w:val="005D134D"/>
    <w:rsid w:val="005D13AB"/>
    <w:rsid w:val="005D4F8E"/>
    <w:rsid w:val="005D6311"/>
    <w:rsid w:val="005D70A6"/>
    <w:rsid w:val="005E1145"/>
    <w:rsid w:val="005E159F"/>
    <w:rsid w:val="005E2450"/>
    <w:rsid w:val="005E2692"/>
    <w:rsid w:val="005E33E9"/>
    <w:rsid w:val="005F20D3"/>
    <w:rsid w:val="005F23DC"/>
    <w:rsid w:val="005F5F32"/>
    <w:rsid w:val="005F7CF6"/>
    <w:rsid w:val="00600A51"/>
    <w:rsid w:val="006029A8"/>
    <w:rsid w:val="00603BDF"/>
    <w:rsid w:val="006056FD"/>
    <w:rsid w:val="0060606A"/>
    <w:rsid w:val="006062F2"/>
    <w:rsid w:val="0060728F"/>
    <w:rsid w:val="00607AF4"/>
    <w:rsid w:val="00610FB4"/>
    <w:rsid w:val="0061191C"/>
    <w:rsid w:val="0061551B"/>
    <w:rsid w:val="00620F45"/>
    <w:rsid w:val="00623483"/>
    <w:rsid w:val="006256ED"/>
    <w:rsid w:val="0063039D"/>
    <w:rsid w:val="00633389"/>
    <w:rsid w:val="00633F89"/>
    <w:rsid w:val="00634E9F"/>
    <w:rsid w:val="0063519A"/>
    <w:rsid w:val="00635872"/>
    <w:rsid w:val="006359B0"/>
    <w:rsid w:val="00635E07"/>
    <w:rsid w:val="00644A07"/>
    <w:rsid w:val="0065136A"/>
    <w:rsid w:val="006543F0"/>
    <w:rsid w:val="0065698C"/>
    <w:rsid w:val="00661DC3"/>
    <w:rsid w:val="0066216D"/>
    <w:rsid w:val="006650DA"/>
    <w:rsid w:val="006658ED"/>
    <w:rsid w:val="00667879"/>
    <w:rsid w:val="0067160D"/>
    <w:rsid w:val="00673080"/>
    <w:rsid w:val="0068651D"/>
    <w:rsid w:val="006A62D2"/>
    <w:rsid w:val="006B1BAC"/>
    <w:rsid w:val="006B55F2"/>
    <w:rsid w:val="006B5769"/>
    <w:rsid w:val="006C5110"/>
    <w:rsid w:val="006D0688"/>
    <w:rsid w:val="006D5231"/>
    <w:rsid w:val="006D7045"/>
    <w:rsid w:val="006E3F39"/>
    <w:rsid w:val="006E5928"/>
    <w:rsid w:val="006F02AF"/>
    <w:rsid w:val="006F1A43"/>
    <w:rsid w:val="006F2490"/>
    <w:rsid w:val="006F368D"/>
    <w:rsid w:val="006F4EB5"/>
    <w:rsid w:val="006F76AC"/>
    <w:rsid w:val="007003DB"/>
    <w:rsid w:val="0070092E"/>
    <w:rsid w:val="007013AB"/>
    <w:rsid w:val="007028F2"/>
    <w:rsid w:val="007071E9"/>
    <w:rsid w:val="007074C6"/>
    <w:rsid w:val="00711BE1"/>
    <w:rsid w:val="007204C1"/>
    <w:rsid w:val="00721E0E"/>
    <w:rsid w:val="0072648C"/>
    <w:rsid w:val="00727092"/>
    <w:rsid w:val="00727CF7"/>
    <w:rsid w:val="00727F7D"/>
    <w:rsid w:val="00732EEE"/>
    <w:rsid w:val="00733179"/>
    <w:rsid w:val="00733DB6"/>
    <w:rsid w:val="0073740E"/>
    <w:rsid w:val="00740633"/>
    <w:rsid w:val="0074193E"/>
    <w:rsid w:val="007430BB"/>
    <w:rsid w:val="007443AC"/>
    <w:rsid w:val="0075266C"/>
    <w:rsid w:val="00754F49"/>
    <w:rsid w:val="007550FC"/>
    <w:rsid w:val="0076281D"/>
    <w:rsid w:val="00765152"/>
    <w:rsid w:val="00767DA8"/>
    <w:rsid w:val="0077148E"/>
    <w:rsid w:val="007719FD"/>
    <w:rsid w:val="00772BB4"/>
    <w:rsid w:val="00777EFF"/>
    <w:rsid w:val="007872B3"/>
    <w:rsid w:val="007922E8"/>
    <w:rsid w:val="00795F1B"/>
    <w:rsid w:val="007A0988"/>
    <w:rsid w:val="007A1150"/>
    <w:rsid w:val="007A18A0"/>
    <w:rsid w:val="007A2567"/>
    <w:rsid w:val="007B1CEF"/>
    <w:rsid w:val="007B69AF"/>
    <w:rsid w:val="007B6D36"/>
    <w:rsid w:val="007B6DE4"/>
    <w:rsid w:val="007B6E12"/>
    <w:rsid w:val="007C1977"/>
    <w:rsid w:val="007C399D"/>
    <w:rsid w:val="007C429E"/>
    <w:rsid w:val="007C5EA8"/>
    <w:rsid w:val="007C7495"/>
    <w:rsid w:val="007D2179"/>
    <w:rsid w:val="007D2D48"/>
    <w:rsid w:val="007D726A"/>
    <w:rsid w:val="007E1F1E"/>
    <w:rsid w:val="007E22E4"/>
    <w:rsid w:val="007E3FC0"/>
    <w:rsid w:val="007E4CCD"/>
    <w:rsid w:val="007F1F97"/>
    <w:rsid w:val="007F307F"/>
    <w:rsid w:val="007F6EED"/>
    <w:rsid w:val="007F7549"/>
    <w:rsid w:val="007F7B12"/>
    <w:rsid w:val="00800019"/>
    <w:rsid w:val="0080046C"/>
    <w:rsid w:val="00801D1C"/>
    <w:rsid w:val="0080201D"/>
    <w:rsid w:val="00802B81"/>
    <w:rsid w:val="00811236"/>
    <w:rsid w:val="008119D5"/>
    <w:rsid w:val="00814724"/>
    <w:rsid w:val="008174F9"/>
    <w:rsid w:val="00817704"/>
    <w:rsid w:val="00820018"/>
    <w:rsid w:val="00824015"/>
    <w:rsid w:val="00825B23"/>
    <w:rsid w:val="00825B8C"/>
    <w:rsid w:val="00832CF7"/>
    <w:rsid w:val="008349D7"/>
    <w:rsid w:val="00835929"/>
    <w:rsid w:val="008361D9"/>
    <w:rsid w:val="00841E9F"/>
    <w:rsid w:val="0084232D"/>
    <w:rsid w:val="00843E54"/>
    <w:rsid w:val="00846193"/>
    <w:rsid w:val="00846BBB"/>
    <w:rsid w:val="00852369"/>
    <w:rsid w:val="00854207"/>
    <w:rsid w:val="008557D6"/>
    <w:rsid w:val="008641DC"/>
    <w:rsid w:val="00873E98"/>
    <w:rsid w:val="00875D83"/>
    <w:rsid w:val="00877C4D"/>
    <w:rsid w:val="00877D7F"/>
    <w:rsid w:val="00882022"/>
    <w:rsid w:val="0088339E"/>
    <w:rsid w:val="008839CB"/>
    <w:rsid w:val="0088698B"/>
    <w:rsid w:val="008944A3"/>
    <w:rsid w:val="008A1F10"/>
    <w:rsid w:val="008B00A3"/>
    <w:rsid w:val="008B3778"/>
    <w:rsid w:val="008B493F"/>
    <w:rsid w:val="008B5C31"/>
    <w:rsid w:val="008C2840"/>
    <w:rsid w:val="008C2B6A"/>
    <w:rsid w:val="008C5169"/>
    <w:rsid w:val="008C621A"/>
    <w:rsid w:val="008D3776"/>
    <w:rsid w:val="008D4088"/>
    <w:rsid w:val="008D4855"/>
    <w:rsid w:val="008D531E"/>
    <w:rsid w:val="008D6D32"/>
    <w:rsid w:val="008D6EAB"/>
    <w:rsid w:val="008D7B13"/>
    <w:rsid w:val="008E1ABC"/>
    <w:rsid w:val="008E2037"/>
    <w:rsid w:val="008E319F"/>
    <w:rsid w:val="008E6476"/>
    <w:rsid w:val="008F00A9"/>
    <w:rsid w:val="008F149F"/>
    <w:rsid w:val="008F1EDD"/>
    <w:rsid w:val="00910D0F"/>
    <w:rsid w:val="00912E0D"/>
    <w:rsid w:val="00913AE0"/>
    <w:rsid w:val="00915384"/>
    <w:rsid w:val="00915CD8"/>
    <w:rsid w:val="009202D0"/>
    <w:rsid w:val="00920E70"/>
    <w:rsid w:val="00923D0D"/>
    <w:rsid w:val="0092512A"/>
    <w:rsid w:val="00926B27"/>
    <w:rsid w:val="00927766"/>
    <w:rsid w:val="00930377"/>
    <w:rsid w:val="00932471"/>
    <w:rsid w:val="0093374C"/>
    <w:rsid w:val="00945D3B"/>
    <w:rsid w:val="00945E96"/>
    <w:rsid w:val="009539B6"/>
    <w:rsid w:val="00955C80"/>
    <w:rsid w:val="00956084"/>
    <w:rsid w:val="00960D64"/>
    <w:rsid w:val="009625B5"/>
    <w:rsid w:val="00971A4D"/>
    <w:rsid w:val="00972820"/>
    <w:rsid w:val="009735A9"/>
    <w:rsid w:val="00974018"/>
    <w:rsid w:val="00977616"/>
    <w:rsid w:val="00980E1C"/>
    <w:rsid w:val="00981177"/>
    <w:rsid w:val="00985621"/>
    <w:rsid w:val="00990068"/>
    <w:rsid w:val="00991EB9"/>
    <w:rsid w:val="00992A41"/>
    <w:rsid w:val="0099698D"/>
    <w:rsid w:val="009A064E"/>
    <w:rsid w:val="009A0C90"/>
    <w:rsid w:val="009A1F5C"/>
    <w:rsid w:val="009A3133"/>
    <w:rsid w:val="009A5D6F"/>
    <w:rsid w:val="009A6212"/>
    <w:rsid w:val="009B362B"/>
    <w:rsid w:val="009B609E"/>
    <w:rsid w:val="009B7440"/>
    <w:rsid w:val="009C1586"/>
    <w:rsid w:val="009C4FFA"/>
    <w:rsid w:val="009C5D45"/>
    <w:rsid w:val="009C61C3"/>
    <w:rsid w:val="009C695B"/>
    <w:rsid w:val="009D0064"/>
    <w:rsid w:val="009D2EE0"/>
    <w:rsid w:val="009D31DC"/>
    <w:rsid w:val="009D5CB7"/>
    <w:rsid w:val="009D7536"/>
    <w:rsid w:val="009E40AD"/>
    <w:rsid w:val="009E420E"/>
    <w:rsid w:val="009E47FE"/>
    <w:rsid w:val="009E54F2"/>
    <w:rsid w:val="009F0698"/>
    <w:rsid w:val="009F6BA3"/>
    <w:rsid w:val="009F72D2"/>
    <w:rsid w:val="00A00BA5"/>
    <w:rsid w:val="00A03359"/>
    <w:rsid w:val="00A04657"/>
    <w:rsid w:val="00A07FC0"/>
    <w:rsid w:val="00A13792"/>
    <w:rsid w:val="00A16B69"/>
    <w:rsid w:val="00A16B8C"/>
    <w:rsid w:val="00A1794F"/>
    <w:rsid w:val="00A20F0E"/>
    <w:rsid w:val="00A22384"/>
    <w:rsid w:val="00A24532"/>
    <w:rsid w:val="00A321F4"/>
    <w:rsid w:val="00A3228E"/>
    <w:rsid w:val="00A37CFA"/>
    <w:rsid w:val="00A46709"/>
    <w:rsid w:val="00A54580"/>
    <w:rsid w:val="00A56E77"/>
    <w:rsid w:val="00A57A40"/>
    <w:rsid w:val="00A6791F"/>
    <w:rsid w:val="00A72CFD"/>
    <w:rsid w:val="00A74F78"/>
    <w:rsid w:val="00A872FF"/>
    <w:rsid w:val="00A95A0F"/>
    <w:rsid w:val="00AA03E1"/>
    <w:rsid w:val="00AA079E"/>
    <w:rsid w:val="00AA1421"/>
    <w:rsid w:val="00AA25A9"/>
    <w:rsid w:val="00AA5D78"/>
    <w:rsid w:val="00AB3FF6"/>
    <w:rsid w:val="00AB4674"/>
    <w:rsid w:val="00AB52EB"/>
    <w:rsid w:val="00AC163D"/>
    <w:rsid w:val="00AC1A8A"/>
    <w:rsid w:val="00AC2EA3"/>
    <w:rsid w:val="00AC5D14"/>
    <w:rsid w:val="00AC7695"/>
    <w:rsid w:val="00AC7DF5"/>
    <w:rsid w:val="00AD1671"/>
    <w:rsid w:val="00AD1C11"/>
    <w:rsid w:val="00AD1EB7"/>
    <w:rsid w:val="00AD3C49"/>
    <w:rsid w:val="00AD59CB"/>
    <w:rsid w:val="00AD62F9"/>
    <w:rsid w:val="00AE1E68"/>
    <w:rsid w:val="00AE2C75"/>
    <w:rsid w:val="00AE3021"/>
    <w:rsid w:val="00AE3821"/>
    <w:rsid w:val="00AE7D3D"/>
    <w:rsid w:val="00AF6DA6"/>
    <w:rsid w:val="00B06DCB"/>
    <w:rsid w:val="00B076F6"/>
    <w:rsid w:val="00B07FDD"/>
    <w:rsid w:val="00B16B8C"/>
    <w:rsid w:val="00B200C9"/>
    <w:rsid w:val="00B26A06"/>
    <w:rsid w:val="00B32544"/>
    <w:rsid w:val="00B32687"/>
    <w:rsid w:val="00B32CEA"/>
    <w:rsid w:val="00B4317E"/>
    <w:rsid w:val="00B504A9"/>
    <w:rsid w:val="00B5060E"/>
    <w:rsid w:val="00B5295C"/>
    <w:rsid w:val="00B54D06"/>
    <w:rsid w:val="00B55DE2"/>
    <w:rsid w:val="00B56AC5"/>
    <w:rsid w:val="00B572EE"/>
    <w:rsid w:val="00B57A56"/>
    <w:rsid w:val="00B61E2E"/>
    <w:rsid w:val="00B632B4"/>
    <w:rsid w:val="00B634F1"/>
    <w:rsid w:val="00B63FE7"/>
    <w:rsid w:val="00B65273"/>
    <w:rsid w:val="00B67182"/>
    <w:rsid w:val="00B708FC"/>
    <w:rsid w:val="00B72757"/>
    <w:rsid w:val="00B72EEB"/>
    <w:rsid w:val="00B83409"/>
    <w:rsid w:val="00B86FFA"/>
    <w:rsid w:val="00B879AD"/>
    <w:rsid w:val="00B90032"/>
    <w:rsid w:val="00B94BBC"/>
    <w:rsid w:val="00B95DF7"/>
    <w:rsid w:val="00BA235B"/>
    <w:rsid w:val="00BA285F"/>
    <w:rsid w:val="00BB09F2"/>
    <w:rsid w:val="00BB4693"/>
    <w:rsid w:val="00BB4D4A"/>
    <w:rsid w:val="00BB68C3"/>
    <w:rsid w:val="00BB7955"/>
    <w:rsid w:val="00BB7F21"/>
    <w:rsid w:val="00BC2E75"/>
    <w:rsid w:val="00BC4E34"/>
    <w:rsid w:val="00BD0AEA"/>
    <w:rsid w:val="00BD14D5"/>
    <w:rsid w:val="00BD3CE8"/>
    <w:rsid w:val="00BD4852"/>
    <w:rsid w:val="00BD6041"/>
    <w:rsid w:val="00BE1480"/>
    <w:rsid w:val="00BE1819"/>
    <w:rsid w:val="00BE30F2"/>
    <w:rsid w:val="00BE4A2A"/>
    <w:rsid w:val="00BF155C"/>
    <w:rsid w:val="00BF3455"/>
    <w:rsid w:val="00BF3984"/>
    <w:rsid w:val="00BF55EA"/>
    <w:rsid w:val="00C03A96"/>
    <w:rsid w:val="00C06DC3"/>
    <w:rsid w:val="00C10D68"/>
    <w:rsid w:val="00C112A6"/>
    <w:rsid w:val="00C1350B"/>
    <w:rsid w:val="00C153DC"/>
    <w:rsid w:val="00C16518"/>
    <w:rsid w:val="00C169B8"/>
    <w:rsid w:val="00C21044"/>
    <w:rsid w:val="00C21318"/>
    <w:rsid w:val="00C227B9"/>
    <w:rsid w:val="00C31165"/>
    <w:rsid w:val="00C3154C"/>
    <w:rsid w:val="00C35FD6"/>
    <w:rsid w:val="00C364ED"/>
    <w:rsid w:val="00C438DF"/>
    <w:rsid w:val="00C452A3"/>
    <w:rsid w:val="00C45388"/>
    <w:rsid w:val="00C46DB7"/>
    <w:rsid w:val="00C46F3E"/>
    <w:rsid w:val="00C50196"/>
    <w:rsid w:val="00C516A3"/>
    <w:rsid w:val="00C55F74"/>
    <w:rsid w:val="00C561DE"/>
    <w:rsid w:val="00C628A9"/>
    <w:rsid w:val="00C6766B"/>
    <w:rsid w:val="00C72C8B"/>
    <w:rsid w:val="00C741BA"/>
    <w:rsid w:val="00C74D7C"/>
    <w:rsid w:val="00C752E9"/>
    <w:rsid w:val="00C75A4D"/>
    <w:rsid w:val="00C763A4"/>
    <w:rsid w:val="00C81B3F"/>
    <w:rsid w:val="00C83DD2"/>
    <w:rsid w:val="00C84569"/>
    <w:rsid w:val="00C84B1D"/>
    <w:rsid w:val="00C8541F"/>
    <w:rsid w:val="00C85E1C"/>
    <w:rsid w:val="00C91479"/>
    <w:rsid w:val="00C924B7"/>
    <w:rsid w:val="00C92510"/>
    <w:rsid w:val="00C966A7"/>
    <w:rsid w:val="00CA28D7"/>
    <w:rsid w:val="00CB2626"/>
    <w:rsid w:val="00CB34BB"/>
    <w:rsid w:val="00CB4FF4"/>
    <w:rsid w:val="00CB549D"/>
    <w:rsid w:val="00CB71ED"/>
    <w:rsid w:val="00CC226C"/>
    <w:rsid w:val="00CC26D6"/>
    <w:rsid w:val="00CC4EFB"/>
    <w:rsid w:val="00CC5355"/>
    <w:rsid w:val="00CC58BD"/>
    <w:rsid w:val="00CC6D04"/>
    <w:rsid w:val="00CD043F"/>
    <w:rsid w:val="00CD120C"/>
    <w:rsid w:val="00CD2339"/>
    <w:rsid w:val="00CD27C5"/>
    <w:rsid w:val="00CD495D"/>
    <w:rsid w:val="00CD4A33"/>
    <w:rsid w:val="00CD55E9"/>
    <w:rsid w:val="00CF47A9"/>
    <w:rsid w:val="00CF540B"/>
    <w:rsid w:val="00CF5645"/>
    <w:rsid w:val="00CF584D"/>
    <w:rsid w:val="00CF659C"/>
    <w:rsid w:val="00CF74F5"/>
    <w:rsid w:val="00CF7960"/>
    <w:rsid w:val="00D02FC7"/>
    <w:rsid w:val="00D03068"/>
    <w:rsid w:val="00D038B1"/>
    <w:rsid w:val="00D05710"/>
    <w:rsid w:val="00D07C7A"/>
    <w:rsid w:val="00D11C7A"/>
    <w:rsid w:val="00D128D0"/>
    <w:rsid w:val="00D141F1"/>
    <w:rsid w:val="00D1733B"/>
    <w:rsid w:val="00D20B3A"/>
    <w:rsid w:val="00D35CAC"/>
    <w:rsid w:val="00D36EC4"/>
    <w:rsid w:val="00D45261"/>
    <w:rsid w:val="00D45CBB"/>
    <w:rsid w:val="00D47FE1"/>
    <w:rsid w:val="00D51762"/>
    <w:rsid w:val="00D528BF"/>
    <w:rsid w:val="00D5318E"/>
    <w:rsid w:val="00D53A39"/>
    <w:rsid w:val="00D54437"/>
    <w:rsid w:val="00D55A5B"/>
    <w:rsid w:val="00D56680"/>
    <w:rsid w:val="00D57500"/>
    <w:rsid w:val="00D61E95"/>
    <w:rsid w:val="00D710A1"/>
    <w:rsid w:val="00D72E23"/>
    <w:rsid w:val="00D76637"/>
    <w:rsid w:val="00D8253D"/>
    <w:rsid w:val="00D84C0B"/>
    <w:rsid w:val="00D857B8"/>
    <w:rsid w:val="00D85AE9"/>
    <w:rsid w:val="00D86F98"/>
    <w:rsid w:val="00D900A6"/>
    <w:rsid w:val="00D9051C"/>
    <w:rsid w:val="00D9362B"/>
    <w:rsid w:val="00DA1F27"/>
    <w:rsid w:val="00DA2C06"/>
    <w:rsid w:val="00DA339E"/>
    <w:rsid w:val="00DA3BE2"/>
    <w:rsid w:val="00DB1836"/>
    <w:rsid w:val="00DB2AC3"/>
    <w:rsid w:val="00DB3E9B"/>
    <w:rsid w:val="00DC0EA2"/>
    <w:rsid w:val="00DC1A9B"/>
    <w:rsid w:val="00DC2958"/>
    <w:rsid w:val="00DC32FC"/>
    <w:rsid w:val="00DC5BDA"/>
    <w:rsid w:val="00DC6D07"/>
    <w:rsid w:val="00DC7E6F"/>
    <w:rsid w:val="00DD0390"/>
    <w:rsid w:val="00DD14CB"/>
    <w:rsid w:val="00DD250B"/>
    <w:rsid w:val="00DD4FBA"/>
    <w:rsid w:val="00DD7585"/>
    <w:rsid w:val="00DE0BCD"/>
    <w:rsid w:val="00DE473C"/>
    <w:rsid w:val="00DE4C0A"/>
    <w:rsid w:val="00DF15C7"/>
    <w:rsid w:val="00DF160B"/>
    <w:rsid w:val="00DF220C"/>
    <w:rsid w:val="00DF2AB1"/>
    <w:rsid w:val="00DF39CB"/>
    <w:rsid w:val="00DF55EA"/>
    <w:rsid w:val="00DF584D"/>
    <w:rsid w:val="00DF7FED"/>
    <w:rsid w:val="00E06D35"/>
    <w:rsid w:val="00E06E49"/>
    <w:rsid w:val="00E12DF9"/>
    <w:rsid w:val="00E1486A"/>
    <w:rsid w:val="00E1538C"/>
    <w:rsid w:val="00E210FD"/>
    <w:rsid w:val="00E25EE6"/>
    <w:rsid w:val="00E30B0A"/>
    <w:rsid w:val="00E3135A"/>
    <w:rsid w:val="00E336DE"/>
    <w:rsid w:val="00E34EBB"/>
    <w:rsid w:val="00E37E4C"/>
    <w:rsid w:val="00E37EA8"/>
    <w:rsid w:val="00E37ED7"/>
    <w:rsid w:val="00E4427A"/>
    <w:rsid w:val="00E56B67"/>
    <w:rsid w:val="00E6352E"/>
    <w:rsid w:val="00E63819"/>
    <w:rsid w:val="00E64857"/>
    <w:rsid w:val="00E64AF3"/>
    <w:rsid w:val="00E66F93"/>
    <w:rsid w:val="00E70007"/>
    <w:rsid w:val="00E71503"/>
    <w:rsid w:val="00E76075"/>
    <w:rsid w:val="00E80BC6"/>
    <w:rsid w:val="00E948CD"/>
    <w:rsid w:val="00E962E1"/>
    <w:rsid w:val="00E97872"/>
    <w:rsid w:val="00EA125F"/>
    <w:rsid w:val="00EA3BC1"/>
    <w:rsid w:val="00EA40AD"/>
    <w:rsid w:val="00EB4857"/>
    <w:rsid w:val="00EC5A66"/>
    <w:rsid w:val="00ED04CD"/>
    <w:rsid w:val="00ED0D77"/>
    <w:rsid w:val="00ED3228"/>
    <w:rsid w:val="00ED460D"/>
    <w:rsid w:val="00ED495E"/>
    <w:rsid w:val="00ED5197"/>
    <w:rsid w:val="00ED59EB"/>
    <w:rsid w:val="00EE3A81"/>
    <w:rsid w:val="00EE3BCB"/>
    <w:rsid w:val="00EE3F47"/>
    <w:rsid w:val="00EE5379"/>
    <w:rsid w:val="00EE5F0A"/>
    <w:rsid w:val="00EE7B93"/>
    <w:rsid w:val="00EE7D7E"/>
    <w:rsid w:val="00EF026B"/>
    <w:rsid w:val="00EF3928"/>
    <w:rsid w:val="00EF59F7"/>
    <w:rsid w:val="00EF71FD"/>
    <w:rsid w:val="00EF7C28"/>
    <w:rsid w:val="00F00216"/>
    <w:rsid w:val="00F011C1"/>
    <w:rsid w:val="00F02920"/>
    <w:rsid w:val="00F10E20"/>
    <w:rsid w:val="00F12AFF"/>
    <w:rsid w:val="00F1472C"/>
    <w:rsid w:val="00F15301"/>
    <w:rsid w:val="00F167EC"/>
    <w:rsid w:val="00F171B5"/>
    <w:rsid w:val="00F205CF"/>
    <w:rsid w:val="00F2248F"/>
    <w:rsid w:val="00F234B4"/>
    <w:rsid w:val="00F25224"/>
    <w:rsid w:val="00F27157"/>
    <w:rsid w:val="00F277D2"/>
    <w:rsid w:val="00F342C0"/>
    <w:rsid w:val="00F344E2"/>
    <w:rsid w:val="00F345A5"/>
    <w:rsid w:val="00F36BB0"/>
    <w:rsid w:val="00F41DE1"/>
    <w:rsid w:val="00F434B1"/>
    <w:rsid w:val="00F43803"/>
    <w:rsid w:val="00F45641"/>
    <w:rsid w:val="00F45D70"/>
    <w:rsid w:val="00F46E79"/>
    <w:rsid w:val="00F47537"/>
    <w:rsid w:val="00F560C1"/>
    <w:rsid w:val="00F60953"/>
    <w:rsid w:val="00F6147F"/>
    <w:rsid w:val="00F642CE"/>
    <w:rsid w:val="00F678C8"/>
    <w:rsid w:val="00F73BE4"/>
    <w:rsid w:val="00F76AA1"/>
    <w:rsid w:val="00F919CF"/>
    <w:rsid w:val="00FA0036"/>
    <w:rsid w:val="00FA3DD9"/>
    <w:rsid w:val="00FA4B7E"/>
    <w:rsid w:val="00FA5BC3"/>
    <w:rsid w:val="00FB24F4"/>
    <w:rsid w:val="00FB294B"/>
    <w:rsid w:val="00FC41A9"/>
    <w:rsid w:val="00FD04F5"/>
    <w:rsid w:val="00FD269B"/>
    <w:rsid w:val="00FD2C39"/>
    <w:rsid w:val="00FD3468"/>
    <w:rsid w:val="00FD3CE0"/>
    <w:rsid w:val="00FE33F5"/>
    <w:rsid w:val="00FE6501"/>
    <w:rsid w:val="00FE68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2A6B0"/>
  <w15:chartTrackingRefBased/>
  <w15:docId w15:val="{34428A0D-6905-478A-88ED-BAF2331A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D9"/>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TextInTech">
    <w:name w:val="Body Text (InTech)"/>
    <w:basedOn w:val="Normal"/>
    <w:qFormat/>
    <w:rsid w:val="00B5060E"/>
    <w:pPr>
      <w:suppressAutoHyphens/>
      <w:spacing w:after="108" w:line="240" w:lineRule="auto"/>
      <w:ind w:left="15" w:right="1"/>
      <w:jc w:val="both"/>
    </w:pPr>
    <w:rPr>
      <w:rFonts w:ascii="Palatino Linotype" w:eastAsia="Palatino Linotype" w:hAnsi="Palatino Linotype" w:cs="Palatino Linotype"/>
      <w:color w:val="181717"/>
      <w:kern w:val="1"/>
      <w:sz w:val="18"/>
      <w:lang w:val="en-US" w:eastAsia="hr-HR"/>
    </w:rPr>
  </w:style>
  <w:style w:type="paragraph" w:customStyle="1" w:styleId="TableCaption">
    <w:name w:val="Table Caption"/>
    <w:basedOn w:val="Normal"/>
    <w:qFormat/>
    <w:rsid w:val="008F00A9"/>
    <w:pPr>
      <w:spacing w:after="0" w:line="240" w:lineRule="auto"/>
      <w:jc w:val="center"/>
    </w:pPr>
    <w:rPr>
      <w:rFonts w:eastAsiaTheme="minorEastAsia"/>
      <w:b/>
      <w:i/>
      <w:sz w:val="24"/>
      <w:szCs w:val="24"/>
      <w:lang w:val="en-US"/>
    </w:rPr>
  </w:style>
  <w:style w:type="table" w:customStyle="1" w:styleId="Table">
    <w:name w:val="Table"/>
    <w:semiHidden/>
    <w:unhideWhenUsed/>
    <w:qFormat/>
    <w:rsid w:val="00AD59CB"/>
    <w:pPr>
      <w:spacing w:after="200" w:line="240" w:lineRule="auto"/>
    </w:pPr>
    <w:rPr>
      <w:kern w:val="0"/>
      <w:sz w:val="24"/>
      <w:szCs w:val="24"/>
      <w:lang w:val="en-US" w:eastAsia="es-MX"/>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customStyle="1" w:styleId="Tabla1">
    <w:name w:val="Tabla 1"/>
    <w:basedOn w:val="Tablanormal"/>
    <w:uiPriority w:val="99"/>
    <w:rsid w:val="005E2692"/>
    <w:pPr>
      <w:spacing w:after="0" w:line="240" w:lineRule="auto"/>
    </w:pPr>
    <w:tblPr/>
  </w:style>
  <w:style w:type="paragraph" w:styleId="Prrafodelista">
    <w:name w:val="List Paragraph"/>
    <w:basedOn w:val="Normal"/>
    <w:uiPriority w:val="34"/>
    <w:qFormat/>
    <w:rsid w:val="007E22E4"/>
    <w:pPr>
      <w:ind w:left="720"/>
      <w:contextualSpacing/>
    </w:pPr>
  </w:style>
  <w:style w:type="character" w:styleId="Hipervnculo">
    <w:name w:val="Hyperlink"/>
    <w:basedOn w:val="Fuentedeprrafopredeter"/>
    <w:uiPriority w:val="99"/>
    <w:unhideWhenUsed/>
    <w:rsid w:val="0088698B"/>
    <w:rPr>
      <w:color w:val="0563C1" w:themeColor="hyperlink"/>
      <w:u w:val="single"/>
    </w:rPr>
  </w:style>
  <w:style w:type="character" w:styleId="Mencinsinresolver">
    <w:name w:val="Unresolved Mention"/>
    <w:basedOn w:val="Fuentedeprrafopredeter"/>
    <w:uiPriority w:val="99"/>
    <w:semiHidden/>
    <w:unhideWhenUsed/>
    <w:rsid w:val="0088698B"/>
    <w:rPr>
      <w:color w:val="605E5C"/>
      <w:shd w:val="clear" w:color="auto" w:fill="E1DFDD"/>
    </w:rPr>
  </w:style>
  <w:style w:type="paragraph" w:styleId="Encabezado">
    <w:name w:val="header"/>
    <w:basedOn w:val="Normal"/>
    <w:link w:val="EncabezadoCar"/>
    <w:uiPriority w:val="99"/>
    <w:unhideWhenUsed/>
    <w:rsid w:val="00E700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70007"/>
    <w:rPr>
      <w:kern w:val="0"/>
      <w14:ligatures w14:val="none"/>
    </w:rPr>
  </w:style>
  <w:style w:type="paragraph" w:styleId="Piedepgina">
    <w:name w:val="footer"/>
    <w:basedOn w:val="Normal"/>
    <w:link w:val="PiedepginaCar"/>
    <w:uiPriority w:val="99"/>
    <w:unhideWhenUsed/>
    <w:rsid w:val="00E700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0007"/>
    <w:rPr>
      <w:kern w:val="0"/>
      <w14:ligatures w14:val="none"/>
    </w:rPr>
  </w:style>
  <w:style w:type="paragraph" w:customStyle="1" w:styleId="Compact">
    <w:name w:val="Compact"/>
    <w:basedOn w:val="Textoindependiente"/>
    <w:qFormat/>
    <w:rsid w:val="00345A36"/>
    <w:pPr>
      <w:spacing w:before="36" w:after="36" w:line="240" w:lineRule="auto"/>
    </w:pPr>
    <w:rPr>
      <w:sz w:val="24"/>
      <w:szCs w:val="24"/>
      <w:lang w:val="en-US"/>
    </w:rPr>
  </w:style>
  <w:style w:type="paragraph" w:styleId="Textoindependiente">
    <w:name w:val="Body Text"/>
    <w:basedOn w:val="Normal"/>
    <w:link w:val="TextoindependienteCar"/>
    <w:uiPriority w:val="99"/>
    <w:semiHidden/>
    <w:unhideWhenUsed/>
    <w:rsid w:val="00345A36"/>
    <w:pPr>
      <w:spacing w:after="120"/>
    </w:pPr>
  </w:style>
  <w:style w:type="character" w:customStyle="1" w:styleId="TextoindependienteCar">
    <w:name w:val="Texto independiente Car"/>
    <w:basedOn w:val="Fuentedeprrafopredeter"/>
    <w:link w:val="Textoindependiente"/>
    <w:uiPriority w:val="99"/>
    <w:semiHidden/>
    <w:rsid w:val="00345A36"/>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02132">
      <w:bodyDiv w:val="1"/>
      <w:marLeft w:val="0"/>
      <w:marRight w:val="0"/>
      <w:marTop w:val="0"/>
      <w:marBottom w:val="0"/>
      <w:divBdr>
        <w:top w:val="none" w:sz="0" w:space="0" w:color="auto"/>
        <w:left w:val="none" w:sz="0" w:space="0" w:color="auto"/>
        <w:bottom w:val="none" w:sz="0" w:space="0" w:color="auto"/>
        <w:right w:val="none" w:sz="0" w:space="0" w:color="auto"/>
      </w:divBdr>
    </w:div>
    <w:div w:id="469594137">
      <w:bodyDiv w:val="1"/>
      <w:marLeft w:val="0"/>
      <w:marRight w:val="0"/>
      <w:marTop w:val="0"/>
      <w:marBottom w:val="0"/>
      <w:divBdr>
        <w:top w:val="none" w:sz="0" w:space="0" w:color="auto"/>
        <w:left w:val="none" w:sz="0" w:space="0" w:color="auto"/>
        <w:bottom w:val="none" w:sz="0" w:space="0" w:color="auto"/>
        <w:right w:val="none" w:sz="0" w:space="0" w:color="auto"/>
      </w:divBdr>
    </w:div>
    <w:div w:id="613174606">
      <w:bodyDiv w:val="1"/>
      <w:marLeft w:val="0"/>
      <w:marRight w:val="0"/>
      <w:marTop w:val="0"/>
      <w:marBottom w:val="0"/>
      <w:divBdr>
        <w:top w:val="none" w:sz="0" w:space="0" w:color="auto"/>
        <w:left w:val="none" w:sz="0" w:space="0" w:color="auto"/>
        <w:bottom w:val="none" w:sz="0" w:space="0" w:color="auto"/>
        <w:right w:val="none" w:sz="0" w:space="0" w:color="auto"/>
      </w:divBdr>
    </w:div>
    <w:div w:id="728650004">
      <w:bodyDiv w:val="1"/>
      <w:marLeft w:val="0"/>
      <w:marRight w:val="0"/>
      <w:marTop w:val="0"/>
      <w:marBottom w:val="0"/>
      <w:divBdr>
        <w:top w:val="none" w:sz="0" w:space="0" w:color="auto"/>
        <w:left w:val="none" w:sz="0" w:space="0" w:color="auto"/>
        <w:bottom w:val="none" w:sz="0" w:space="0" w:color="auto"/>
        <w:right w:val="none" w:sz="0" w:space="0" w:color="auto"/>
      </w:divBdr>
    </w:div>
    <w:div w:id="758018872">
      <w:bodyDiv w:val="1"/>
      <w:marLeft w:val="0"/>
      <w:marRight w:val="0"/>
      <w:marTop w:val="0"/>
      <w:marBottom w:val="0"/>
      <w:divBdr>
        <w:top w:val="none" w:sz="0" w:space="0" w:color="auto"/>
        <w:left w:val="none" w:sz="0" w:space="0" w:color="auto"/>
        <w:bottom w:val="none" w:sz="0" w:space="0" w:color="auto"/>
        <w:right w:val="none" w:sz="0" w:space="0" w:color="auto"/>
      </w:divBdr>
    </w:div>
    <w:div w:id="898518269">
      <w:bodyDiv w:val="1"/>
      <w:marLeft w:val="0"/>
      <w:marRight w:val="0"/>
      <w:marTop w:val="0"/>
      <w:marBottom w:val="0"/>
      <w:divBdr>
        <w:top w:val="none" w:sz="0" w:space="0" w:color="auto"/>
        <w:left w:val="none" w:sz="0" w:space="0" w:color="auto"/>
        <w:bottom w:val="none" w:sz="0" w:space="0" w:color="auto"/>
        <w:right w:val="none" w:sz="0" w:space="0" w:color="auto"/>
      </w:divBdr>
    </w:div>
    <w:div w:id="992492204">
      <w:bodyDiv w:val="1"/>
      <w:marLeft w:val="0"/>
      <w:marRight w:val="0"/>
      <w:marTop w:val="0"/>
      <w:marBottom w:val="0"/>
      <w:divBdr>
        <w:top w:val="none" w:sz="0" w:space="0" w:color="auto"/>
        <w:left w:val="none" w:sz="0" w:space="0" w:color="auto"/>
        <w:bottom w:val="none" w:sz="0" w:space="0" w:color="auto"/>
        <w:right w:val="none" w:sz="0" w:space="0" w:color="auto"/>
      </w:divBdr>
    </w:div>
    <w:div w:id="1110933018">
      <w:bodyDiv w:val="1"/>
      <w:marLeft w:val="0"/>
      <w:marRight w:val="0"/>
      <w:marTop w:val="0"/>
      <w:marBottom w:val="0"/>
      <w:divBdr>
        <w:top w:val="none" w:sz="0" w:space="0" w:color="auto"/>
        <w:left w:val="none" w:sz="0" w:space="0" w:color="auto"/>
        <w:bottom w:val="none" w:sz="0" w:space="0" w:color="auto"/>
        <w:right w:val="none" w:sz="0" w:space="0" w:color="auto"/>
      </w:divBdr>
    </w:div>
    <w:div w:id="1349480162">
      <w:bodyDiv w:val="1"/>
      <w:marLeft w:val="0"/>
      <w:marRight w:val="0"/>
      <w:marTop w:val="0"/>
      <w:marBottom w:val="0"/>
      <w:divBdr>
        <w:top w:val="none" w:sz="0" w:space="0" w:color="auto"/>
        <w:left w:val="none" w:sz="0" w:space="0" w:color="auto"/>
        <w:bottom w:val="none" w:sz="0" w:space="0" w:color="auto"/>
        <w:right w:val="none" w:sz="0" w:space="0" w:color="auto"/>
      </w:divBdr>
    </w:div>
    <w:div w:id="157242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7910/DVN/4JZZLB"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ithub.com/javimangal/preoperative_atelecta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dagitty.net/dags.html" TargetMode="External"/><Relationship Id="rId10" Type="http://schemas.openxmlformats.org/officeDocument/2006/relationships/hyperlink" Target="https://github.com/javimangal/preoperative_atelectasi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javimangal/preoperative_atelectasis"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F77C3-ADAC-48CF-A709-7CE17CB1C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5325</TotalTime>
  <Pages>24</Pages>
  <Words>14124</Words>
  <Characters>77686</Characters>
  <Application>Microsoft Office Word</Application>
  <DocSecurity>0</DocSecurity>
  <Lines>647</Lines>
  <Paragraphs>183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Mancilla Galindo, J. (Javier)</dc:creator>
  <cp:keywords/>
  <dc:description/>
  <cp:lastModifiedBy>Javier Mancilla Galindo</cp:lastModifiedBy>
  <cp:revision>477</cp:revision>
  <dcterms:created xsi:type="dcterms:W3CDTF">2023-11-09T18:55:00Z</dcterms:created>
  <dcterms:modified xsi:type="dcterms:W3CDTF">2023-11-20T19:23:00Z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http://www.zotero.org/styles/anesthesiology</vt:lpwstr>
  </property>
  <property fmtid="{D5CDD505-2E9C-101B-9397-08002B2CF9AE}" pid="3" name="Mendeley Recent Style Name 0_1">
    <vt:lpwstr>Anesthesiology</vt:lpwstr>
  </property>
  <property fmtid="{D5CDD505-2E9C-101B-9397-08002B2CF9AE}" pid="4" name="Mendeley Recent Style Id 1_1">
    <vt:lpwstr>http://www.zotero.org/styles/harvard-cite-them-right</vt:lpwstr>
  </property>
  <property fmtid="{D5CDD505-2E9C-101B-9397-08002B2CF9AE}" pid="5" name="Mendeley Recent Style Name 1_1">
    <vt:lpwstr>Cite Them Right 10th edition - Harvard</vt:lpwstr>
  </property>
  <property fmtid="{D5CDD505-2E9C-101B-9397-08002B2CF9AE}" pid="6" name="Mendeley Recent Style Id 2_1">
    <vt:lpwstr>http://www.zotero.org/styles/critical-care</vt:lpwstr>
  </property>
  <property fmtid="{D5CDD505-2E9C-101B-9397-08002B2CF9AE}" pid="7" name="Mendeley Recent Style Name 2_1">
    <vt:lpwstr>Critical Care</vt:lpwstr>
  </property>
  <property fmtid="{D5CDD505-2E9C-101B-9397-08002B2CF9AE}" pid="8" name="Mendeley Recent Style Id 3_1">
    <vt:lpwstr>http://www.zotero.org/styles/european-respiratory-journal</vt:lpwstr>
  </property>
  <property fmtid="{D5CDD505-2E9C-101B-9397-08002B2CF9AE}" pid="9" name="Mendeley Recent Style Name 3_1">
    <vt:lpwstr>European Respiratory Journal</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http://www.zotero.org/styles/the-american-journal-of-clinical-nutrition</vt:lpwstr>
  </property>
  <property fmtid="{D5CDD505-2E9C-101B-9397-08002B2CF9AE}" pid="19" name="Mendeley Recent Style Name 8_1">
    <vt:lpwstr>The American Journal of Clinical Nutrition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488d7dbd-8ab1-33bc-bbcd-3f9de82b8ea5</vt:lpwstr>
  </property>
  <property fmtid="{D5CDD505-2E9C-101B-9397-08002B2CF9AE}" pid="24" name="Mendeley Citation Style_1">
    <vt:lpwstr>http://www.zotero.org/styles/anesthesiology</vt:lpwstr>
  </property>
</Properties>
</file>