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 xml:space="preserve">As an electronic engineer currently living in Melbourne on a Working Holiday Visa, I was genuinely excited to find your opening. My background sits right at the intersection of low-level C and C++ programming, hardware architecture, and performance optimisation, which is why your work in high-performance computing immediately caught my attention. While my formal training is in electronics, my day-to-day reality has always involved writing clean code, squeezing every drop of performance out of microcontrollers and processing units, and diving deep into memory management and complex data flows. </w:t>
      </w:r>
    </w:p>
    <w:p/>
    <w:p>
      <w:r>
        <w:t xml:space="preserve">Over recent years, I have built everything from custom firmware for satellite communication models using LoRa and I2C, to developing AI-integrated robotic systems and handling robust backend architectures. I really enjoy the puzzle of low-level software development—figuring out when it is worth optimising down to the metal and when to keep things straightforward. Working with mixed environments of C, C++, and Python is something I do naturally, and I am very comfortable having technical conversations about threading, concurrency, and efficient resource handling. </w:t>
      </w:r>
    </w:p>
    <w:p/>
    <w:p>
      <w:r>
        <w:t>I am already based in Melbourne with full working rights, so I can start right away and seamlessly integrate into your team. I wanted to make sure I followed every instruction closely, including the inclusion of Shibboleth, to demonstrate my attention to detail. I would love the chance to chat in person about how my hands-on technical background can bring value to your scientific software and high-performance computing projects.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