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Moving to Melbourne on a Working Holiday visa has been an incredible adventure, but what excites me the most is the chance to bring my background in software and hardware integration into a fast-paced Australian engineering environment. While my formal training is in electronic engineering, my path has naturally crossed deeply into software architecture, backend development, and artificial intelligence systems, such as leading the development of an AI-driven humanoid robot and building robust backend solutions.</w:t>
      </w:r>
    </w:p>
    <w:p/>
    <w:p>
      <w:r>
        <w:t>I have always been driven by curiosity and a genuine passion for creating things that actually work in the real world. Whether I am writing clean C++ firmware, optimizing complex database workflows, or experimenting with intelligent agents and data pipelines, I enjoy tackling complex architectural challenges from scratch. I thrive in environments that challenge traditional thinking and push the boundaries of what technology can do, which immediately caught my attention when reading about your work at NCS.</w:t>
      </w:r>
    </w:p>
    <w:p/>
    <w:p>
      <w:r>
        <w:t>I would love to chat about how my technical adaptability and hands-on engineering mindset could add value to your intelligent contact team. Thank you for your time and for considering my application.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