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 xml:space="preserve">What excites me most about robotics is the moment code transitions into physical movement and solves a tangible problem in the real world. When I led the development of an AI-driven humanoid robot based on the InMoov project, my focus was never just theoretical. I spent my time getting my hands dirty designing custom PCBs, integrating computer vision, and making sure the software actually worked smoothly with the hardware. </w:t>
      </w:r>
    </w:p>
    <w:p/>
    <w:p>
      <w:r>
        <w:t>My background as an electronic engineer spans everything from embedded firmware and microcontroller architectures to Python and C++ programming. During my final engineering project, I engineered a functional CubeSat payload model utilizing LoRa and I2C protocols, and earlier I built a hexapod search and rescue robot. Because I am currently based in Melbourne on a Working Holiday Visa with full working rights, I am ready to dive straight into hands-on robot testing, custom software integration, and field deployments.</w:t>
      </w:r>
    </w:p>
    <w:p/>
    <w:p>
      <w:r>
        <w:t xml:space="preserve">I thrive in fast-moving environments where you have to read unfamiliar SDK documentation, tackle unexpected hardware glitches, and figure things out on the fly. I would love the chance to bring this practical mindset to your team and help shape the future of commercial robotics in Australia. 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