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also estimated and used to for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Tackenberg, 2008, constant rate, Jones 2017, exponential with different values for theoretical model, Levey bolker 2 papers lognormal).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the same overall probability distribution, but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w:t>
      </w:r>
      <w:r>
        <w:t xml:space="preserve"> </w:t>
      </w:r>
      <w:r>
        <w:rPr>
          <w:b/>
        </w:rPr>
        <w:t xml:space="preserve">Double check if these are the Erlang and hyperexponential distributions, not sure it is worth it to mention here though</w:t>
      </w:r>
      <w:r>
        <w:t xml:space="preserve">. Considering that</w:t>
      </w:r>
      <w:r>
        <w:t xml:space="preserve"> </w:t>
      </w:r>
      <w:r>
        <w:rPr>
          <w:i/>
        </w:rPr>
        <w:t xml:space="preserve">Pteroglossus pluricinctus</w:t>
      </w:r>
      <w:r>
        <w:t xml:space="preserve">, the focus frugivore in this paper, by belonging to social groups their movement patterns might be correlated, 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pPr>
        <w:pStyle w:val="Heading2"/>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 latter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rates.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presented a maximum retention time of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seed in our simulation runs.</w:t>
      </w:r>
    </w:p>
    <w:p>
      <w:pPr>
        <w:pStyle w:val="BodyText"/>
      </w:pPr>
      <w:r>
        <w:rPr>
          <w:i/>
        </w:rPr>
        <w:t xml:space="preserve">Include table in the supplement with the movement rates</w:t>
      </w:r>
    </w:p>
    <w:p>
      <w:pPr>
        <w:pStyle w:val="Heading2"/>
      </w:pPr>
      <w:bookmarkStart w:id="25" w:name="model-processes"/>
      <w:r>
        <w:t xml:space="preserve">Model processes</w:t>
      </w:r>
      <w:bookmarkEnd w:id="25"/>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movement and seed dispersal distances to only the scale sampled by previous researchers.</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Once the animal in the simulation consumed the seeds, a movement distance was sampled from the assigned exponential distribution (which varied depending on the underlying model such as the null, individual or family group model) and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animal’s position for the next time step, repeating this process for every time step and thus following an uncorrelated random walk with no directional tendency (</w:t>
      </w:r>
      <w:r>
        <w:rPr>
          <w:i/>
        </w:rPr>
        <w:t xml:space="preserve">Edit references</w:t>
      </w:r>
      <w:r>
        <w:t xml:space="preserve"> </w:t>
      </w:r>
      <w:r>
        <w:t xml:space="preserve">Turchin 1998). Once the simulation run’s time matched the gut retention time for a seed, that seed would get dropped at the animal’s location at that specific time point, thus allowing us to record seed location in the landscape. For each of our models we ran 10,000 simulation runs per individual or family group, depending on the model, and collected information on animal and seed locations at every time step.</w:t>
      </w:r>
    </w:p>
    <w:p>
      <w:pPr>
        <w:pStyle w:val="Heading2"/>
      </w:pPr>
      <w:bookmarkStart w:id="26" w:name="seed-dispersal-and-aggregation-metrics"/>
      <w:r>
        <w:t xml:space="preserve">Seed dispersal and aggregation metrics</w:t>
      </w:r>
      <w:bookmarkEnd w:id="26"/>
    </w:p>
    <w:p>
      <w:pPr>
        <w:pStyle w:val="FirstParagraph"/>
      </w:pPr>
      <w:r>
        <w:t xml:space="preserve">We calculated seed dispersal distance as the euclidean distance of each seed to the parent plant. Given that our models only considered one parent plant located at the origin per simmulation,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sSub>
            <m:e>
              <m:r>
                <m:t>D</m:t>
              </m:r>
            </m:e>
            <m:sub>
              <m:r>
                <m:t>j</m:t>
              </m:r>
            </m:sub>
          </m:sSub>
          <m:r>
            <m:t>=</m:t>
          </m:r>
          <m:f>
            <m:fPr>
              <m:type m:val="bar"/>
            </m:fPr>
            <m:num>
              <m:r>
                <m:t>∑</m:t>
              </m:r>
              <m:rad>
                <m:radPr>
                  <m:degHide m:val="1"/>
                </m:radPr>
                <m:deg/>
                <m:e>
                  <m:r>
                    <m:t>(</m:t>
                  </m:r>
                  <m:sSub>
                    <m:e>
                      <m:r>
                        <m:t>x</m:t>
                      </m:r>
                    </m:e>
                    <m:sub>
                      <m:r>
                        <m:t>m</m:t>
                      </m:r>
                      <m:r>
                        <m:t>j</m:t>
                      </m:r>
                    </m:sub>
                  </m:sSub>
                  <m:r>
                    <m:t>−</m:t>
                  </m:r>
                  <m:sSub>
                    <m:e>
                      <m:r>
                        <m:t>x</m:t>
                      </m:r>
                    </m:e>
                    <m:sub>
                      <m:r>
                        <m:t>i</m:t>
                      </m:r>
                      <m:r>
                        <m:t>j</m:t>
                      </m:r>
                    </m:sub>
                  </m:sSub>
                  <m:sSup>
                    <m:e>
                      <m:r>
                        <m:t>)</m:t>
                      </m:r>
                    </m:e>
                    <m:sup>
                      <m:r>
                        <m:t>2</m:t>
                      </m:r>
                    </m:sup>
                  </m:sSup>
                  <m:r>
                    <m:t>+</m:t>
                  </m:r>
                  <m:r>
                    <m:t>(</m:t>
                  </m:r>
                  <m:sSub>
                    <m:e>
                      <m:r>
                        <m:t>y</m:t>
                      </m:r>
                    </m:e>
                    <m:sub>
                      <m:r>
                        <m:t>m</m:t>
                      </m:r>
                      <m:r>
                        <m:t>j</m:t>
                      </m:r>
                    </m:sub>
                  </m:sSub>
                  <m:r>
                    <m:t>−</m:t>
                  </m:r>
                  <m:sSub>
                    <m:e>
                      <m:r>
                        <m:t>y</m:t>
                      </m:r>
                    </m:e>
                    <m:sub>
                      <m:r>
                        <m:t>i</m:t>
                      </m:r>
                      <m:r>
                        <m:t>j</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r>
              <m:t>j</m:t>
            </m:r>
          </m:sub>
        </m:sSub>
      </m:oMath>
      <w:r>
        <w:t xml:space="preserve"> </w:t>
      </w:r>
      <w:r>
        <w:t xml:space="preserve">and</w:t>
      </w:r>
      <w:r>
        <w:t xml:space="preserve"> </w:t>
      </w:r>
      <m:oMath>
        <m:sSub>
          <m:e>
            <m:r>
              <m:t>y</m:t>
            </m:r>
          </m:e>
          <m:sub>
            <m:r>
              <m:t>m</m:t>
            </m:r>
            <m:r>
              <m:t>j</m:t>
            </m:r>
          </m:sub>
        </m:sSub>
      </m:oMath>
      <w:r>
        <w:t xml:space="preserve"> </w:t>
      </w:r>
      <w:r>
        <w:t xml:space="preserve">is the mean seed location in the</w:t>
      </w:r>
      <w:r>
        <w:t xml:space="preserve"> </w:t>
      </w:r>
      <m:oMath>
        <m:r>
          <m:t>j</m:t>
        </m:r>
      </m:oMath>
      <w:r>
        <w:t xml:space="preserve"> </w:t>
      </w:r>
      <w:r>
        <w:t xml:space="preserve">simulation run. We obtained measures of seed dispersion for each simulation run, thus we calculated the average seed dispersion for each model as</w:t>
      </w:r>
      <w:r>
        <w:t xml:space="preserve"> </w:t>
      </w:r>
      <m:oMath>
        <m:bar>
          <m:barPr>
            <m:pos m:val="top"/>
          </m:barPr>
          <m:e>
            <m:r>
              <m:t>S</m:t>
            </m:r>
            <m:r>
              <m:t>D</m:t>
            </m:r>
          </m:e>
        </m:bar>
        <m:r>
          <m:t>=</m:t>
        </m:r>
        <m:f>
          <m:fPr>
            <m:type m:val="bar"/>
          </m:fPr>
          <m:num>
            <m:r>
              <m:t>∑</m:t>
            </m:r>
            <m:r>
              <m:t>S</m:t>
            </m:r>
            <m:sSub>
              <m:e>
                <m:r>
                  <m:t>D</m:t>
                </m:r>
              </m:e>
              <m:sub>
                <m:r>
                  <m:t>j</m:t>
                </m:r>
              </m:sub>
            </m:sSub>
          </m:num>
          <m:den>
            <m:r>
              <m:t>N</m:t>
            </m:r>
          </m:den>
        </m:f>
      </m:oMath>
      <w:r>
        <w:t xml:space="preserve">, where</w:t>
      </w:r>
      <w:r>
        <w:t xml:space="preserve"> </w:t>
      </w:r>
      <m:oMath>
        <m:r>
          <m:t>N</m:t>
        </m:r>
      </m:oMath>
      <w:r>
        <w:t xml:space="preserve"> </w:t>
      </w:r>
      <w:r>
        <w:t xml:space="preserve">is the total number of simulation runs for the model being considered.The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 (Table1).</w:t>
      </w:r>
    </w:p>
    <w:p>
      <w:pPr>
        <w:pStyle w:val="Heading2"/>
      </w:pPr>
      <w:bookmarkStart w:id="27" w:name="seed-dispersal-kernels"/>
      <w:r>
        <w:t xml:space="preserve">Seed dispersal kernels</w:t>
      </w:r>
      <w:bookmarkEnd w:id="27"/>
    </w:p>
    <w:p>
      <w:pPr>
        <w:pStyle w:val="FirstParagraph"/>
      </w:pPr>
      <w:r>
        <w:t xml:space="preserve">Seed dispersal kernels are functions used to describe the probability of a seed being dispersed or deposited at a specific distance away from its parent plant</w:t>
      </w:r>
      <w:r>
        <w:t xml:space="preserve"> </w:t>
      </w:r>
      <w:r>
        <w:t xml:space="preserve">(Nathan and Muller-Landau 2000)</w:t>
      </w:r>
      <w:r>
        <w:t xml:space="preserve">. The resulting data from our three simulation models provided a dispersal distance for each simulated seed, and thus we used this information to describe the seed dispersal kernels for each model (null, individual, and family). Dispersal kernels in nature tend to be leptokurtic, with a peak near the origin and long tails, therefore kernel shape can be summarized by its kurtosis</w:t>
      </w:r>
      <w:r>
        <w:t xml:space="preserve"> </w:t>
      </w:r>
      <w:r>
        <w:t xml:space="preserve">(Morales and Carlo 2006)</w:t>
      </w:r>
      <w:r>
        <w:t xml:space="preserve">. We quantified the dispersal kernels produced in our models by the sample statistics of mean and kurtosis to describe the overall shape and tail of distribution of seed dispersal distances. 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w:t>
      </w:r>
      <w:r>
        <w:t xml:space="preserve"> </w:t>
      </w:r>
      <w:r>
        <w:t xml:space="preserve">(Morales and Carlo 2006)</w:t>
      </w:r>
      <w:r>
        <w:t xml:space="preserve">. We fit the data associated to seed dispersal distances produced by each of the three models via Maximum Likelihood using the Weibull density function associated with the package</w:t>
      </w:r>
      <w:r>
        <w:t xml:space="preserve"> </w:t>
      </w:r>
      <w:r>
        <w:t xml:space="preserve">‘</w:t>
      </w:r>
      <w:r>
        <w:t xml:space="preserve">fitdistrplus</w:t>
      </w:r>
      <w:r>
        <w:t xml:space="preserve">’</w:t>
      </w:r>
      <w:r>
        <w:t xml:space="preserve">(Delignette-Muller and Dutang 2015)</w:t>
      </w:r>
      <w:r>
        <w:t xml:space="preserve">:</w:t>
      </w:r>
    </w:p>
    <w:p>
      <w:pPr>
        <w:pStyle w:val="BodyText"/>
      </w:pPr>
      <m:oMathPara>
        <m:oMathParaPr>
          <m:jc m:val="center"/>
        </m:oMathParaPr>
        <m:oMath>
          <m:r>
            <m:t>W</m:t>
          </m:r>
          <m:r>
            <m:t>(</m:t>
          </m:r>
          <m:r>
            <m:t>x</m:t>
          </m:r>
          <m:r>
            <m:t>)</m:t>
          </m:r>
          <m:r>
            <m:t>=</m:t>
          </m:r>
          <m:d>
            <m:dPr>
              <m:begChr m:val="("/>
              <m:endChr m:val=")"/>
              <m:grow/>
            </m:dPr>
            <m:e>
              <m:f>
                <m:fPr>
                  <m:type m:val="bar"/>
                </m:fPr>
                <m:num>
                  <m:r>
                    <m:t>a</m:t>
                  </m:r>
                </m:num>
                <m:den>
                  <m:r>
                    <m:t>b</m:t>
                  </m:r>
                </m:den>
              </m:f>
            </m:e>
          </m:d>
          <m:sSup>
            <m:e>
              <m:d>
                <m:dPr>
                  <m:begChr m:val="("/>
                  <m:endChr m:val=")"/>
                  <m:grow/>
                </m:dPr>
                <m:e>
                  <m:f>
                    <m:fPr>
                      <m:type m:val="bar"/>
                    </m:fPr>
                    <m:num>
                      <m:r>
                        <m:t>x</m:t>
                      </m:r>
                    </m:num>
                    <m:den>
                      <m:r>
                        <m:t>b</m:t>
                      </m:r>
                    </m:den>
                  </m:f>
                </m:e>
              </m:d>
            </m:e>
            <m:sup>
              <m:r>
                <m:t>a</m:t>
              </m:r>
              <m:r>
                <m:t>−</m:t>
              </m:r>
              <m:r>
                <m:t>1</m:t>
              </m:r>
            </m:sup>
          </m:sSup>
          <m:r>
            <m:t>e</m:t>
          </m:r>
          <m:r>
            <m:t>x</m:t>
          </m:r>
          <m:r>
            <m:t>p</m:t>
          </m:r>
          <m:r>
            <m:t>[</m:t>
          </m:r>
          <m:r>
            <m:t>−</m:t>
          </m:r>
          <m:r>
            <m:t>(</m:t>
          </m:r>
          <m:r>
            <m:t>x</m:t>
          </m:r>
          <m:r>
            <m:t>/</m:t>
          </m:r>
          <m:r>
            <m:t>b</m:t>
          </m:r>
          <m:sSup>
            <m:e>
              <m:r>
                <m:t>)</m:t>
              </m:r>
            </m:e>
            <m:sup>
              <m:r>
                <m:t>a</m:t>
              </m:r>
            </m:sup>
          </m:sSup>
          <m:r>
            <m:t>]</m:t>
          </m:r>
        </m:oMath>
      </m:oMathPara>
    </w:p>
    <w:p>
      <w:pPr>
        <w:pStyle w:val="FirstParagraph"/>
      </w:pPr>
      <w:r>
        <w:t xml:space="preserve">Where the shape parameter</w:t>
      </w:r>
      <w:r>
        <w:t xml:space="preserve"> </w:t>
      </w:r>
      <m:oMath>
        <m:r>
          <m:t>a</m:t>
        </m:r>
      </m:oMath>
      <w:r>
        <w:t xml:space="preserve"> </w:t>
      </w:r>
      <w:r>
        <w:t xml:space="preserve">determines the tail of the distribution, and</w:t>
      </w:r>
      <w:r>
        <w:t xml:space="preserve"> </w:t>
      </w:r>
      <m:oMath>
        <m:r>
          <m:t>b</m:t>
        </m:r>
      </m:oMath>
      <w:r>
        <w:t xml:space="preserve"> </w:t>
      </w:r>
      <w:r>
        <w:t xml:space="preserve">is the scale parameter. It is worth mentioning that the standard parameterization of the Weibull in</w:t>
      </w:r>
      <w:r>
        <w:t xml:space="preserve"> </w:t>
      </w:r>
      <w:r>
        <w:t xml:space="preserve">‘</w:t>
      </w:r>
      <w:r>
        <w:t xml:space="preserve">R</w:t>
      </w:r>
      <w:r>
        <w:t xml:space="preserve">’</w:t>
      </w:r>
      <w:r>
        <w:t xml:space="preserve"> </w:t>
      </w:r>
      <w:r>
        <w:t xml:space="preserve">is different from the parameterization used in Morales and Carlo</w:t>
      </w:r>
      <w:r>
        <w:t xml:space="preserve"> </w:t>
      </w:r>
      <w:r>
        <w:t xml:space="preserve">(2006)</w:t>
      </w:r>
      <w:r>
        <w:t xml:space="preserve">, where the shape parameter</w:t>
      </w:r>
      <w:r>
        <w:t xml:space="preserve"> </w:t>
      </w:r>
      <m:oMath>
        <m:r>
          <m:t>a</m:t>
        </m:r>
        <m:r>
          <m:t>=</m:t>
        </m:r>
        <m:r>
          <m:t>ν</m:t>
        </m:r>
      </m:oMath>
      <w:r>
        <w:t xml:space="preserve"> </w:t>
      </w:r>
      <w:r>
        <w:t xml:space="preserve">remains the same, but the scale parameter is defined as</w:t>
      </w:r>
      <w:r>
        <w:t xml:space="preserve"> </w:t>
      </w:r>
      <m:oMath>
        <m:r>
          <m:t>κ</m:t>
        </m:r>
        <m:r>
          <m:t>=</m:t>
        </m:r>
        <m:sSup>
          <m:e>
            <m:r>
              <m:t>b</m:t>
            </m:r>
          </m:e>
          <m:sup>
            <m:r>
              <m:t>−</m:t>
            </m:r>
            <m:r>
              <m:t>ν</m:t>
            </m:r>
          </m:sup>
        </m:sSup>
      </m:oMath>
      <w:r>
        <w:t xml:space="preserve">, giving a density distribution function of</w:t>
      </w:r>
      <w:r>
        <w:t xml:space="preserve"> </w:t>
      </w:r>
      <m:oMath>
        <m:r>
          <m:t>W</m:t>
        </m:r>
        <m:r>
          <m:t>(</m:t>
        </m:r>
        <m:r>
          <m:t>r</m:t>
        </m:r>
        <m:r>
          <m:t>)</m:t>
        </m:r>
        <m:r>
          <m:t>=</m:t>
        </m:r>
        <m:r>
          <m:t>κ</m:t>
        </m:r>
        <m:r>
          <m:t>ν</m:t>
        </m:r>
        <m:sSup>
          <m:e>
            <m:r>
              <m:t>r</m:t>
            </m:r>
          </m:e>
          <m:sup>
            <m:r>
              <m:t>ν</m:t>
            </m:r>
            <m:r>
              <m:t>−</m:t>
            </m:r>
            <m:r>
              <m:t>1</m:t>
            </m:r>
          </m:sup>
        </m:sSup>
        <m:r>
          <m:t>e</m:t>
        </m:r>
        <m:r>
          <m:t>x</m:t>
        </m:r>
        <m:r>
          <m:t>p</m:t>
        </m:r>
        <m:r>
          <m:t>[</m:t>
        </m:r>
        <m:r>
          <m:t>−</m:t>
        </m:r>
        <m:sSup>
          <m:e>
            <m:r>
              <m:t>κ</m:t>
            </m:r>
            <m:r>
              <m:t>r</m:t>
            </m:r>
          </m:e>
          <m:sup>
            <m:r>
              <m:t>ν</m:t>
            </m:r>
          </m:sup>
        </m:sSup>
        <m:r>
          <m:t>]</m:t>
        </m:r>
      </m:oMath>
      <w:r>
        <w:t xml:space="preserve">.</w:t>
      </w:r>
      <w:r>
        <w:t xml:space="preserve"> </w:t>
      </w:r>
      <w:r>
        <w:t xml:space="preserve"> </w:t>
      </w:r>
      <w:r>
        <w:t xml:space="preserve">Since the shape parameter remains the same, we can note that for</w:t>
      </w:r>
      <w:r>
        <w:t xml:space="preserve"> </w:t>
      </w:r>
      <m:oMath>
        <m:r>
          <m:t>a</m:t>
        </m:r>
        <m:r>
          <m:t>=</m:t>
        </m:r>
        <m:r>
          <m:t>ν</m:t>
        </m:r>
        <m:r>
          <m:t>=</m:t>
        </m:r>
        <m:r>
          <m:t>1</m:t>
        </m:r>
      </m:oMath>
      <w:r>
        <w:t xml:space="preserve"> </w:t>
      </w:r>
      <w:r>
        <w:t xml:space="preserve">the distribution shows a tail with exponential decay, with values of</w:t>
      </w:r>
      <w:r>
        <w:t xml:space="preserve"> </w:t>
      </w:r>
      <m:oMath>
        <m:r>
          <m:t>ν</m:t>
        </m:r>
        <m:r>
          <m:t>&lt;</m:t>
        </m:r>
        <m:r>
          <m:t>1</m:t>
        </m:r>
      </m:oMath>
      <w:r>
        <w:t xml:space="preserve"> </w:t>
      </w:r>
      <w:r>
        <w:t xml:space="preserve">the tail shows fast-decay, and when</w:t>
      </w:r>
      <w:r>
        <w:t xml:space="preserve"> </w:t>
      </w:r>
      <m:oMath>
        <m:r>
          <m:t>ν</m:t>
        </m:r>
        <m:r>
          <m:t>&gt;</m:t>
        </m:r>
        <m:r>
          <m:t>1</m:t>
        </m:r>
      </m:oMath>
      <w:r>
        <w:t xml:space="preserve"> </w:t>
      </w:r>
      <w:r>
        <w:t xml:space="preserve">we can see a fat-tailed distribution (Fig 2.) We visually assessed the fit of the distributions via qqplots and used the Kolmogorov-Smirnov statistic to assess goodness of fit (Supplementary information).</w:t>
      </w:r>
    </w:p>
    <w:p>
      <w:pPr>
        <w:pStyle w:val="BodyText"/>
      </w:pPr>
      <w:r>
        <w:t xml:space="preserve">Fig 2. Caption: Variation in Weibull distributions determined by the value of the shape parameter. The scale parameter is defined as</w:t>
      </w:r>
      <w:r>
        <w:t xml:space="preserve"> </w:t>
      </w:r>
      <m:oMath>
        <m:r>
          <m:t>b</m:t>
        </m:r>
        <m:r>
          <m:t>=</m:t>
        </m:r>
        <m:r>
          <m:t>1</m:t>
        </m:r>
      </m:oMath>
      <w:r>
        <w:t xml:space="preserve">, and the shape parameters are defined as follows: solid line</w:t>
      </w:r>
      <w:r>
        <w:t xml:space="preserve"> </w:t>
      </w:r>
      <m:oMath>
        <m:r>
          <m:t>a</m:t>
        </m:r>
        <m:r>
          <m:t>=</m:t>
        </m:r>
        <m:r>
          <m:t>ν</m:t>
        </m:r>
        <m:r>
          <m:t>=</m:t>
        </m:r>
        <m:r>
          <m:t>1</m:t>
        </m:r>
      </m:oMath>
      <w:r>
        <w:t xml:space="preserve"> </w:t>
      </w:r>
      <w:r>
        <w:t xml:space="preserve">shows an exponential decay tail, dashed line</w:t>
      </w:r>
      <w:r>
        <w:t xml:space="preserve"> </w:t>
      </w:r>
      <m:oMath>
        <m:r>
          <m:t>a</m:t>
        </m:r>
        <m:r>
          <m:t>=</m:t>
        </m:r>
        <m:r>
          <m:t>ν</m:t>
        </m:r>
        <m:r>
          <m:t>=</m:t>
        </m:r>
        <m:r>
          <m:t>0.2</m:t>
        </m:r>
      </m:oMath>
      <w:r>
        <w:t xml:space="preserve"> </w:t>
      </w:r>
      <w:r>
        <w:t xml:space="preserve">shows a thin tail, and</w:t>
      </w:r>
      <w:r>
        <w:t xml:space="preserve"> </w:t>
      </w:r>
      <m:oMath>
        <m:r>
          <m:t>a</m:t>
        </m:r>
        <m:r>
          <m:t>=</m:t>
        </m:r>
        <m:r>
          <m:t>ν</m:t>
        </m:r>
        <m:r>
          <m:t>=</m:t>
        </m:r>
        <m:r>
          <m:t>2</m:t>
        </m:r>
      </m:oMath>
      <w:r>
        <w:t xml:space="preserve"> </w:t>
      </w:r>
      <w:r>
        <w:t xml:space="preserve">describes a fat tail with the dotted line.</w:t>
      </w:r>
    </w:p>
    <w:p>
      <w:pPr>
        <w:pStyle w:val="BodyText"/>
      </w:pPr>
      <w:r>
        <w:drawing>
          <wp:inline>
            <wp:extent cx="2772075" cy="2310063"/>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8"/>
                    <a:stretch>
                      <a:fillRect/>
                    </a:stretch>
                  </pic:blipFill>
                  <pic:spPr bwMode="auto">
                    <a:xfrm>
                      <a:off x="0" y="0"/>
                      <a:ext cx="2772075" cy="2310063"/>
                    </a:xfrm>
                    <a:prstGeom prst="rect">
                      <a:avLst/>
                    </a:prstGeom>
                    <a:noFill/>
                    <a:ln w="9525">
                      <a:noFill/>
                      <a:headEnd/>
                      <a:tailEnd/>
                    </a:ln>
                  </pic:spPr>
                </pic:pic>
              </a:graphicData>
            </a:graphic>
          </wp:inline>
        </w:drawing>
      </w:r>
      <w:r>
        <w:t xml:space="preserve"> </w:t>
      </w: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1"/>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29" w:name="results"/>
      <w:r>
        <w:t xml:space="preserve">Results</w:t>
      </w:r>
      <w:bookmarkEnd w:id="29"/>
    </w:p>
    <w:p>
      <w:pPr>
        <w:pStyle w:val="Heading2"/>
      </w:pPr>
      <w:bookmarkStart w:id="30" w:name="X517745398f8e01222fa87a48972b438e45beeae"/>
      <w:r>
        <w:t xml:space="preserve">Seed dispersal distances and long distance dispersal</w:t>
      </w:r>
      <w:bookmarkEnd w:id="30"/>
    </w:p>
    <w:p>
      <w:pPr>
        <w:pStyle w:val="FirstParagraph"/>
      </w:pPr>
      <w:r>
        <w:rPr>
          <w:b/>
        </w:rPr>
        <w:t xml:space="preserve">Figure 3.</w:t>
      </w:r>
      <w:r>
        <w:t xml:space="preserve"> </w:t>
      </w:r>
      <w:r>
        <w:drawing>
          <wp:inline>
            <wp:extent cx="5544151" cy="3696101"/>
            <wp:effectExtent b="0" l="0" r="0" t="0"/>
            <wp:docPr descr="" title="" id="1" name="Picture"/>
            <a:graphic>
              <a:graphicData uri="http://schemas.openxmlformats.org/drawingml/2006/picture">
                <pic:pic>
                  <pic:nvPicPr>
                    <pic:cNvPr descr="paper_files/figure-docx/unnamed-chunk-3-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32" w:name="seed-dispersion-aggregation"/>
      <w:r>
        <w:t xml:space="preserve">Seed dispersion aggregation</w:t>
      </w:r>
      <w:bookmarkEnd w:id="32"/>
    </w:p>
    <w:p>
      <w:pPr>
        <w:pStyle w:val="FirstParagraph"/>
      </w:pPr>
      <w:r>
        <w:t xml:space="preserve">The mean dispersal in the boxplots is not the same as the dispersal distances before. This mean dispersal is the distance from the origin to the mean seed location in each simulation run. The mean seed location is used to calculate dispersion, as the average distance of each seed to the mean seed location, as shown in Figure 1.</w:t>
      </w:r>
    </w:p>
    <w:p>
      <w:pPr>
        <w:pStyle w:val="BodyText"/>
      </w:pPr>
      <w:r>
        <w:rPr>
          <w:b/>
        </w:rPr>
        <w:t xml:space="preserve">Figure 4.</w:t>
      </w:r>
      <w:r>
        <w:t xml:space="preserve"> </w:t>
      </w:r>
      <w:r>
        <w:drawing>
          <wp:inline>
            <wp:extent cx="2772075" cy="4620126"/>
            <wp:effectExtent b="0" l="0" r="0" t="0"/>
            <wp:docPr descr="" title="" id="1" name="Picture"/>
            <a:graphic>
              <a:graphicData uri="http://schemas.openxmlformats.org/drawingml/2006/picture">
                <pic:pic>
                  <pic:nvPicPr>
                    <pic:cNvPr descr="paper_files/figure-docx/unnamed-chunk-4-1.png" id="0" name="Picture"/>
                    <pic:cNvPicPr>
                      <a:picLocks noChangeArrowheads="1" noChangeAspect="1"/>
                    </pic:cNvPicPr>
                  </pic:nvPicPr>
                  <pic:blipFill>
                    <a:blip r:embed="rId33"/>
                    <a:stretch>
                      <a:fillRect/>
                    </a:stretch>
                  </pic:blipFill>
                  <pic:spPr bwMode="auto">
                    <a:xfrm>
                      <a:off x="0" y="0"/>
                      <a:ext cx="2772075" cy="462012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se_dispersal</w:t>
            </w:r>
          </w:p>
        </w:tc>
        <w:tc>
          <w:tcPr>
            <w:tcBorders>
              <w:bottom w:val="single"/>
            </w:tcBorders>
            <w:vAlign w:val="bottom"/>
          </w:tcPr>
          <w:p>
            <w:pPr>
              <w:pStyle w:val="Compact"/>
              <w:jc w:val="right"/>
            </w:pPr>
            <w:r>
              <w:t xml:space="preserve">mean_dispersal</w:t>
            </w:r>
          </w:p>
        </w:tc>
        <w:tc>
          <w:tcPr>
            <w:tcBorders>
              <w:bottom w:val="single"/>
            </w:tcBorders>
            <w:vAlign w:val="bottom"/>
          </w:tcPr>
          <w:p>
            <w:pPr>
              <w:pStyle w:val="Compact"/>
              <w:jc w:val="right"/>
            </w:pPr>
            <w:r>
              <w:t xml:space="preserve">se_dispersion</w:t>
            </w:r>
          </w:p>
        </w:tc>
        <w:tc>
          <w:tcPr>
            <w:tcBorders>
              <w:bottom w:val="single"/>
            </w:tcBorders>
            <w:vAlign w:val="bottom"/>
          </w:tcPr>
          <w:p>
            <w:pPr>
              <w:pStyle w:val="Compact"/>
              <w:jc w:val="right"/>
            </w:pPr>
            <w:r>
              <w:t xml:space="preserve">mean_dispersion</w:t>
            </w:r>
          </w:p>
        </w:tc>
      </w:tr>
      <w:tr>
        <w:tc>
          <w:p>
            <w:pPr>
              <w:pStyle w:val="Compact"/>
              <w:jc w:val="left"/>
            </w:pPr>
            <w:r>
              <w:t xml:space="preserve">Null</w:t>
            </w:r>
          </w:p>
        </w:tc>
        <w:tc>
          <w:p>
            <w:pPr>
              <w:pStyle w:val="Compact"/>
              <w:jc w:val="right"/>
            </w:pPr>
            <w:r>
              <w:t xml:space="preserve">25.04650</w:t>
            </w:r>
          </w:p>
        </w:tc>
        <w:tc>
          <w:p>
            <w:pPr>
              <w:pStyle w:val="Compact"/>
              <w:jc w:val="right"/>
            </w:pPr>
            <w:r>
              <w:t xml:space="preserve">183.6816</w:t>
            </w:r>
          </w:p>
        </w:tc>
        <w:tc>
          <w:p>
            <w:pPr>
              <w:pStyle w:val="Compact"/>
              <w:jc w:val="right"/>
            </w:pPr>
            <w:r>
              <w:t xml:space="preserve">32.87569</w:t>
            </w:r>
          </w:p>
        </w:tc>
        <w:tc>
          <w:p>
            <w:pPr>
              <w:pStyle w:val="Compact"/>
              <w:jc w:val="right"/>
            </w:pPr>
            <w:r>
              <w:t xml:space="preserve">68.32904</w:t>
            </w:r>
          </w:p>
        </w:tc>
      </w:tr>
      <w:tr>
        <w:tc>
          <w:p>
            <w:pPr>
              <w:pStyle w:val="Compact"/>
              <w:jc w:val="left"/>
            </w:pPr>
            <w:r>
              <w:t xml:space="preserve">Individual</w:t>
            </w:r>
          </w:p>
        </w:tc>
        <w:tc>
          <w:p>
            <w:pPr>
              <w:pStyle w:val="Compact"/>
              <w:jc w:val="right"/>
            </w:pPr>
            <w:r>
              <w:t xml:space="preserve">24.68238</w:t>
            </w:r>
          </w:p>
        </w:tc>
        <w:tc>
          <w:p>
            <w:pPr>
              <w:pStyle w:val="Compact"/>
              <w:jc w:val="right"/>
            </w:pPr>
            <w:r>
              <w:t xml:space="preserve">180.8265</w:t>
            </w:r>
          </w:p>
        </w:tc>
        <w:tc>
          <w:p>
            <w:pPr>
              <w:pStyle w:val="Compact"/>
              <w:jc w:val="right"/>
            </w:pPr>
            <w:r>
              <w:t xml:space="preserve">40.50100</w:t>
            </w:r>
          </w:p>
        </w:tc>
        <w:tc>
          <w:p>
            <w:pPr>
              <w:pStyle w:val="Compact"/>
              <w:jc w:val="right"/>
            </w:pPr>
            <w:r>
              <w:t xml:space="preserve">67.26339</w:t>
            </w:r>
          </w:p>
        </w:tc>
      </w:tr>
      <w:tr>
        <w:tc>
          <w:p>
            <w:pPr>
              <w:pStyle w:val="Compact"/>
              <w:jc w:val="left"/>
            </w:pPr>
            <w:r>
              <w:t xml:space="preserve">Family</w:t>
            </w:r>
          </w:p>
        </w:tc>
        <w:tc>
          <w:p>
            <w:pPr>
              <w:pStyle w:val="Compact"/>
              <w:jc w:val="right"/>
            </w:pPr>
            <w:r>
              <w:t xml:space="preserve">23.01852</w:t>
            </w:r>
          </w:p>
        </w:tc>
        <w:tc>
          <w:p>
            <w:pPr>
              <w:pStyle w:val="Compact"/>
              <w:jc w:val="right"/>
            </w:pPr>
            <w:r>
              <w:t xml:space="preserve">169.0487</w:t>
            </w:r>
          </w:p>
        </w:tc>
        <w:tc>
          <w:p>
            <w:pPr>
              <w:pStyle w:val="Compact"/>
              <w:jc w:val="right"/>
            </w:pPr>
            <w:r>
              <w:t xml:space="preserve">35.73505</w:t>
            </w:r>
          </w:p>
        </w:tc>
        <w:tc>
          <w:p>
            <w:pPr>
              <w:pStyle w:val="Compact"/>
              <w:jc w:val="right"/>
            </w:pPr>
            <w:r>
              <w:t xml:space="preserve">62.78556</w:t>
            </w:r>
          </w:p>
        </w:tc>
      </w:tr>
    </w:tbl>
    <w:p>
      <w:pPr>
        <w:pStyle w:val="Heading2"/>
      </w:pPr>
      <w:bookmarkStart w:id="34" w:name="weibull-seed-dispersal-kernel"/>
      <w:r>
        <w:t xml:space="preserve">Weibull seed dispersal kernel</w:t>
      </w:r>
      <w:bookmarkEnd w:id="34"/>
    </w:p>
    <w:p>
      <w:pPr>
        <w:pStyle w:val="FirstParagraph"/>
      </w:pPr>
      <w:r>
        <w:rPr>
          <w:b/>
        </w:rPr>
        <w:t xml:space="preserve">Table 1.</w:t>
      </w:r>
    </w:p>
    <w:tbl>
      <w:tblPr>
        <w:tblStyle w:val="Table"/>
        <w:tblW w:type="pct" w:w="5000.0"/>
        <w:tblLook w:firstRow="1"/>
      </w:tblPr>
      <w:tblGrid>
        <w:gridCol w:w="880"/>
        <w:gridCol w:w="1200"/>
        <w:gridCol w:w="1280"/>
        <w:gridCol w:w="1120"/>
        <w:gridCol w:w="1120"/>
        <w:gridCol w:w="1200"/>
        <w:gridCol w:w="112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Mean_dispersal</w:t>
            </w:r>
          </w:p>
        </w:tc>
        <w:tc>
          <w:tcPr>
            <w:tcBorders>
              <w:bottom w:val="single"/>
            </w:tcBorders>
            <w:vAlign w:val="bottom"/>
          </w:tcPr>
          <w:p>
            <w:pPr>
              <w:pStyle w:val="Compact"/>
              <w:jc w:val="right"/>
            </w:pPr>
            <w:r>
              <w:t xml:space="preserve">Seed_dispersion</w:t>
            </w:r>
          </w:p>
        </w:tc>
        <w:tc>
          <w:tcPr>
            <w:tcBorders>
              <w:bottom w:val="single"/>
            </w:tcBorders>
            <w:vAlign w:val="bottom"/>
          </w:tcPr>
          <w:p>
            <w:pPr>
              <w:pStyle w:val="Compact"/>
              <w:jc w:val="right"/>
            </w:pPr>
            <w:r>
              <w:t xml:space="preserve">Max_dispersal</w:t>
            </w:r>
          </w:p>
        </w:tc>
        <w:tc>
          <w:tcPr>
            <w:tcBorders>
              <w:bottom w:val="single"/>
            </w:tcBorders>
            <w:vAlign w:val="bottom"/>
          </w:tcPr>
          <w:p>
            <w:pPr>
              <w:pStyle w:val="Compact"/>
              <w:jc w:val="left"/>
            </w:pPr>
            <w:r>
              <w:t xml:space="preserve">LDD</w:t>
            </w:r>
          </w:p>
        </w:tc>
        <w:tc>
          <w:tcPr>
            <w:tcBorders>
              <w:bottom w:val="single"/>
            </w:tcBorders>
            <w:vAlign w:val="bottom"/>
          </w:tcPr>
          <w:p>
            <w:pPr>
              <w:pStyle w:val="Compact"/>
              <w:jc w:val="left"/>
            </w:pPr>
            <w:r>
              <w:t xml:space="preserve">Weibull_Shape</w:t>
            </w:r>
          </w:p>
        </w:tc>
        <w:tc>
          <w:tcPr>
            <w:tcBorders>
              <w:bottom w:val="single"/>
            </w:tcBorders>
            <w:vAlign w:val="bottom"/>
          </w:tcPr>
          <w:p>
            <w:pPr>
              <w:pStyle w:val="Compact"/>
              <w:jc w:val="left"/>
            </w:pPr>
            <w:r>
              <w:t xml:space="preserve">Weibull_Scale</w:t>
            </w:r>
          </w:p>
        </w:tc>
      </w:tr>
      <w:tr>
        <w:tc>
          <w:p>
            <w:pPr>
              <w:pStyle w:val="Compact"/>
              <w:jc w:val="left"/>
            </w:pPr>
            <w:r>
              <w:t xml:space="preserve">Null</w:t>
            </w:r>
          </w:p>
        </w:tc>
        <w:tc>
          <w:p>
            <w:pPr>
              <w:pStyle w:val="Compact"/>
              <w:jc w:val="right"/>
            </w:pPr>
            <w:r>
              <w:t xml:space="preserve">183.7</w:t>
            </w:r>
          </w:p>
        </w:tc>
        <w:tc>
          <w:p>
            <w:pPr>
              <w:pStyle w:val="Compact"/>
              <w:jc w:val="right"/>
            </w:pPr>
            <w:r>
              <w:t xml:space="preserve">68.33</w:t>
            </w:r>
          </w:p>
        </w:tc>
        <w:tc>
          <w:p>
            <w:pPr>
              <w:pStyle w:val="Compact"/>
              <w:jc w:val="right"/>
            </w:pPr>
            <w:r>
              <w:t xml:space="preserve">1077</w:t>
            </w:r>
          </w:p>
        </w:tc>
        <w:tc>
          <w:p>
            <w:pPr>
              <w:pStyle w:val="Compact"/>
              <w:jc w:val="left"/>
            </w:pPr>
            <w:r>
              <w:t xml:space="preserve">5.39 (0.003)%</w:t>
            </w:r>
          </w:p>
        </w:tc>
        <w:tc>
          <w:p>
            <w:pPr>
              <w:pStyle w:val="Compact"/>
              <w:jc w:val="left"/>
            </w:pPr>
            <w:r>
              <w:t xml:space="preserve">1.794 (0.0018)</w:t>
            </w:r>
          </w:p>
        </w:tc>
        <w:tc>
          <w:p>
            <w:pPr>
              <w:pStyle w:val="Compact"/>
              <w:jc w:val="left"/>
            </w:pPr>
            <w:r>
              <w:t xml:space="preserve">206.8 (0.16)</w:t>
            </w:r>
          </w:p>
        </w:tc>
      </w:tr>
      <w:tr>
        <w:tc>
          <w:p>
            <w:pPr>
              <w:pStyle w:val="Compact"/>
              <w:jc w:val="left"/>
            </w:pPr>
            <w:r>
              <w:t xml:space="preserve">Individual</w:t>
            </w:r>
          </w:p>
        </w:tc>
        <w:tc>
          <w:p>
            <w:pPr>
              <w:pStyle w:val="Compact"/>
              <w:jc w:val="right"/>
            </w:pPr>
            <w:r>
              <w:t xml:space="preserve">180.8</w:t>
            </w:r>
          </w:p>
        </w:tc>
        <w:tc>
          <w:p>
            <w:pPr>
              <w:pStyle w:val="Compact"/>
              <w:jc w:val="right"/>
            </w:pPr>
            <w:r>
              <w:t xml:space="preserve">67.26</w:t>
            </w:r>
          </w:p>
        </w:tc>
        <w:tc>
          <w:p>
            <w:pPr>
              <w:pStyle w:val="Compact"/>
              <w:jc w:val="right"/>
            </w:pPr>
            <w:r>
              <w:t xml:space="preserve">1373</w:t>
            </w:r>
          </w:p>
        </w:tc>
        <w:tc>
          <w:p>
            <w:pPr>
              <w:pStyle w:val="Compact"/>
              <w:jc w:val="left"/>
            </w:pPr>
            <w:r>
              <w:t xml:space="preserve">13.9 (0.2)%</w:t>
            </w:r>
          </w:p>
        </w:tc>
        <w:tc>
          <w:p>
            <w:pPr>
              <w:pStyle w:val="Compact"/>
              <w:jc w:val="left"/>
            </w:pPr>
            <w:r>
              <w:t xml:space="preserve">1.525 (0.0015)</w:t>
            </w:r>
          </w:p>
        </w:tc>
        <w:tc>
          <w:p>
            <w:pPr>
              <w:pStyle w:val="Compact"/>
              <w:jc w:val="left"/>
            </w:pPr>
            <w:r>
              <w:t xml:space="preserve">201.5 (0.18)</w:t>
            </w:r>
          </w:p>
        </w:tc>
      </w:tr>
      <w:tr>
        <w:tc>
          <w:p>
            <w:pPr>
              <w:pStyle w:val="Compact"/>
              <w:jc w:val="left"/>
            </w:pPr>
            <w:r>
              <w:t xml:space="preserve">Family</w:t>
            </w:r>
          </w:p>
        </w:tc>
        <w:tc>
          <w:p>
            <w:pPr>
              <w:pStyle w:val="Compact"/>
              <w:jc w:val="right"/>
            </w:pPr>
            <w:r>
              <w:t xml:space="preserve">169.0</w:t>
            </w:r>
          </w:p>
        </w:tc>
        <w:tc>
          <w:p>
            <w:pPr>
              <w:pStyle w:val="Compact"/>
              <w:jc w:val="right"/>
            </w:pPr>
            <w:r>
              <w:t xml:space="preserve">62.79</w:t>
            </w:r>
          </w:p>
        </w:tc>
        <w:tc>
          <w:p>
            <w:pPr>
              <w:pStyle w:val="Compact"/>
              <w:jc w:val="right"/>
            </w:pPr>
            <w:r>
              <w:t xml:space="preserve">1469</w:t>
            </w:r>
          </w:p>
        </w:tc>
        <w:tc>
          <w:p>
            <w:pPr>
              <w:pStyle w:val="Compact"/>
              <w:jc w:val="left"/>
            </w:pPr>
            <w:r>
              <w:t xml:space="preserve">7.41 (0.1)%</w:t>
            </w:r>
          </w:p>
        </w:tc>
        <w:tc>
          <w:p>
            <w:pPr>
              <w:pStyle w:val="Compact"/>
              <w:jc w:val="left"/>
            </w:pPr>
            <w:r>
              <w:t xml:space="preserve">1.594 (0.002)</w:t>
            </w:r>
          </w:p>
        </w:tc>
        <w:tc>
          <w:p>
            <w:pPr>
              <w:pStyle w:val="Compact"/>
              <w:jc w:val="left"/>
            </w:pPr>
            <w:r>
              <w:t xml:space="preserve">189.2 (0.21)</w:t>
            </w:r>
          </w:p>
        </w:tc>
      </w:tr>
    </w:tbl>
    <w:p>
      <w:pPr>
        <w:pStyle w:val="Heading2"/>
      </w:pPr>
      <w:bookmarkStart w:id="35" w:name="extreme-distributions-to-fit-dispersal"/>
      <w:r>
        <w:t xml:space="preserve">Extreme distributions to fit dispersal</w:t>
      </w:r>
      <w:bookmarkEnd w:id="35"/>
    </w:p>
    <w:p>
      <w:pPr>
        <w:pStyle w:val="FirstParagraph"/>
      </w:pP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2"/>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36" w:name="discussion"/>
      <w:r>
        <w:t xml:space="preserve">Discussion</w:t>
      </w:r>
      <w:bookmarkEnd w:id="36"/>
    </w:p>
    <w:p>
      <w:pPr>
        <w:pStyle w:val="FirstParagraph"/>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7" w:name="conclusion"/>
      <w:r>
        <w:t xml:space="preserve">Conclusion</w:t>
      </w:r>
      <w:bookmarkEnd w:id="37"/>
    </w:p>
    <w:p>
      <w:pPr>
        <w:pStyle w:val="Heading1"/>
      </w:pPr>
      <w:bookmarkStart w:id="38" w:name="acknowledgements"/>
      <w:r>
        <w:t xml:space="preserve">Acknowledgements</w:t>
      </w:r>
      <w:bookmarkEnd w:id="38"/>
    </w:p>
    <w:p>
      <w:pPr>
        <w:pStyle w:val="Heading1"/>
      </w:pPr>
      <w:bookmarkStart w:id="39" w:name="references"/>
      <w:r>
        <w:t xml:space="preserve">References</w:t>
      </w:r>
      <w:bookmarkEnd w:id="39"/>
    </w:p>
    <w:bookmarkStart w:id="96" w:name="refs"/>
    <w:bookmarkStart w:id="41"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40">
        <w:r>
          <w:rPr>
            <w:rStyle w:val="Hyperlink"/>
          </w:rPr>
          <w:t xml:space="preserve">https://doi.org/10.1111/j.1461-0248.2011.01662.x</w:t>
        </w:r>
      </w:hyperlink>
      <w:r>
        <w:t xml:space="preserve">.</w:t>
      </w:r>
    </w:p>
    <w:bookmarkEnd w:id="41"/>
    <w:bookmarkStart w:id="43"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42">
        <w:r>
          <w:rPr>
            <w:rStyle w:val="Hyperlink"/>
          </w:rPr>
          <w:t xml:space="preserve">https://doi.org/10.1890/02-8011</w:t>
        </w:r>
      </w:hyperlink>
      <w:r>
        <w:t xml:space="preserve">.</w:t>
      </w:r>
    </w:p>
    <w:bookmarkEnd w:id="43"/>
    <w:bookmarkStart w:id="45"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4">
        <w:r>
          <w:rPr>
            <w:rStyle w:val="Hyperlink"/>
          </w:rPr>
          <w:t xml:space="preserve">https://doi.org/10.1016/j.tree.2011.01.009</w:t>
        </w:r>
      </w:hyperlink>
      <w:r>
        <w:t xml:space="preserve">.</w:t>
      </w:r>
    </w:p>
    <w:bookmarkEnd w:id="45"/>
    <w:bookmarkStart w:id="47"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6">
        <w:r>
          <w:rPr>
            <w:rStyle w:val="Hyperlink"/>
          </w:rPr>
          <w:t xml:space="preserve">https://doi.org/10.1098/rspb.2010.0018</w:t>
        </w:r>
      </w:hyperlink>
      <w:r>
        <w:t xml:space="preserve">.</w:t>
      </w:r>
    </w:p>
    <w:bookmarkEnd w:id="47"/>
    <w:bookmarkStart w:id="49"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8">
        <w:r>
          <w:rPr>
            <w:rStyle w:val="Hyperlink"/>
          </w:rPr>
          <w:t xml:space="preserve">https://doi.org/10.1086/343878</w:t>
        </w:r>
      </w:hyperlink>
      <w:r>
        <w:t xml:space="preserve">.</w:t>
      </w:r>
    </w:p>
    <w:bookmarkEnd w:id="49"/>
    <w:bookmarkStart w:id="50"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50"/>
    <w:bookmarkStart w:id="51"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51"/>
    <w:bookmarkStart w:id="53"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52">
        <w:r>
          <w:rPr>
            <w:rStyle w:val="Hyperlink"/>
          </w:rPr>
          <w:t xml:space="preserve">https://doi.org/10.1111/j.1469-185X.2012.00250.x</w:t>
        </w:r>
      </w:hyperlink>
      <w:r>
        <w:t xml:space="preserve">.</w:t>
      </w:r>
    </w:p>
    <w:bookmarkEnd w:id="53"/>
    <w:bookmarkStart w:id="54"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4"/>
    <w:bookmarkStart w:id="56" w:name="ref-fitdistrplus"/>
    <w:p>
      <w:pPr>
        <w:pStyle w:val="Bibliography"/>
      </w:pPr>
      <w:r>
        <w:t xml:space="preserve">Delignette-Muller, Marie Laure, and Christophe Dutang. 2015. “fitdistrplus: An R Package for Fitting Distributions.”</w:t>
      </w:r>
      <w:r>
        <w:t xml:space="preserve"> </w:t>
      </w:r>
      <w:r>
        <w:rPr>
          <w:i/>
        </w:rPr>
        <w:t xml:space="preserve">Journal of Statistical Software</w:t>
      </w:r>
      <w:r>
        <w:t xml:space="preserve"> </w:t>
      </w:r>
      <w:r>
        <w:t xml:space="preserve">64 (4): 1–34.</w:t>
      </w:r>
      <w:r>
        <w:t xml:space="preserve"> </w:t>
      </w:r>
      <w:hyperlink r:id="rId55">
        <w:r>
          <w:rPr>
            <w:rStyle w:val="Hyperlink"/>
          </w:rPr>
          <w:t xml:space="preserve">http://www.jstatsoft.org/v64/i04/</w:t>
        </w:r>
      </w:hyperlink>
      <w:r>
        <w:t xml:space="preserve">.</w:t>
      </w:r>
    </w:p>
    <w:bookmarkEnd w:id="56"/>
    <w:bookmarkStart w:id="58"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7">
        <w:r>
          <w:rPr>
            <w:rStyle w:val="Hyperlink"/>
          </w:rPr>
          <w:t xml:space="preserve">https://doi.org/10.1111/ecog.01357</w:t>
        </w:r>
      </w:hyperlink>
      <w:r>
        <w:t xml:space="preserve">.</w:t>
      </w:r>
    </w:p>
    <w:bookmarkEnd w:id="58"/>
    <w:bookmarkStart w:id="60"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9">
        <w:r>
          <w:rPr>
            <w:rStyle w:val="Hyperlink"/>
          </w:rPr>
          <w:t xml:space="preserve">https://doi.org/10.1016/j.tree.2016.06.009</w:t>
        </w:r>
      </w:hyperlink>
      <w:r>
        <w:t xml:space="preserve">.</w:t>
      </w:r>
    </w:p>
    <w:bookmarkEnd w:id="60"/>
    <w:bookmarkStart w:id="62"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61">
        <w:r>
          <w:rPr>
            <w:rStyle w:val="Hyperlink"/>
          </w:rPr>
          <w:t xml:space="preserve">https://doi.org/10.1111/j.1744-7429.2010.00710.x</w:t>
        </w:r>
      </w:hyperlink>
      <w:r>
        <w:t xml:space="preserve">.</w:t>
      </w:r>
    </w:p>
    <w:bookmarkEnd w:id="62"/>
    <w:bookmarkStart w:id="63" w:name="ref-holbrook2007seed"/>
    <w:p>
      <w:pPr>
        <w:pStyle w:val="Bibliography"/>
      </w:pPr>
      <w:r>
        <w:t xml:space="preserve">Holbrook, Kimberly Mae. 2007. “Seed Dispersal Limitation in a Neotropical Nutmeg, Virola Flexuosa (Myristicaceae): An Ecological and Genetic Approach.”</w:t>
      </w:r>
    </w:p>
    <w:bookmarkEnd w:id="63"/>
    <w:bookmarkStart w:id="64"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4"/>
    <w:bookmarkStart w:id="66"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5">
        <w:r>
          <w:rPr>
            <w:rStyle w:val="Hyperlink"/>
          </w:rPr>
          <w:t xml:space="preserve">https://doi.org/10.1890/08-1332.1</w:t>
        </w:r>
      </w:hyperlink>
      <w:r>
        <w:t xml:space="preserve">.</w:t>
      </w:r>
    </w:p>
    <w:bookmarkEnd w:id="66"/>
    <w:bookmarkStart w:id="67"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7"/>
    <w:bookmarkStart w:id="68"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8"/>
    <w:bookmarkStart w:id="69"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9"/>
    <w:bookmarkStart w:id="71"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70">
        <w:r>
          <w:rPr>
            <w:rStyle w:val="Hyperlink"/>
          </w:rPr>
          <w:t xml:space="preserve">https://www.jstor.org/stable/3451006</w:t>
        </w:r>
      </w:hyperlink>
      <w:r>
        <w:t xml:space="preserve">.</w:t>
      </w:r>
    </w:p>
    <w:bookmarkEnd w:id="71"/>
    <w:bookmarkStart w:id="73"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72">
        <w:r>
          <w:rPr>
            <w:rStyle w:val="Hyperlink"/>
          </w:rPr>
          <w:t xml:space="preserve">https://doi.org/10.1002/ece3.3113</w:t>
        </w:r>
      </w:hyperlink>
      <w:r>
        <w:t xml:space="preserve">.</w:t>
      </w:r>
    </w:p>
    <w:bookmarkEnd w:id="73"/>
    <w:bookmarkStart w:id="74"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74"/>
    <w:bookmarkStart w:id="76"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75">
        <w:r>
          <w:rPr>
            <w:rStyle w:val="Hyperlink"/>
          </w:rPr>
          <w:t xml:space="preserve">https://doi.org/10.1126/science.1111479</w:t>
        </w:r>
      </w:hyperlink>
      <w:r>
        <w:t xml:space="preserve">.</w:t>
      </w:r>
    </w:p>
    <w:bookmarkEnd w:id="76"/>
    <w:bookmarkStart w:id="77"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7"/>
    <w:bookmarkStart w:id="79"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8">
        <w:r>
          <w:rPr>
            <w:rStyle w:val="Hyperlink"/>
          </w:rPr>
          <w:t xml:space="preserve">https://doi.org/10.1890/0012-9658(2006)87[1489:TEOPDA]2.0.CO;2</w:t>
        </w:r>
      </w:hyperlink>
      <w:r>
        <w:t xml:space="preserve">.</w:t>
      </w:r>
    </w:p>
    <w:bookmarkEnd w:id="79"/>
    <w:bookmarkStart w:id="80"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80"/>
    <w:bookmarkStart w:id="82"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81">
        <w:r>
          <w:rPr>
            <w:rStyle w:val="Hyperlink"/>
          </w:rPr>
          <w:t xml:space="preserve">https://doi.org/10.1016/S0169-5347(00)01874-7</w:t>
        </w:r>
      </w:hyperlink>
      <w:r>
        <w:t xml:space="preserve">.</w:t>
      </w:r>
    </w:p>
    <w:bookmarkEnd w:id="82"/>
    <w:bookmarkStart w:id="84"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83">
        <w:r>
          <w:rPr>
            <w:rStyle w:val="Hyperlink"/>
          </w:rPr>
          <w:t xml:space="preserve">https://doi.org/10.1890/07-1216.1</w:t>
        </w:r>
      </w:hyperlink>
      <w:r>
        <w:t xml:space="preserve">.</w:t>
      </w:r>
    </w:p>
    <w:bookmarkEnd w:id="84"/>
    <w:bookmarkStart w:id="86"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85">
        <w:r>
          <w:rPr>
            <w:rStyle w:val="Hyperlink"/>
          </w:rPr>
          <w:t xml:space="preserve">https://doi.org/10.1890/0012-9658(2006)87[3160:IABISD]2.0.CO;2</w:t>
        </w:r>
      </w:hyperlink>
      <w:r>
        <w:t xml:space="preserve">.</w:t>
      </w:r>
    </w:p>
    <w:bookmarkEnd w:id="86"/>
    <w:bookmarkStart w:id="87"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7"/>
    <w:bookmarkStart w:id="89"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8">
        <w:r>
          <w:rPr>
            <w:rStyle w:val="Hyperlink"/>
          </w:rPr>
          <w:t xml:space="preserve">https://doi.org/10.1111/j.1469-8137.2010.03402.x</w:t>
        </w:r>
      </w:hyperlink>
      <w:r>
        <w:t xml:space="preserve">.</w:t>
      </w:r>
    </w:p>
    <w:bookmarkEnd w:id="89"/>
    <w:bookmarkStart w:id="91"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90">
        <w:r>
          <w:rPr>
            <w:rStyle w:val="Hyperlink"/>
          </w:rPr>
          <w:t xml:space="preserve">https://doi.org/10.1016/j.tree.2011.11.014</w:t>
        </w:r>
      </w:hyperlink>
      <w:r>
        <w:t xml:space="preserve">.</w:t>
      </w:r>
    </w:p>
    <w:bookmarkEnd w:id="91"/>
    <w:bookmarkStart w:id="93"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92">
        <w:r>
          <w:rPr>
            <w:rStyle w:val="Hyperlink"/>
          </w:rPr>
          <w:t xml:space="preserve">https://doi.org/10.1016/j.tree.2012.05.001</w:t>
        </w:r>
      </w:hyperlink>
      <w:r>
        <w:t xml:space="preserve">.</w:t>
      </w:r>
    </w:p>
    <w:bookmarkEnd w:id="93"/>
    <w:bookmarkStart w:id="95"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4">
        <w:r>
          <w:rPr>
            <w:rStyle w:val="Hyperlink"/>
          </w:rPr>
          <w:t xml:space="preserve">https://doi.org/10.1111/brv.12377</w:t>
        </w:r>
      </w:hyperlink>
      <w:r>
        <w:t xml:space="preserve">.</w:t>
      </w:r>
    </w:p>
    <w:bookmarkEnd w:id="95"/>
    <w:bookmarkEnd w:id="96"/>
    <w:sectPr w:rsidR="00452054" w:rsidSect="005A298E">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55" Target="http://www.jstatsoft.org/v64/i04/" TargetMode="External" /><Relationship Type="http://schemas.openxmlformats.org/officeDocument/2006/relationships/hyperlink" Id="rId72" Target="https://doi.org/10.1002/ece3.3113" TargetMode="External" /><Relationship Type="http://schemas.openxmlformats.org/officeDocument/2006/relationships/hyperlink" Id="rId81" Target="https://doi.org/10.1016/S0169-5347(00)01874-7" TargetMode="External" /><Relationship Type="http://schemas.openxmlformats.org/officeDocument/2006/relationships/hyperlink" Id="rId44" Target="https://doi.org/10.1016/j.tree.2011.01.009" TargetMode="External" /><Relationship Type="http://schemas.openxmlformats.org/officeDocument/2006/relationships/hyperlink" Id="rId90" Target="https://doi.org/10.1016/j.tree.2011.11.014" TargetMode="External" /><Relationship Type="http://schemas.openxmlformats.org/officeDocument/2006/relationships/hyperlink" Id="rId92" Target="https://doi.org/10.1016/j.tree.2012.05.001" TargetMode="External" /><Relationship Type="http://schemas.openxmlformats.org/officeDocument/2006/relationships/hyperlink" Id="rId59" Target="https://doi.org/10.1016/j.tree.2016.06.009" TargetMode="External" /><Relationship Type="http://schemas.openxmlformats.org/officeDocument/2006/relationships/hyperlink" Id="rId48" Target="https://doi.org/10.1086/343878" TargetMode="External" /><Relationship Type="http://schemas.openxmlformats.org/officeDocument/2006/relationships/hyperlink" Id="rId46" Target="https://doi.org/10.1098/rspb.2010.0018" TargetMode="External" /><Relationship Type="http://schemas.openxmlformats.org/officeDocument/2006/relationships/hyperlink" Id="rId94" Target="https://doi.org/10.1111/brv.12377" TargetMode="External" /><Relationship Type="http://schemas.openxmlformats.org/officeDocument/2006/relationships/hyperlink" Id="rId57" Target="https://doi.org/10.1111/ecog.01357" TargetMode="External" /><Relationship Type="http://schemas.openxmlformats.org/officeDocument/2006/relationships/hyperlink" Id="rId40" Target="https://doi.org/10.1111/j.1461-0248.2011.01662.x" TargetMode="External" /><Relationship Type="http://schemas.openxmlformats.org/officeDocument/2006/relationships/hyperlink" Id="rId52" Target="https://doi.org/10.1111/j.1469-185X.2012.00250.x" TargetMode="External" /><Relationship Type="http://schemas.openxmlformats.org/officeDocument/2006/relationships/hyperlink" Id="rId88" Target="https://doi.org/10.1111/j.1469-8137.2010.03402.x" TargetMode="External" /><Relationship Type="http://schemas.openxmlformats.org/officeDocument/2006/relationships/hyperlink" Id="rId61" Target="https://doi.org/10.1111/j.1744-7429.2010.00710.x" TargetMode="External" /><Relationship Type="http://schemas.openxmlformats.org/officeDocument/2006/relationships/hyperlink" Id="rId75" Target="https://doi.org/10.1126/science.1111479" TargetMode="External" /><Relationship Type="http://schemas.openxmlformats.org/officeDocument/2006/relationships/hyperlink" Id="rId78" Target="https://doi.org/10.1890/0012-9658(2006)87%5B1489:TEOPDA%5D2.0.CO;2" TargetMode="External" /><Relationship Type="http://schemas.openxmlformats.org/officeDocument/2006/relationships/hyperlink" Id="rId85" Target="https://doi.org/10.1890/0012-9658(2006)87%5B3160:IABISD%5D2.0.CO;2" TargetMode="External" /><Relationship Type="http://schemas.openxmlformats.org/officeDocument/2006/relationships/hyperlink" Id="rId42" Target="https://doi.org/10.1890/02-8011" TargetMode="External" /><Relationship Type="http://schemas.openxmlformats.org/officeDocument/2006/relationships/hyperlink" Id="rId83" Target="https://doi.org/10.1890/07-1216.1" TargetMode="External" /><Relationship Type="http://schemas.openxmlformats.org/officeDocument/2006/relationships/hyperlink" Id="rId65" Target="https://doi.org/10.1890/08-1332.1" TargetMode="External" /><Relationship Type="http://schemas.openxmlformats.org/officeDocument/2006/relationships/hyperlink" Id="rId70"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64/i04/" TargetMode="External" /><Relationship Type="http://schemas.openxmlformats.org/officeDocument/2006/relationships/hyperlink" Id="rId72" Target="https://doi.org/10.1002/ece3.3113" TargetMode="External" /><Relationship Type="http://schemas.openxmlformats.org/officeDocument/2006/relationships/hyperlink" Id="rId81" Target="https://doi.org/10.1016/S0169-5347(00)01874-7" TargetMode="External" /><Relationship Type="http://schemas.openxmlformats.org/officeDocument/2006/relationships/hyperlink" Id="rId44" Target="https://doi.org/10.1016/j.tree.2011.01.009" TargetMode="External" /><Relationship Type="http://schemas.openxmlformats.org/officeDocument/2006/relationships/hyperlink" Id="rId90" Target="https://doi.org/10.1016/j.tree.2011.11.014" TargetMode="External" /><Relationship Type="http://schemas.openxmlformats.org/officeDocument/2006/relationships/hyperlink" Id="rId92" Target="https://doi.org/10.1016/j.tree.2012.05.001" TargetMode="External" /><Relationship Type="http://schemas.openxmlformats.org/officeDocument/2006/relationships/hyperlink" Id="rId59" Target="https://doi.org/10.1016/j.tree.2016.06.009" TargetMode="External" /><Relationship Type="http://schemas.openxmlformats.org/officeDocument/2006/relationships/hyperlink" Id="rId48" Target="https://doi.org/10.1086/343878" TargetMode="External" /><Relationship Type="http://schemas.openxmlformats.org/officeDocument/2006/relationships/hyperlink" Id="rId46" Target="https://doi.org/10.1098/rspb.2010.0018" TargetMode="External" /><Relationship Type="http://schemas.openxmlformats.org/officeDocument/2006/relationships/hyperlink" Id="rId94" Target="https://doi.org/10.1111/brv.12377" TargetMode="External" /><Relationship Type="http://schemas.openxmlformats.org/officeDocument/2006/relationships/hyperlink" Id="rId57" Target="https://doi.org/10.1111/ecog.01357" TargetMode="External" /><Relationship Type="http://schemas.openxmlformats.org/officeDocument/2006/relationships/hyperlink" Id="rId40" Target="https://doi.org/10.1111/j.1461-0248.2011.01662.x" TargetMode="External" /><Relationship Type="http://schemas.openxmlformats.org/officeDocument/2006/relationships/hyperlink" Id="rId52" Target="https://doi.org/10.1111/j.1469-185X.2012.00250.x" TargetMode="External" /><Relationship Type="http://schemas.openxmlformats.org/officeDocument/2006/relationships/hyperlink" Id="rId88" Target="https://doi.org/10.1111/j.1469-8137.2010.03402.x" TargetMode="External" /><Relationship Type="http://schemas.openxmlformats.org/officeDocument/2006/relationships/hyperlink" Id="rId61" Target="https://doi.org/10.1111/j.1744-7429.2010.00710.x" TargetMode="External" /><Relationship Type="http://schemas.openxmlformats.org/officeDocument/2006/relationships/hyperlink" Id="rId75" Target="https://doi.org/10.1126/science.1111479" TargetMode="External" /><Relationship Type="http://schemas.openxmlformats.org/officeDocument/2006/relationships/hyperlink" Id="rId78" Target="https://doi.org/10.1890/0012-9658(2006)87%5B1489:TEOPDA%5D2.0.CO;2" TargetMode="External" /><Relationship Type="http://schemas.openxmlformats.org/officeDocument/2006/relationships/hyperlink" Id="rId85" Target="https://doi.org/10.1890/0012-9658(2006)87%5B3160:IABISD%5D2.0.CO;2" TargetMode="External" /><Relationship Type="http://schemas.openxmlformats.org/officeDocument/2006/relationships/hyperlink" Id="rId42" Target="https://doi.org/10.1890/02-8011" TargetMode="External" /><Relationship Type="http://schemas.openxmlformats.org/officeDocument/2006/relationships/hyperlink" Id="rId83" Target="https://doi.org/10.1890/07-1216.1" TargetMode="External" /><Relationship Type="http://schemas.openxmlformats.org/officeDocument/2006/relationships/hyperlink" Id="rId65" Target="https://doi.org/10.1890/08-1332.1" TargetMode="External" /><Relationship Type="http://schemas.openxmlformats.org/officeDocument/2006/relationships/hyperlink" Id="rId70"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2021-01-15T17:31:26Z</dcterms:created>
  <dcterms:modified xsi:type="dcterms:W3CDTF">2021-01-15T17:31:26Z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