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Individual</w:t>
      </w:r>
      <w:r>
        <w:t xml:space="preserve"> </w:t>
      </w:r>
      <w:r>
        <w:t xml:space="preserve">Variation</w:t>
      </w:r>
      <w:r>
        <w:t xml:space="preserve"> </w:t>
      </w:r>
      <w:r>
        <w:t xml:space="preserve">in</w:t>
      </w:r>
      <w:r>
        <w:t xml:space="preserve"> </w:t>
      </w:r>
      <w:r>
        <w:t xml:space="preserve">Animal</w:t>
      </w:r>
      <w:r>
        <w:t xml:space="preserve"> </w:t>
      </w:r>
      <w:r>
        <w:t xml:space="preserve">Movement</w:t>
      </w:r>
      <w:r>
        <w:t xml:space="preserve"> </w:t>
      </w:r>
      <w:r>
        <w:t xml:space="preserve">and</w:t>
      </w:r>
      <w:r>
        <w:t xml:space="preserve"> </w:t>
      </w:r>
      <w:r>
        <w:t xml:space="preserve">Effects</w:t>
      </w:r>
      <w:r>
        <w:t xml:space="preserve"> </w:t>
      </w:r>
      <w:r>
        <w:t xml:space="preserve">on</w:t>
      </w:r>
      <w:r>
        <w:t xml:space="preserve"> </w:t>
      </w:r>
      <w:r>
        <w:t xml:space="preserve">Seed</w:t>
      </w:r>
      <w:r>
        <w:t xml:space="preserve"> </w:t>
      </w:r>
      <w:r>
        <w:t xml:space="preserve">Dispersal</w:t>
      </w:r>
      <w:r>
        <w:t xml:space="preserve"> </w:t>
      </w:r>
      <w:r>
        <w:t xml:space="preserve">Distance</w:t>
      </w:r>
    </w:p>
    <w:p>
      <w:pPr>
        <w:pStyle w:val="Abstract"/>
      </w:pPr>
      <w:r>
        <w:t xml:space="preserve">I</w:t>
      </w:r>
      <w:r>
        <w:t xml:space="preserve"> </w:t>
      </w:r>
      <w:r>
        <w:t xml:space="preserve">don’t</w:t>
      </w:r>
      <w:r>
        <w:t xml:space="preserve"> </w:t>
      </w:r>
      <w:r>
        <w:t xml:space="preserve">like</w:t>
      </w:r>
      <w:r>
        <w:t xml:space="preserve"> </w:t>
      </w:r>
      <w:r>
        <w:t xml:space="preserve">this</w:t>
      </w:r>
      <w:r>
        <w:t xml:space="preserve"> </w:t>
      </w:r>
      <w:r>
        <w:t xml:space="preserve">abstract.</w:t>
      </w:r>
      <w:r>
        <w:t xml:space="preserve"> </w:t>
      </w:r>
      <w:r>
        <w:t xml:space="preserve">Revisit</w:t>
      </w:r>
      <w:r>
        <w:t xml:space="preserve"> </w:t>
      </w:r>
      <w:r>
        <w:t xml:space="preserve">at</w:t>
      </w:r>
      <w:r>
        <w:t xml:space="preserve"> </w:t>
      </w:r>
      <w:r>
        <w:t xml:space="preserve">the</w:t>
      </w:r>
      <w:r>
        <w:t xml:space="preserve"> </w:t>
      </w:r>
      <w:r>
        <w:t xml:space="preserve">end…Seed</w:t>
      </w:r>
      <w:r>
        <w:t xml:space="preserve"> </w:t>
      </w:r>
      <w:r>
        <w:t xml:space="preserve">dispersal</w:t>
      </w:r>
      <w:r>
        <w:t xml:space="preserve"> </w:t>
      </w:r>
      <w:r>
        <w:t xml:space="preserve">is</w:t>
      </w:r>
      <w:r>
        <w:t xml:space="preserve"> </w:t>
      </w:r>
      <w:r>
        <w:t xml:space="preserve">a</w:t>
      </w:r>
      <w:r>
        <w:t xml:space="preserve"> </w:t>
      </w:r>
      <w:r>
        <w:t xml:space="preserve">fundamental</w:t>
      </w:r>
      <w:r>
        <w:t xml:space="preserve"> </w:t>
      </w:r>
      <w:r>
        <w:t xml:space="preserve">process</w:t>
      </w:r>
      <w:r>
        <w:t xml:space="preserve"> </w:t>
      </w:r>
      <w:r>
        <w:t xml:space="preserve">in</w:t>
      </w:r>
      <w:r>
        <w:t xml:space="preserve"> </w:t>
      </w:r>
      <w:r>
        <w:t xml:space="preserve">plant</w:t>
      </w:r>
      <w:r>
        <w:t xml:space="preserve"> </w:t>
      </w:r>
      <w:r>
        <w:t xml:space="preserve">ecology</w:t>
      </w:r>
      <w:r>
        <w:t xml:space="preserve"> </w:t>
      </w:r>
      <w:r>
        <w:t xml:space="preserve">and</w:t>
      </w:r>
      <w:r>
        <w:t xml:space="preserve"> </w:t>
      </w:r>
      <w:r>
        <w:t xml:space="preserve">due</w:t>
      </w:r>
      <w:r>
        <w:t xml:space="preserve"> </w:t>
      </w:r>
      <w:r>
        <w:t xml:space="preserve">to</w:t>
      </w:r>
      <w:r>
        <w:t xml:space="preserve"> </w:t>
      </w:r>
      <w:r>
        <w:t xml:space="preserve">its</w:t>
      </w:r>
      <w:r>
        <w:t xml:space="preserve"> </w:t>
      </w:r>
      <w:r>
        <w:t xml:space="preserve">high</w:t>
      </w:r>
      <w:r>
        <w:t xml:space="preserve"> </w:t>
      </w:r>
      <w:r>
        <w:t xml:space="preserve">importance</w:t>
      </w:r>
      <w:r>
        <w:t xml:space="preserve"> </w:t>
      </w:r>
      <w:r>
        <w:t xml:space="preserve">in</w:t>
      </w:r>
      <w:r>
        <w:t xml:space="preserve"> </w:t>
      </w:r>
      <w:r>
        <w:t xml:space="preserve">the</w:t>
      </w:r>
      <w:r>
        <w:t xml:space="preserve"> </w:t>
      </w:r>
      <w:r>
        <w:t xml:space="preserve">ecosystem,</w:t>
      </w:r>
      <w:r>
        <w:t xml:space="preserve"> </w:t>
      </w:r>
      <w:r>
        <w:t xml:space="preserve">various</w:t>
      </w:r>
      <w:r>
        <w:t xml:space="preserve"> </w:t>
      </w:r>
      <w:r>
        <w:t xml:space="preserve">modelling</w:t>
      </w:r>
      <w:r>
        <w:t xml:space="preserve"> </w:t>
      </w:r>
      <w:r>
        <w:t xml:space="preserve">approaches</w:t>
      </w:r>
      <w:r>
        <w:t xml:space="preserve"> </w:t>
      </w:r>
      <w:r>
        <w:t xml:space="preserve">have</w:t>
      </w:r>
      <w:r>
        <w:t xml:space="preserve"> </w:t>
      </w:r>
      <w:r>
        <w:t xml:space="preserve">been</w:t>
      </w:r>
      <w:r>
        <w:t xml:space="preserve"> </w:t>
      </w:r>
      <w:r>
        <w:t xml:space="preserve">developed</w:t>
      </w:r>
      <w:r>
        <w:t xml:space="preserve"> </w:t>
      </w:r>
      <w:r>
        <w:t xml:space="preserve">to</w:t>
      </w:r>
      <w:r>
        <w:t xml:space="preserve"> </w:t>
      </w:r>
      <w:r>
        <w:t xml:space="preserve">understand</w:t>
      </w:r>
      <w:r>
        <w:t xml:space="preserve"> </w:t>
      </w:r>
      <w:r>
        <w:t xml:space="preserve">seed</w:t>
      </w:r>
      <w:r>
        <w:t xml:space="preserve"> </w:t>
      </w:r>
      <w:r>
        <w:t xml:space="preserve">movement</w:t>
      </w:r>
      <w:r>
        <w:t xml:space="preserve"> </w:t>
      </w:r>
      <w:r>
        <w:t xml:space="preserve">and</w:t>
      </w:r>
      <w:r>
        <w:t xml:space="preserve"> </w:t>
      </w:r>
      <w:r>
        <w:t xml:space="preserve">dispersal</w:t>
      </w:r>
      <w:r>
        <w:t xml:space="preserve"> </w:t>
      </w:r>
      <w:r>
        <w:t xml:space="preserve">mechanisms.</w:t>
      </w:r>
      <w:r>
        <w:t xml:space="preserve"> </w:t>
      </w:r>
      <w:r>
        <w:t xml:space="preserve">In</w:t>
      </w:r>
      <w:r>
        <w:t xml:space="preserve"> </w:t>
      </w:r>
      <w:r>
        <w:t xml:space="preserve">particular,</w:t>
      </w:r>
      <w:r>
        <w:t xml:space="preserve"> </w:t>
      </w:r>
      <w:r>
        <w:t xml:space="preserve">long-distance</w:t>
      </w:r>
      <w:r>
        <w:t xml:space="preserve"> </w:t>
      </w:r>
      <w:r>
        <w:t xml:space="preserve">seed</w:t>
      </w:r>
      <w:r>
        <w:t xml:space="preserve"> </w:t>
      </w:r>
      <w:r>
        <w:t xml:space="preserve">dispersal</w:t>
      </w:r>
      <w:r>
        <w:t xml:space="preserve"> </w:t>
      </w:r>
      <w:r>
        <w:t xml:space="preserve">(LDD)</w:t>
      </w:r>
      <w:r>
        <w:t xml:space="preserve"> </w:t>
      </w:r>
      <w:r>
        <w:t xml:space="preserve">plays</w:t>
      </w:r>
      <w:r>
        <w:t xml:space="preserve"> </w:t>
      </w:r>
      <w:r>
        <w:t xml:space="preserve">a</w:t>
      </w:r>
      <w:r>
        <w:t xml:space="preserve"> </w:t>
      </w:r>
      <w:r>
        <w:t xml:space="preserve">significant</w:t>
      </w:r>
      <w:r>
        <w:t xml:space="preserve"> </w:t>
      </w:r>
      <w:r>
        <w:t xml:space="preserve">role</w:t>
      </w:r>
      <w:r>
        <w:t xml:space="preserve"> </w:t>
      </w:r>
      <w:r>
        <w:t xml:space="preserve">in</w:t>
      </w:r>
      <w:r>
        <w:t xml:space="preserve"> </w:t>
      </w:r>
      <w:r>
        <w:t xml:space="preserve">determining</w:t>
      </w:r>
      <w:r>
        <w:t xml:space="preserve"> </w:t>
      </w:r>
      <w:r>
        <w:t xml:space="preserve">a</w:t>
      </w:r>
      <w:r>
        <w:t xml:space="preserve"> </w:t>
      </w:r>
      <w:r>
        <w:t xml:space="preserve">population’s</w:t>
      </w:r>
      <w:r>
        <w:t xml:space="preserve"> </w:t>
      </w:r>
      <w:r>
        <w:t xml:space="preserve">genetic</w:t>
      </w:r>
      <w:r>
        <w:t xml:space="preserve"> </w:t>
      </w:r>
      <w:r>
        <w:t xml:space="preserve">diversity</w:t>
      </w:r>
      <w:r>
        <w:t xml:space="preserve"> </w:t>
      </w:r>
      <w:r>
        <w:t xml:space="preserve">and</w:t>
      </w:r>
      <w:r>
        <w:t xml:space="preserve"> </w:t>
      </w:r>
      <w:r>
        <w:t xml:space="preserve">range</w:t>
      </w:r>
      <w:r>
        <w:t xml:space="preserve"> </w:t>
      </w:r>
      <w:r>
        <w:t xml:space="preserve">expansion.</w:t>
      </w:r>
      <w:r>
        <w:t xml:space="preserve"> </w:t>
      </w:r>
      <w:r>
        <w:t xml:space="preserve">Animal-mediated</w:t>
      </w:r>
      <w:r>
        <w:t xml:space="preserve"> </w:t>
      </w:r>
      <w:r>
        <w:t xml:space="preserve">seed</w:t>
      </w:r>
      <w:r>
        <w:t xml:space="preserve"> </w:t>
      </w:r>
      <w:r>
        <w:t xml:space="preserve">dispersal</w:t>
      </w:r>
      <w:r>
        <w:t xml:space="preserve"> </w:t>
      </w:r>
      <w:r>
        <w:t xml:space="preserve">is</w:t>
      </w:r>
      <w:r>
        <w:t xml:space="preserve"> </w:t>
      </w:r>
      <w:r>
        <w:t xml:space="preserve">a</w:t>
      </w:r>
      <w:r>
        <w:t xml:space="preserve"> </w:t>
      </w:r>
      <w:r>
        <w:t xml:space="preserve">key</w:t>
      </w:r>
      <w:r>
        <w:t xml:space="preserve"> </w:t>
      </w:r>
      <w:r>
        <w:t xml:space="preserve">component</w:t>
      </w:r>
      <w:r>
        <w:t xml:space="preserve"> </w:t>
      </w:r>
      <w:r>
        <w:t xml:space="preserve">of</w:t>
      </w:r>
      <w:r>
        <w:t xml:space="preserve"> </w:t>
      </w:r>
      <w:r>
        <w:t xml:space="preserve">LDD</w:t>
      </w:r>
      <w:r>
        <w:t xml:space="preserve"> </w:t>
      </w:r>
      <w:r>
        <w:t xml:space="preserve">events,</w:t>
      </w:r>
      <w:r>
        <w:t xml:space="preserve"> </w:t>
      </w:r>
      <w:r>
        <w:t xml:space="preserve">as</w:t>
      </w:r>
      <w:r>
        <w:t xml:space="preserve"> </w:t>
      </w:r>
      <w:r>
        <w:t xml:space="preserve">frugivores</w:t>
      </w:r>
      <w:r>
        <w:t xml:space="preserve"> </w:t>
      </w:r>
      <w:r>
        <w:t xml:space="preserve">can</w:t>
      </w:r>
      <w:r>
        <w:t xml:space="preserve"> </w:t>
      </w:r>
      <w:r>
        <w:t xml:space="preserve">travel</w:t>
      </w:r>
      <w:r>
        <w:t xml:space="preserve"> </w:t>
      </w:r>
      <w:r>
        <w:t xml:space="preserve">long</w:t>
      </w:r>
      <w:r>
        <w:t xml:space="preserve"> </w:t>
      </w:r>
      <w:r>
        <w:t xml:space="preserve">distances</w:t>
      </w:r>
      <w:r>
        <w:t xml:space="preserve"> </w:t>
      </w:r>
      <w:r>
        <w:t xml:space="preserve">and</w:t>
      </w:r>
      <w:r>
        <w:t xml:space="preserve"> </w:t>
      </w:r>
      <w:r>
        <w:t xml:space="preserve">transport</w:t>
      </w:r>
      <w:r>
        <w:t xml:space="preserve"> </w:t>
      </w:r>
      <w:r>
        <w:t xml:space="preserve">seeds</w:t>
      </w:r>
      <w:r>
        <w:t xml:space="preserve"> </w:t>
      </w:r>
      <w:r>
        <w:t xml:space="preserve">with</w:t>
      </w:r>
      <w:r>
        <w:t xml:space="preserve"> </w:t>
      </w:r>
      <w:r>
        <w:t xml:space="preserve">them.</w:t>
      </w:r>
      <w:r>
        <w:t xml:space="preserve"> </w:t>
      </w:r>
      <w:r>
        <w:t xml:space="preserve">In</w:t>
      </w:r>
      <w:r>
        <w:t xml:space="preserve"> </w:t>
      </w:r>
      <w:r>
        <w:t xml:space="preserve">this</w:t>
      </w:r>
      <w:r>
        <w:t xml:space="preserve"> </w:t>
      </w:r>
      <w:r>
        <w:t xml:space="preserve">study</w:t>
      </w:r>
      <w:r>
        <w:t xml:space="preserve"> </w:t>
      </w:r>
      <w:r>
        <w:t xml:space="preserve">we</w:t>
      </w:r>
      <w:r>
        <w:t xml:space="preserve"> </w:t>
      </w:r>
      <w:r>
        <w:t xml:space="preserve">seek</w:t>
      </w:r>
      <w:r>
        <w:t xml:space="preserve"> </w:t>
      </w:r>
      <w:r>
        <w:t xml:space="preserve">to</w:t>
      </w:r>
      <w:r>
        <w:t xml:space="preserve"> </w:t>
      </w:r>
      <w:r>
        <w:t xml:space="preserve">understand</w:t>
      </w:r>
      <w:r>
        <w:t xml:space="preserve"> </w:t>
      </w:r>
      <w:r>
        <w:t xml:space="preserve">the</w:t>
      </w:r>
      <w:r>
        <w:t xml:space="preserve"> </w:t>
      </w:r>
      <w:r>
        <w:t xml:space="preserve">implications</w:t>
      </w:r>
      <w:r>
        <w:t xml:space="preserve"> </w:t>
      </w:r>
      <w:r>
        <w:t xml:space="preserve">of</w:t>
      </w:r>
      <w:r>
        <w:t xml:space="preserve"> </w:t>
      </w:r>
      <w:r>
        <w:t xml:space="preserve">individual</w:t>
      </w:r>
      <w:r>
        <w:t xml:space="preserve"> </w:t>
      </w:r>
      <w:r>
        <w:t xml:space="preserve">variation</w:t>
      </w:r>
      <w:r>
        <w:t xml:space="preserve"> </w:t>
      </w:r>
      <w:r>
        <w:t xml:space="preserve">in</w:t>
      </w:r>
      <w:r>
        <w:t xml:space="preserve"> </w:t>
      </w:r>
      <w:r>
        <w:t xml:space="preserve">animal</w:t>
      </w:r>
      <w:r>
        <w:t xml:space="preserve"> </w:t>
      </w:r>
      <w:r>
        <w:t xml:space="preserve">movement</w:t>
      </w:r>
      <w:r>
        <w:t xml:space="preserve"> </w:t>
      </w:r>
      <w:r>
        <w:t xml:space="preserve">and</w:t>
      </w:r>
      <w:r>
        <w:t xml:space="preserve"> </w:t>
      </w:r>
      <w:r>
        <w:t xml:space="preserve">how</w:t>
      </w:r>
      <w:r>
        <w:t xml:space="preserve"> </w:t>
      </w:r>
      <w:r>
        <w:t xml:space="preserve">these</w:t>
      </w:r>
      <w:r>
        <w:t xml:space="preserve"> </w:t>
      </w:r>
      <w:r>
        <w:t xml:space="preserve">can</w:t>
      </w:r>
      <w:r>
        <w:t xml:space="preserve"> </w:t>
      </w:r>
      <w:r>
        <w:t xml:space="preserve">impact</w:t>
      </w:r>
      <w:r>
        <w:t xml:space="preserve"> </w:t>
      </w:r>
      <w:r>
        <w:t xml:space="preserve">estimates</w:t>
      </w:r>
      <w:r>
        <w:t xml:space="preserve"> </w:t>
      </w:r>
      <w:r>
        <w:t xml:space="preserve">of</w:t>
      </w:r>
      <w:r>
        <w:t xml:space="preserve"> </w:t>
      </w:r>
      <w:r>
        <w:t xml:space="preserve">long</w:t>
      </w:r>
      <w:r>
        <w:t xml:space="preserve"> </w:t>
      </w:r>
      <w:r>
        <w:t xml:space="preserve">distance</w:t>
      </w:r>
      <w:r>
        <w:t xml:space="preserve"> </w:t>
      </w:r>
      <w:r>
        <w:t xml:space="preserve">seed</w:t>
      </w:r>
      <w:r>
        <w:t xml:space="preserve"> </w:t>
      </w:r>
      <w:r>
        <w:t xml:space="preserve">dispersal.</w:t>
      </w:r>
      <w:r>
        <w:t xml:space="preserve"> </w:t>
      </w:r>
      <w:r>
        <w:t xml:space="preserve">We</w:t>
      </w:r>
      <w:r>
        <w:t xml:space="preserve"> </w:t>
      </w:r>
      <w:r>
        <w:t xml:space="preserve">apply</w:t>
      </w:r>
      <w:r>
        <w:t xml:space="preserve"> </w:t>
      </w:r>
      <w:r>
        <w:t xml:space="preserve">these</w:t>
      </w:r>
      <w:r>
        <w:t xml:space="preserve"> </w:t>
      </w:r>
      <w:r>
        <w:t xml:space="preserve">methods</w:t>
      </w:r>
      <w:r>
        <w:t xml:space="preserve"> </w:t>
      </w:r>
      <w:r>
        <w:t xml:space="preserve">to</w:t>
      </w:r>
      <w:r>
        <w:t xml:space="preserve"> </w:t>
      </w:r>
      <w:r>
        <w:t xml:space="preserve">empirical</w:t>
      </w:r>
      <w:r>
        <w:t xml:space="preserve"> </w:t>
      </w:r>
      <w:r>
        <w:t xml:space="preserve">data</w:t>
      </w:r>
      <w:r>
        <w:t xml:space="preserve"> </w:t>
      </w:r>
      <w:r>
        <w:t xml:space="preserve">sets</w:t>
      </w:r>
      <w:r>
        <w:t xml:space="preserve"> </w:t>
      </w:r>
      <w:r>
        <w:t xml:space="preserve">that</w:t>
      </w:r>
      <w:r>
        <w:t xml:space="preserve"> </w:t>
      </w:r>
      <w:r>
        <w:t xml:space="preserve">contain</w:t>
      </w:r>
      <w:r>
        <w:t xml:space="preserve"> </w:t>
      </w:r>
      <w:r>
        <w:t xml:space="preserve">locations</w:t>
      </w:r>
      <w:r>
        <w:t xml:space="preserve"> </w:t>
      </w:r>
      <w:r>
        <w:t xml:space="preserve">for</w:t>
      </w:r>
      <w:r>
        <w:t xml:space="preserve"> </w:t>
      </w:r>
      <w:r>
        <w:t xml:space="preserve">an</w:t>
      </w:r>
      <w:r>
        <w:t xml:space="preserve"> </w:t>
      </w:r>
      <w:r>
        <w:t xml:space="preserve">araçari,</w:t>
      </w:r>
      <w:r>
        <w:t xml:space="preserve"> </w:t>
      </w:r>
      <w:r>
        <w:rPr>
          <w:i/>
        </w:rPr>
        <w:t xml:space="preserve">Pteroglossus</w:t>
      </w:r>
      <w:r>
        <w:rPr>
          <w:i/>
        </w:rPr>
        <w:t xml:space="preserve"> </w:t>
      </w:r>
      <w:r>
        <w:rPr>
          <w:i/>
        </w:rPr>
        <w:t xml:space="preserve">pluricintus</w:t>
      </w:r>
      <w:r>
        <w:t xml:space="preserve">,</w:t>
      </w:r>
      <w:r>
        <w:t xml:space="preserve"> </w:t>
      </w:r>
      <w:r>
        <w:t xml:space="preserve">one</w:t>
      </w:r>
      <w:r>
        <w:t xml:space="preserve"> </w:t>
      </w:r>
      <w:r>
        <w:t xml:space="preserve">of</w:t>
      </w:r>
      <w:r>
        <w:t xml:space="preserve"> </w:t>
      </w:r>
      <w:r>
        <w:t xml:space="preserve">the</w:t>
      </w:r>
      <w:r>
        <w:t xml:space="preserve"> </w:t>
      </w:r>
      <w:r>
        <w:t xml:space="preserve">primary</w:t>
      </w:r>
      <w:r>
        <w:t xml:space="preserve"> </w:t>
      </w:r>
      <w:r>
        <w:t xml:space="preserve">frugivores</w:t>
      </w:r>
      <w:r>
        <w:t xml:space="preserve"> </w:t>
      </w:r>
      <w:r>
        <w:t xml:space="preserve">for</w:t>
      </w:r>
      <w:r>
        <w:t xml:space="preserve"> </w:t>
      </w:r>
      <w:r>
        <w:t xml:space="preserve">the</w:t>
      </w:r>
      <w:r>
        <w:t xml:space="preserve"> </w:t>
      </w:r>
      <w:r>
        <w:t xml:space="preserve">Amazonian</w:t>
      </w:r>
      <w:r>
        <w:t xml:space="preserve"> </w:t>
      </w:r>
      <w:r>
        <w:t xml:space="preserve">canopy</w:t>
      </w:r>
      <w:r>
        <w:t xml:space="preserve"> </w:t>
      </w:r>
      <w:r>
        <w:t xml:space="preserve">tree</w:t>
      </w:r>
      <w:r>
        <w:t xml:space="preserve"> </w:t>
      </w:r>
      <w:r>
        <w:rPr>
          <w:i/>
        </w:rPr>
        <w:t xml:space="preserve">Virola</w:t>
      </w:r>
      <w:r>
        <w:rPr>
          <w:i/>
        </w:rPr>
        <w:t xml:space="preserve"> </w:t>
      </w:r>
      <w:r>
        <w:rPr>
          <w:i/>
        </w:rPr>
        <w:t xml:space="preserve">flexuosa</w:t>
      </w:r>
      <w:r>
        <w:t xml:space="preserve">.</w:t>
      </w:r>
      <w:r>
        <w:t xml:space="preserve"> </w:t>
      </w:r>
      <w:r>
        <w:t xml:space="preserve">We</w:t>
      </w:r>
      <w:r>
        <w:t xml:space="preserve"> </w:t>
      </w:r>
      <w:r>
        <w:t xml:space="preserve">combine</w:t>
      </w:r>
      <w:r>
        <w:t xml:space="preserve"> </w:t>
      </w:r>
      <w:r>
        <w:t xml:space="preserve">animal</w:t>
      </w:r>
      <w:r>
        <w:t xml:space="preserve"> </w:t>
      </w:r>
      <w:r>
        <w:t xml:space="preserve">movement</w:t>
      </w:r>
      <w:r>
        <w:t xml:space="preserve"> </w:t>
      </w:r>
      <w:r>
        <w:t xml:space="preserve">data</w:t>
      </w:r>
      <w:r>
        <w:t xml:space="preserve"> </w:t>
      </w:r>
      <w:r>
        <w:t xml:space="preserve">and</w:t>
      </w:r>
      <w:r>
        <w:t xml:space="preserve"> </w:t>
      </w:r>
      <w:r>
        <w:t xml:space="preserve">gut</w:t>
      </w:r>
      <w:r>
        <w:t xml:space="preserve"> </w:t>
      </w:r>
      <w:r>
        <w:t xml:space="preserve">retention</w:t>
      </w:r>
      <w:r>
        <w:t xml:space="preserve"> </w:t>
      </w:r>
      <w:r>
        <w:t xml:space="preserve">time</w:t>
      </w:r>
      <w:r>
        <w:t xml:space="preserve"> </w:t>
      </w:r>
      <w:r>
        <w:t xml:space="preserve">to</w:t>
      </w:r>
      <w:r>
        <w:t xml:space="preserve"> </w:t>
      </w:r>
      <w:r>
        <w:t xml:space="preserve">simulate</w:t>
      </w:r>
      <w:r>
        <w:t xml:space="preserve"> </w:t>
      </w:r>
      <w:r>
        <w:rPr>
          <w:i/>
        </w:rPr>
        <w:t xml:space="preserve">Virola</w:t>
      </w:r>
      <w:r>
        <w:t xml:space="preserve"> </w:t>
      </w:r>
      <w:r>
        <w:t xml:space="preserve">seed</w:t>
      </w:r>
      <w:r>
        <w:t xml:space="preserve"> </w:t>
      </w:r>
      <w:r>
        <w:t xml:space="preserve">dispersal.</w:t>
      </w:r>
      <w:r>
        <w:t xml:space="preserve"> </w:t>
      </w:r>
      <w:r>
        <w:t xml:space="preserve">This</w:t>
      </w:r>
      <w:r>
        <w:t xml:space="preserve"> </w:t>
      </w:r>
      <w:r>
        <w:t xml:space="preserve">approach</w:t>
      </w:r>
      <w:r>
        <w:t xml:space="preserve"> </w:t>
      </w:r>
      <w:r>
        <w:t xml:space="preserve">showed</w:t>
      </w:r>
      <w:r>
        <w:t xml:space="preserve"> </w:t>
      </w:r>
      <w:r>
        <w:t xml:space="preserve">that</w:t>
      </w:r>
      <w:r>
        <w:t xml:space="preserve"> </w:t>
      </w:r>
      <w:r>
        <w:t xml:space="preserve">there</w:t>
      </w:r>
      <w:r>
        <w:t xml:space="preserve"> </w:t>
      </w:r>
      <w:r>
        <w:t xml:space="preserve">is</w:t>
      </w:r>
      <w:r>
        <w:t xml:space="preserve"> </w:t>
      </w:r>
      <w:r>
        <w:t xml:space="preserve">significant</w:t>
      </w:r>
      <w:r>
        <w:t xml:space="preserve"> </w:t>
      </w:r>
      <w:r>
        <w:t xml:space="preserve">variation</w:t>
      </w:r>
      <w:r>
        <w:t xml:space="preserve"> </w:t>
      </w:r>
      <w:r>
        <w:t xml:space="preserve">in</w:t>
      </w:r>
      <w:r>
        <w:t xml:space="preserve"> </w:t>
      </w:r>
      <w:r>
        <w:t xml:space="preserve">individual</w:t>
      </w:r>
      <w:r>
        <w:t xml:space="preserve"> </w:t>
      </w:r>
      <w:r>
        <w:t xml:space="preserve">araçari</w:t>
      </w:r>
      <w:r>
        <w:t xml:space="preserve"> </w:t>
      </w:r>
      <w:r>
        <w:t xml:space="preserve">movement</w:t>
      </w:r>
      <w:r>
        <w:t xml:space="preserve"> </w:t>
      </w:r>
      <w:r>
        <w:t xml:space="preserve">patterns</w:t>
      </w:r>
      <w:r>
        <w:t xml:space="preserve"> </w:t>
      </w:r>
      <w:r>
        <w:t xml:space="preserve">which</w:t>
      </w:r>
      <w:r>
        <w:t xml:space="preserve"> </w:t>
      </w:r>
      <w:r>
        <w:t xml:space="preserve">directly</w:t>
      </w:r>
      <w:r>
        <w:t xml:space="preserve"> </w:t>
      </w:r>
      <w:r>
        <w:t xml:space="preserve">influence</w:t>
      </w:r>
      <w:r>
        <w:t xml:space="preserve"> </w:t>
      </w:r>
      <w:r>
        <w:t xml:space="preserve">the</w:t>
      </w:r>
      <w:r>
        <w:t xml:space="preserve"> </w:t>
      </w:r>
      <w:r>
        <w:t xml:space="preserve">estimated</w:t>
      </w:r>
      <w:r>
        <w:t xml:space="preserve"> </w:t>
      </w:r>
      <w:r>
        <w:t xml:space="preserve">number</w:t>
      </w:r>
      <w:r>
        <w:t xml:space="preserve"> </w:t>
      </w:r>
      <w:r>
        <w:t xml:space="preserve">of</w:t>
      </w:r>
      <w:r>
        <w:t xml:space="preserve"> </w:t>
      </w:r>
      <w:r>
        <w:t xml:space="preserve">long-distance</w:t>
      </w:r>
      <w:r>
        <w:t xml:space="preserve"> </w:t>
      </w:r>
      <w:r>
        <w:t xml:space="preserve">dispersal</w:t>
      </w:r>
      <w:r>
        <w:t xml:space="preserve"> </w:t>
      </w:r>
      <w:r>
        <w:t xml:space="preserve">events</w:t>
      </w:r>
      <w:r>
        <w:t xml:space="preserve"> </w:t>
      </w:r>
      <w:r>
        <w:t xml:space="preserve">for</w:t>
      </w:r>
      <w:r>
        <w:t xml:space="preserve"> </w:t>
      </w:r>
      <w:r>
        <w:rPr>
          <w:i/>
        </w:rPr>
        <w:t xml:space="preserve">Virola</w:t>
      </w:r>
      <w:r>
        <w:t xml:space="preserve"> </w:t>
      </w:r>
      <w:r>
        <w:t xml:space="preserve">seeds.</w:t>
      </w:r>
      <w:r>
        <w:t xml:space="preserve"> </w:t>
      </w:r>
      <w:r>
        <w:t xml:space="preserve">We</w:t>
      </w:r>
      <w:r>
        <w:t xml:space="preserve"> </w:t>
      </w:r>
      <w:r>
        <w:t xml:space="preserve">found</w:t>
      </w:r>
      <w:r>
        <w:t xml:space="preserve"> </w:t>
      </w:r>
      <w:r>
        <w:t xml:space="preserve">that</w:t>
      </w:r>
      <w:r>
        <w:t xml:space="preserve"> </w:t>
      </w:r>
      <w:r>
        <w:t xml:space="preserve">models</w:t>
      </w:r>
      <w:r>
        <w:t xml:space="preserve"> </w:t>
      </w:r>
      <w:r>
        <w:t xml:space="preserve">that</w:t>
      </w:r>
      <w:r>
        <w:t xml:space="preserve"> </w:t>
      </w:r>
      <w:r>
        <w:t xml:space="preserve">ignore</w:t>
      </w:r>
      <w:r>
        <w:t xml:space="preserve"> </w:t>
      </w:r>
      <w:r>
        <w:t xml:space="preserve">this</w:t>
      </w:r>
      <w:r>
        <w:t xml:space="preserve"> </w:t>
      </w:r>
      <w:r>
        <w:t xml:space="preserve">underlying</w:t>
      </w:r>
      <w:r>
        <w:t xml:space="preserve"> </w:t>
      </w:r>
      <w:r>
        <w:t xml:space="preserve">variation</w:t>
      </w:r>
      <w:r>
        <w:t xml:space="preserve"> </w:t>
      </w:r>
      <w:r>
        <w:t xml:space="preserve">in</w:t>
      </w:r>
      <w:r>
        <w:t xml:space="preserve"> </w:t>
      </w:r>
      <w:r>
        <w:t xml:space="preserve">individual</w:t>
      </w:r>
      <w:r>
        <w:t xml:space="preserve"> </w:t>
      </w:r>
      <w:r>
        <w:t xml:space="preserve">animal</w:t>
      </w:r>
      <w:r>
        <w:t xml:space="preserve"> </w:t>
      </w:r>
      <w:r>
        <w:t xml:space="preserve">movement,</w:t>
      </w:r>
      <w:r>
        <w:t xml:space="preserve"> </w:t>
      </w:r>
      <w:r>
        <w:t xml:space="preserve">underestimate</w:t>
      </w:r>
      <w:r>
        <w:t xml:space="preserve"> </w:t>
      </w:r>
      <w:r>
        <w:t xml:space="preserve">the</w:t>
      </w:r>
      <w:r>
        <w:t xml:space="preserve"> </w:t>
      </w:r>
      <w:r>
        <w:t xml:space="preserve">percentage</w:t>
      </w:r>
      <w:r>
        <w:t xml:space="preserve"> </w:t>
      </w:r>
      <w:r>
        <w:t xml:space="preserve">of</w:t>
      </w:r>
      <w:r>
        <w:t xml:space="preserve"> </w:t>
      </w:r>
      <w:r>
        <w:t xml:space="preserve">long-distance</w:t>
      </w:r>
      <w:r>
        <w:t xml:space="preserve"> </w:t>
      </w:r>
      <w:r>
        <w:t xml:space="preserve">seed</w:t>
      </w:r>
      <w:r>
        <w:t xml:space="preserve"> </w:t>
      </w:r>
      <w:r>
        <w:t xml:space="preserve">dispersal</w:t>
      </w:r>
      <w:r>
        <w:t xml:space="preserve"> </w:t>
      </w:r>
      <w:r>
        <w:t xml:space="preserve">events</w:t>
      </w:r>
      <w:r>
        <w:t xml:space="preserve"> </w:t>
      </w:r>
      <w:r>
        <w:t xml:space="preserve">and</w:t>
      </w:r>
      <w:r>
        <w:t xml:space="preserve"> </w:t>
      </w:r>
      <w:r>
        <w:t xml:space="preserve">maximum</w:t>
      </w:r>
      <w:r>
        <w:t xml:space="preserve"> </w:t>
      </w:r>
      <w:r>
        <w:t xml:space="preserve">seed</w:t>
      </w:r>
      <w:r>
        <w:t xml:space="preserve"> </w:t>
      </w:r>
      <w:r>
        <w:t xml:space="preserve">dispersal</w:t>
      </w:r>
      <w:r>
        <w:t xml:space="preserve"> </w:t>
      </w:r>
      <w:r>
        <w:t xml:space="preserve">distances.</w:t>
      </w:r>
    </w:p>
    <w:p>
      <w:r>
        <w:br w:type="page"/>
      </w:r>
    </w:p>
    <w:p>
      <w:pPr>
        <w:pStyle w:val="Heading1"/>
      </w:pPr>
      <w:bookmarkStart w:id="20" w:name="introduction"/>
      <w:r>
        <w:t xml:space="preserve">Introduction</w:t>
      </w:r>
      <w:bookmarkEnd w:id="20"/>
    </w:p>
    <w:p>
      <w:pPr>
        <w:pStyle w:val="FirstParagraph"/>
      </w:pPr>
      <w:r>
        <w:t xml:space="preserve">A main goal of ecologists and evolutionary biologists is to document and predict the structure and dynamics of ecological systems. Although most of our current understanding of ecological systems is based on the average patterns observed in nature, understanding variability and its consequences in ecological processes has recently raised the interests of researchers</w:t>
      </w:r>
      <w:r>
        <w:t xml:space="preserve"> </w:t>
      </w:r>
      <w:r>
        <w:t xml:space="preserve">(Benedetti-Cecchi 2003; Inouye 2005)</w:t>
      </w:r>
      <w:r>
        <w:t xml:space="preserve">. Variation is now considered a property of ecological systems that might contain as much ecological information as do averages and regularities in nature</w:t>
      </w:r>
      <w:r>
        <w:t xml:space="preserve"> </w:t>
      </w:r>
      <w:r>
        <w:t xml:space="preserve">(Benedetti-Cecchi 2003; Violle et al. 2012)</w:t>
      </w:r>
      <w:r>
        <w:t xml:space="preserve">.</w:t>
      </w:r>
      <w:r>
        <w:t xml:space="preserve"> </w:t>
      </w:r>
      <w:r>
        <w:t xml:space="preserve">Individual variation, i.e. the possibility for individuals within a population to present different ecological strategies or traits</w:t>
      </w:r>
      <w:r>
        <w:t xml:space="preserve"> </w:t>
      </w:r>
      <w:r>
        <w:t xml:space="preserve">(Violle et al. 2012)</w:t>
      </w:r>
      <w:r>
        <w:t xml:space="preserve">, has been widely discussed in ecology and evolutionary biology. In evolutionary biology the acknowledgement that individuals with different traits might vary in their fitness and survival under natural selection pressures dates back to Darwin’s seminal ideas</w:t>
      </w:r>
      <w:r>
        <w:t xml:space="preserve"> </w:t>
      </w:r>
      <w:r>
        <w:t xml:space="preserve">(Darwin and others 1859)</w:t>
      </w:r>
      <w:r>
        <w:t xml:space="preserve">. Today, it is widely recognized that individual variation plays a key role in the evolution of species and clades, and the relevance of individual variation in the performance of populations and species facing current threats (e.g. climate change, fragmentation and habitat loss) is a growing field of research</w:t>
      </w:r>
      <w:r>
        <w:t xml:space="preserve"> </w:t>
      </w:r>
      <w:r>
        <w:t xml:space="preserve">(Forsman and Wennersten 2016)</w:t>
      </w:r>
      <w:r>
        <w:t xml:space="preserve">. In ecology, individual variation is often mentioned as a mechanism for populations to reduce competition pressure</w:t>
      </w:r>
      <w:r>
        <w:t xml:space="preserve"> </w:t>
      </w:r>
      <w:r>
        <w:t xml:space="preserve">(Bolnick et al. 2010; Araújo, Bolnick, and Layman 2011)</w:t>
      </w:r>
      <w:r>
        <w:t xml:space="preserve">. Based on the niche complementarity principle, phenotypically different individuals will compete less strongly than more similar individuals</w:t>
      </w:r>
      <w:r>
        <w:t xml:space="preserve"> </w:t>
      </w:r>
      <w:r>
        <w:t xml:space="preserve">(Bolnick et al. 2011)</w:t>
      </w:r>
      <w:r>
        <w:t xml:space="preserve">, thus individual variation would act as a release from intra- and interspecific competition at a local scale. Despite the well recognized importance of individual variation in ecological and evolutionary processes, ecological theory has emphasized interspecific variation</w:t>
      </w:r>
      <w:r>
        <w:t xml:space="preserve"> </w:t>
      </w:r>
      <w:r>
        <w:t xml:space="preserve">(Violle et al. 2012)</w:t>
      </w:r>
      <w:r>
        <w:t xml:space="preserve">. Not surprisingly, the role of individual variability on the outcome of species interactions has also been poorly studied; most models of species interactions assume that all conspecific individuals are equivalent and interchangeable</w:t>
      </w:r>
      <w:r>
        <w:t xml:space="preserve"> </w:t>
      </w:r>
      <w:r>
        <w:t xml:space="preserve">(Bolnick et al. 2011)</w:t>
      </w:r>
      <w:r>
        <w:t xml:space="preserve">. Individuals, however, differ in several aspects that will affect their interactions with other species. This variability makes individuals non-interchangeable from the perspective of interacting patterns</w:t>
      </w:r>
      <w:r>
        <w:t xml:space="preserve"> </w:t>
      </w:r>
      <w:r>
        <w:t xml:space="preserve">(Bolnick et al. 2003; González-Varo and Traveset 2016)</w:t>
      </w:r>
      <w:r>
        <w:t xml:space="preserve">. The consequences of individual variability in interspecies interactions can even have cascading effects, going beyond from the species-species level to the community and ecosystem level</w:t>
      </w:r>
      <w:r>
        <w:t xml:space="preserve"> </w:t>
      </w:r>
      <w:r>
        <w:t xml:space="preserve">(Post et al. 2008; Wolf and Weissing 2012)</w:t>
      </w:r>
      <w:r>
        <w:t xml:space="preserve">.</w:t>
      </w:r>
    </w:p>
    <w:p>
      <w:pPr>
        <w:pStyle w:val="BodyText"/>
      </w:pPr>
      <w:r>
        <w:t xml:space="preserve">Seed dispersal mutualisms may be a particularly attractive system to study the impacts of incorporating individual variation to understanding the importance of such variation to dispersal outcomes. Seed dispersal is one of the most critical stages in plant life history – it results in a spatial pattern of seed deposition which acts as a template that will define the distribution of plants and, consequently, community structure</w:t>
      </w:r>
      <w:r>
        <w:t xml:space="preserve"> </w:t>
      </w:r>
      <w:r>
        <w:t xml:space="preserve">(Howe and Smallwood 1982; Nathan and Muller-Landau 2000; Russo, Portnoy, and Augspurger 2006)</w:t>
      </w:r>
      <w:r>
        <w:t xml:space="preserve">. In seed dispersal mutualisms, animals provide the dispersal services while rewarding from fruit resources they consume. Plants produce fleshy fruits to attract and reward mutualist animals and rely on the behavior of the disperser to transport their propagules</w:t>
      </w:r>
      <w:r>
        <w:t xml:space="preserve"> </w:t>
      </w:r>
      <w:r>
        <w:t xml:space="preserve">(Nathan and Muller-Landau 2000)</w:t>
      </w:r>
      <w:r>
        <w:t xml:space="preserve">. The spatial patterns of seed deposited by disperser vectors will determine the probability of seed survival and recruitment, acting upon post-dispersal processes such as density-dependent survival and colonization</w:t>
      </w:r>
      <w:r>
        <w:t xml:space="preserve"> </w:t>
      </w:r>
      <w:r>
        <w:t xml:space="preserve">(Howe and Miriti 2004)</w:t>
      </w:r>
      <w:r>
        <w:t xml:space="preserve">. Therefore, at a local scale, seed dispersers will determine whether plant species escape from density-dependence processes</w:t>
      </w:r>
      <w:r>
        <w:t xml:space="preserve"> </w:t>
      </w:r>
      <w:r>
        <w:t xml:space="preserve">(Comita et al. 2014)</w:t>
      </w:r>
      <w:r>
        <w:t xml:space="preserve">, whereas at a larger scale, they can determine how quickly plants can cope with habitat and climate shifts</w:t>
      </w:r>
      <w:r>
        <w:t xml:space="preserve"> </w:t>
      </w:r>
      <w:r>
        <w:t xml:space="preserve">(Ibáñez et al. 2006; Russo, Portnoy, and Augspurger 2006)</w:t>
      </w:r>
      <w:r>
        <w:t xml:space="preserve">.</w:t>
      </w:r>
    </w:p>
    <w:p>
      <w:pPr>
        <w:pStyle w:val="BodyText"/>
      </w:pPr>
      <w:r>
        <w:t xml:space="preserve">From the plant perspective, not all seed dispersers species provide with the same seed dispersal service, and often relatively few disperser species can have disproportionate effects on seed dispersal</w:t>
      </w:r>
      <w:r>
        <w:t xml:space="preserve"> </w:t>
      </w:r>
      <w:r>
        <w:t xml:space="preserve">(Schupp 1993; Jordano et al. 2007; Schupp, Jordano, and Gómez 2010; Loayza and Rios 2014)</w:t>
      </w:r>
      <w:r>
        <w:t xml:space="preserve">. Frugivores might differ on their selection of plants/fruits for consumption, in their treatment of seed while ingesting and manipulating the fruits, in their processing of seeds if ingested and in the distance where they will discard the seeds</w:t>
      </w:r>
      <w:r>
        <w:t xml:space="preserve"> </w:t>
      </w:r>
      <w:r>
        <w:t xml:space="preserve">(Schupp 1993; Schupp, Jordano, and Gómez 2010; Côrtes and Uriarte 2013)</w:t>
      </w:r>
      <w:r>
        <w:t xml:space="preserve">. Each one of these stages of the seed dispersal process will have strong consequences on the spatial seed shadow provided by each seed dispersal vector</w:t>
      </w:r>
      <w:r>
        <w:t xml:space="preserve"> </w:t>
      </w:r>
      <w:r>
        <w:t xml:space="preserve">(Jordano et al. 2007; Carlo and Tewksbury 2014)</w:t>
      </w:r>
      <w:r>
        <w:t xml:space="preserve">. Besides inter-specific differences among dispersal vectors, there is a recent recognition of the potential role of differences among individuals in the resulting seed dispersal they provide</w:t>
      </w:r>
      <w:r>
        <w:t xml:space="preserve"> </w:t>
      </w:r>
      <w:r>
        <w:t xml:space="preserve">(Bolnick et al. 2003; González-Varo and Traveset 2016)</w:t>
      </w:r>
      <w:r>
        <w:t xml:space="preserve">. Including individual variation in traits (morphological, behavioral and physiological) in seed dispersal studies, can provide new insights into the relative role of different dispersal vectors on seed deposition and ultimately, vegetation structure</w:t>
      </w:r>
      <w:r>
        <w:t xml:space="preserve"> </w:t>
      </w:r>
      <w:r>
        <w:t xml:space="preserve">(González-Varo and Traveset 2016)</w:t>
      </w:r>
      <w:r>
        <w:t xml:space="preserve">. In a recent review, Zwolak</w:t>
      </w:r>
      <w:r>
        <w:t xml:space="preserve"> </w:t>
      </w:r>
      <w:r>
        <w:t xml:space="preserve">(Zwolak 2018)</w:t>
      </w:r>
      <w:r>
        <w:t xml:space="preserve"> </w:t>
      </w:r>
      <w:r>
        <w:t xml:space="preserve">summarized the types of intraspecific variation in seed-dispersing animals that might affect the resulting seed dispersal service individuals provide, highlighting differences in sex, size or age (ontogenetic shifts), individual specialization and behavioral syndromes as the most important variation types. Incorporating these intrinsic traits into seed dispersal models may lead to more mechanistic understanding of seed dispersal, allow to build more accurate predictive frameworks of dispersal outcomes</w:t>
      </w:r>
      <w:r>
        <w:t xml:space="preserve"> </w:t>
      </w:r>
      <w:r>
        <w:t xml:space="preserve">(Russo, Portnoy, and Augspurger 2006)</w:t>
      </w:r>
      <w:r>
        <w:t xml:space="preserve"> </w:t>
      </w:r>
      <w:r>
        <w:t xml:space="preserve">and to identify links between characteristics of dispersal agents and the seed dispersal they provide</w:t>
      </w:r>
      <w:r>
        <w:t xml:space="preserve"> </w:t>
      </w:r>
      <w:r>
        <w:t xml:space="preserve">(Zwolak 2018)</w:t>
      </w:r>
      <w:r>
        <w:t xml:space="preserve">.</w:t>
      </w:r>
    </w:p>
    <w:p>
      <w:pPr>
        <w:pStyle w:val="BodyText"/>
      </w:pPr>
      <w:r>
        <w:t xml:space="preserve">In this paper, we focus on the implications of intraspecific variation in animal movement for seed dispersal distances and seed aggregation across the landscape. To understand the consequences of this variation in movement, we developed a spatially-explicit individual-based model of the many-banded aracari,</w:t>
      </w:r>
      <w:r>
        <w:t xml:space="preserve"> </w:t>
      </w:r>
      <w:r>
        <w:rPr>
          <w:i/>
        </w:rPr>
        <w:t xml:space="preserve">Pteroglossus pluricinctus</w:t>
      </w:r>
      <w:r>
        <w:t xml:space="preserve">, one of the primary frugivores of the Amazonian canopy tree</w:t>
      </w:r>
      <w:r>
        <w:t xml:space="preserve"> </w:t>
      </w:r>
      <w:r>
        <w:rPr>
          <w:i/>
        </w:rPr>
        <w:t xml:space="preserve">Virola flexuosa</w:t>
      </w:r>
      <w:r>
        <w:t xml:space="preserve">. Also, previous studies focused on this system have shown that</w:t>
      </w:r>
      <w:r>
        <w:t xml:space="preserve"> </w:t>
      </w:r>
      <w:r>
        <w:rPr>
          <w:i/>
        </w:rPr>
        <w:t xml:space="preserve">P. pluricintus</w:t>
      </w:r>
      <w:r>
        <w:t xml:space="preserve"> </w:t>
      </w:r>
      <w:r>
        <w:t xml:space="preserve">is able to disperse seeds across long distances</w:t>
      </w:r>
      <w:r>
        <w:t xml:space="preserve"> </w:t>
      </w:r>
      <w:r>
        <w:t xml:space="preserve">(K. M. Holbrook and Loiselle 2007; Holbrook and Loiselle 2009; Holbrook 2011)</w:t>
      </w:r>
      <w:r>
        <w:t xml:space="preserve">, an important for plant population. Long distance dispersal (LDD) events are crucial to reaching suitable sites to germinate and establish and to colonize new habitats</w:t>
      </w:r>
      <w:r>
        <w:t xml:space="preserve"> </w:t>
      </w:r>
      <w:r>
        <w:t xml:space="preserve">(Nathan 2006)</w:t>
      </w:r>
      <w:r>
        <w:t xml:space="preserve">. Furthermore, rare events (often overlooked) are critical for dispersal and might have a large effect on resulting plant demography</w:t>
      </w:r>
      <w:r>
        <w:t xml:space="preserve"> </w:t>
      </w:r>
      <w:r>
        <w:t xml:space="preserve">(Loayza and Rios 2014)</w:t>
      </w:r>
      <w:r>
        <w:t xml:space="preserve">. Our first objective in this work was to study the differences of simulated seed shadows between models with and without underlying variability in animal movement. The second objective focused on quantifying the differences of LDD events reflected between seed shadows. Lastly, our third objective focused on the spatial spread between seeds, and how individual variation in animal movement affects seed aggregation. Identifying the implications of individual variation in animal movement over seed dispersal estimates can help us improve future models and understand the effects of frugivore traits on plant population dynamics.</w:t>
      </w:r>
    </w:p>
    <w:p>
      <w:pPr>
        <w:pStyle w:val="Heading1"/>
      </w:pPr>
      <w:bookmarkStart w:id="21" w:name="methods"/>
      <w:r>
        <w:t xml:space="preserve">Methods</w:t>
      </w:r>
      <w:bookmarkEnd w:id="21"/>
    </w:p>
    <w:p>
      <w:pPr>
        <w:pStyle w:val="Heading2"/>
      </w:pPr>
      <w:bookmarkStart w:id="22" w:name="simulation-description"/>
      <w:r>
        <w:t xml:space="preserve">Simulation description</w:t>
      </w:r>
      <w:bookmarkEnd w:id="22"/>
    </w:p>
    <w:p>
      <w:pPr>
        <w:pStyle w:val="FirstParagraph"/>
      </w:pPr>
      <w:r>
        <w:t xml:space="preserve">To study the effects of individual variation in animal movement over final dispersal distances of foraged seeds, we developed a spatially-explicit individual-based model in a homogenous landscape consisting of a single source tree. We incorporated animal movement focusing on two characteristics, a movement distance (MD) sampled from a probability density distribution, and a movement angle (MA). In addition to this, we included gut retention time (GRT), the time that ingested seeds stay within the frugivore until they are dropped. The animal was allowed to move freely within the landscape, and GRT determined when the animal would drop a seed. Once a seed was dropped, its location was recorded and seed dispersal distance was estimated as the distance from the origin to the seed’s location. The average seed dispersal distance for each simulation run was calculated and used to estimate seed dispersion, calculated as the mean distance of each seed to the average location of all seeds in the run</w:t>
      </w:r>
      <w:r>
        <w:t xml:space="preserve"> </w:t>
      </w:r>
      <w:r>
        <w:t xml:space="preserve">(Jones et al. 2017)</w:t>
      </w:r>
      <w:r>
        <w:t xml:space="preserve">. For each simulation run, the simulation started at the source tree, an animal received a specific number of seeds and each seed was assigned a specific GRT sampled from a gamma distribution</w:t>
      </w:r>
      <w:r>
        <w:t xml:space="preserve"> </w:t>
      </w:r>
      <w:r>
        <w:t xml:space="preserve">(Morales and Carlo 2006)</w:t>
      </w:r>
      <w:r>
        <w:t xml:space="preserve">. The simulation was based on one minute time steps, where at each time step a movement distance (MD) and movement angle (MA) would determine the path for the animal to follow. For each seed, the location where it would get dropped was based on the animal’s location at the time it reached the GRT for each of the seeds. The total simulation time for each run was determined by the largest GRT sampled for that specific simulation run. Each simulation run focused on one individual animal dispersing seeds from one focus tree. Once all seeds in that run were dropped by the animal, the simulation run ended.</w:t>
      </w:r>
    </w:p>
    <w:p>
      <w:pPr>
        <w:pStyle w:val="Heading2"/>
      </w:pPr>
      <w:bookmarkStart w:id="23" w:name="study-design"/>
      <w:r>
        <w:t xml:space="preserve">Study design</w:t>
      </w:r>
      <w:bookmarkEnd w:id="23"/>
    </w:p>
    <w:p>
      <w:pPr>
        <w:pStyle w:val="FirstParagraph"/>
      </w:pPr>
      <w:r>
        <w:t xml:space="preserve">To understand the consequences of individual variation in animal movement and how these influence seed dispersal distances, we simulated three different scenarios by varying the movement of individual animals in each of those scenarios. We used our first scenario as our null model, in which all the individuals from the simulation had the same average movement rate (</w:t>
      </w:r>
      <m:oMath>
        <m:sSub>
          <m:e>
            <m:r>
              <m:t>λ</m:t>
            </m:r>
          </m:e>
          <m:sub>
            <m:r>
              <m:t>1</m:t>
            </m:r>
          </m:sub>
        </m:sSub>
        <m:r>
          <m:t>=</m:t>
        </m:r>
        <m:sSub>
          <m:e>
            <m:r>
              <m:t>λ</m:t>
            </m:r>
          </m:e>
          <m:sub>
            <m:r>
              <m:t>2</m:t>
            </m:r>
          </m:sub>
        </m:sSub>
        <m:r>
          <m:t>=</m:t>
        </m:r>
        <m:r>
          <m:t>.</m:t>
        </m:r>
        <m:r>
          <m:t>.</m:t>
        </m:r>
        <m:r>
          <m:t>.</m:t>
        </m:r>
        <m:r>
          <m:t>=</m:t>
        </m:r>
        <m:sSub>
          <m:e>
            <m:r>
              <m:t>λ</m:t>
            </m:r>
          </m:e>
          <m:sub>
            <m:r>
              <m:t>n</m:t>
            </m:r>
          </m:sub>
        </m:sSub>
      </m:oMath>
      <w:r>
        <w:t xml:space="preserve">), used as the parameter in the probability density function, and thus their movement distances per unit of time were sampled from the same probability distribution (</w:t>
      </w:r>
      <m:oMath>
        <m:r>
          <m:t>f</m:t>
        </m:r>
        <m:r>
          <m:t>(</m:t>
        </m:r>
        <m:r>
          <m:t>x</m:t>
        </m:r>
        <m:r>
          <m:t>;</m:t>
        </m:r>
        <m:r>
          <m:t>λ</m:t>
        </m:r>
        <m:r>
          <m:t>)</m:t>
        </m:r>
        <m:r>
          <m:t>=</m:t>
        </m:r>
        <m:r>
          <m:t>λ</m:t>
        </m:r>
        <m:sSup>
          <m:e>
            <m:r>
              <m:t>e</m:t>
            </m:r>
          </m:e>
          <m:sup>
            <m:r>
              <m:t>−</m:t>
            </m:r>
            <m:r>
              <m:t>λ</m:t>
            </m:r>
            <m:r>
              <m:t>x</m:t>
            </m:r>
          </m:sup>
        </m:sSup>
      </m:oMath>
      <w:r>
        <w:t xml:space="preserve">). Our second scenario included individual variation in animal movement by incorporating different movement rates for each individual (</w:t>
      </w:r>
      <m:oMath>
        <m:sSub>
          <m:e>
            <m:r>
              <m:t>λ</m:t>
            </m:r>
          </m:e>
          <m:sub>
            <m:r>
              <m:t>1</m:t>
            </m:r>
          </m:sub>
        </m:sSub>
        <m:r>
          <m:t>=</m:t>
        </m:r>
        <m:sSub>
          <m:e>
            <m:r>
              <m:t>λ</m:t>
            </m:r>
          </m:e>
          <m:sub>
            <m:r>
              <m:t>2</m:t>
            </m:r>
          </m:sub>
        </m:sSub>
        <m:r>
          <m:t>=</m:t>
        </m:r>
        <m:r>
          <m:t>.</m:t>
        </m:r>
        <m:r>
          <m:t>.</m:t>
        </m:r>
        <m:r>
          <m:t>.</m:t>
        </m:r>
        <m:r>
          <m:t>=</m:t>
        </m:r>
        <m:sSub>
          <m:e>
            <m:r>
              <m:t>λ</m:t>
            </m:r>
          </m:e>
          <m:sub>
            <m:r>
              <m:t>n</m:t>
            </m:r>
          </m:sub>
        </m:sSub>
      </m:oMath>
      <w:r>
        <w:t xml:space="preserve">), which meant that movement distances would be sampled from probability distributions with different parameters (</w:t>
      </w:r>
      <m:oMath>
        <m:r>
          <m:t>f</m:t>
        </m:r>
        <m:r>
          <m:t>(</m:t>
        </m:r>
        <m:r>
          <m:t>x</m:t>
        </m:r>
        <m:r>
          <m:t>;</m:t>
        </m:r>
        <m:sSub>
          <m:e>
            <m:r>
              <m:t>λ</m:t>
            </m:r>
          </m:e>
          <m:sub>
            <m:r>
              <m:t>i</m:t>
            </m:r>
          </m:sub>
        </m:sSub>
        <m:r>
          <m:t>)</m:t>
        </m:r>
        <m:r>
          <m:t>=</m:t>
        </m:r>
        <m:sSub>
          <m:e>
            <m:r>
              <m:t>λ</m:t>
            </m:r>
          </m:e>
          <m:sub>
            <m:r>
              <m:t>i</m:t>
            </m:r>
          </m:sub>
        </m:sSub>
        <m:sSup>
          <m:e>
            <m:r>
              <m:t>e</m:t>
            </m:r>
          </m:e>
          <m:sup>
            <m:r>
              <m:t>−</m:t>
            </m:r>
            <m:sSub>
              <m:e>
                <m:r>
                  <m:t>λ</m:t>
                </m:r>
              </m:e>
              <m:sub>
                <m:r>
                  <m:t>i</m:t>
                </m:r>
              </m:sub>
            </m:sSub>
            <m:r>
              <m:t>x</m:t>
            </m:r>
          </m:sup>
        </m:sSup>
      </m:oMath>
      <w:r>
        <w:t xml:space="preserve">). Considering that not all individuals are independent of each other, and that by belonging to social groups their movement patterns might be correlated, our third scenario ran simulations at the scale of family group variation in animal movement by assigning a different movement rate to each social group in the simulations.</w:t>
      </w:r>
    </w:p>
    <w:p>
      <w:pPr>
        <w:pStyle w:val="SourceCode"/>
      </w:pPr>
      <w:r>
        <w:rPr>
          <w:rStyle w:val="VerbatimChar"/>
        </w:rPr>
        <w:t xml:space="preserve">## </w:t>
      </w:r>
      <w:r>
        <w:br/>
      </w:r>
      <w:r>
        <w:rPr>
          <w:rStyle w:val="VerbatimChar"/>
        </w:rPr>
        <w:t xml:space="preserve">## ********************************************************</w:t>
      </w:r>
    </w:p>
    <w:p>
      <w:pPr>
        <w:pStyle w:val="SourceCode"/>
      </w:pPr>
      <w:r>
        <w:rPr>
          <w:rStyle w:val="VerbatimChar"/>
        </w:rPr>
        <w:t xml:space="preserve">## Note: As of version 1.0.0, cowplot does not change the</w:t>
      </w:r>
    </w:p>
    <w:p>
      <w:pPr>
        <w:pStyle w:val="SourceCode"/>
      </w:pPr>
      <w:r>
        <w:rPr>
          <w:rStyle w:val="VerbatimChar"/>
        </w:rPr>
        <w:t xml:space="preserve">##   default ggplot2 theme anymore. To recover the previous</w:t>
      </w:r>
    </w:p>
    <w:p>
      <w:pPr>
        <w:pStyle w:val="SourceCode"/>
      </w:pPr>
      <w:r>
        <w:rPr>
          <w:rStyle w:val="VerbatimChar"/>
        </w:rPr>
        <w:t xml:space="preserve">##   behavior, execute:</w:t>
      </w:r>
      <w:r>
        <w:br/>
      </w:r>
      <w:r>
        <w:rPr>
          <w:rStyle w:val="VerbatimChar"/>
        </w:rPr>
        <w:t xml:space="preserve">##   theme_set(theme_cowplot())</w:t>
      </w:r>
    </w:p>
    <w:p>
      <w:pPr>
        <w:pStyle w:val="SourceCode"/>
      </w:pPr>
      <w:r>
        <w:rPr>
          <w:rStyle w:val="VerbatimChar"/>
        </w:rPr>
        <w:t xml:space="preserve">## ********************************************************</w:t>
      </w:r>
    </w:p>
    <w:p>
      <w:pPr>
        <w:pStyle w:val="FirstParagraph"/>
      </w:pPr>
      <w:r>
        <w:drawing>
          <wp:inline>
            <wp:extent cx="5544151" cy="3696101"/>
            <wp:effectExtent b="0" l="0" r="0" t="0"/>
            <wp:docPr descr="" title="" id="1" name="Picture"/>
            <a:graphic>
              <a:graphicData uri="http://schemas.openxmlformats.org/drawingml/2006/picture">
                <pic:pic>
                  <pic:nvPicPr>
                    <pic:cNvPr descr="paper_files/figure-docx/unnamed-chunk-1-1.png" id="0" name="Picture"/>
                    <pic:cNvPicPr>
                      <a:picLocks noChangeArrowheads="1" noChangeAspect="1"/>
                    </pic:cNvPicPr>
                  </pic:nvPicPr>
                  <pic:blipFill>
                    <a:blip r:embed="rId24"/>
                    <a:stretch>
                      <a:fillRect/>
                    </a:stretch>
                  </pic:blipFill>
                  <pic:spPr bwMode="auto">
                    <a:xfrm>
                      <a:off x="0" y="0"/>
                      <a:ext cx="5544151" cy="3696101"/>
                    </a:xfrm>
                    <a:prstGeom prst="rect">
                      <a:avLst/>
                    </a:prstGeom>
                    <a:noFill/>
                    <a:ln w="9525">
                      <a:noFill/>
                      <a:headEnd/>
                      <a:tailEnd/>
                    </a:ln>
                  </pic:spPr>
                </pic:pic>
              </a:graphicData>
            </a:graphic>
          </wp:inline>
        </w:drawing>
      </w:r>
    </w:p>
    <w:p>
      <w:pPr>
        <w:pStyle w:val="Heading2"/>
      </w:pPr>
      <w:bookmarkStart w:id="25" w:name="parameterization"/>
      <w:r>
        <w:t xml:space="preserve">Parameterization</w:t>
      </w:r>
      <w:bookmarkEnd w:id="25"/>
    </w:p>
    <w:p>
      <w:pPr>
        <w:pStyle w:val="FirstParagraph"/>
      </w:pPr>
      <w:r>
        <w:t xml:space="preserve">We focused our study on the many-banded araçari (</w:t>
      </w:r>
      <w:r>
        <w:rPr>
          <w:i/>
        </w:rPr>
        <w:t xml:space="preserve">Pterglossus pluricinctus</w:t>
      </w:r>
      <w:r>
        <w:t xml:space="preserve">), a small toucan, and its role as a frugivore of the</w:t>
      </w:r>
      <w:r>
        <w:t xml:space="preserve"> </w:t>
      </w:r>
      <w:r>
        <w:rPr>
          <w:i/>
        </w:rPr>
        <w:t xml:space="preserve">Virola flexuosa</w:t>
      </w:r>
      <w:r>
        <w:t xml:space="preserve"> </w:t>
      </w:r>
      <w:r>
        <w:t xml:space="preserve">tree. Previous studies by Holbrook</w:t>
      </w:r>
      <w:r>
        <w:t xml:space="preserve"> </w:t>
      </w:r>
      <w:r>
        <w:t xml:space="preserve">(2011)</w:t>
      </w:r>
      <w:r>
        <w:t xml:space="preserve"> </w:t>
      </w:r>
      <w:r>
        <w:t xml:space="preserve">collected radiotracking information for various dispersers over a period of four years, from 2001 to 2005, in the Ecuadorian Amazon rainforest. The methodology used at the time consisted of capturing and radio-tagging individuals from various toucan species, including</w:t>
      </w:r>
      <w:r>
        <w:t xml:space="preserve"> </w:t>
      </w:r>
      <w:r>
        <w:rPr>
          <w:i/>
        </w:rPr>
        <w:t xml:space="preserve">Pterglossus pluricinctus</w:t>
      </w:r>
      <w:r>
        <w:t xml:space="preserve"> </w:t>
      </w:r>
      <w:r>
        <w:t xml:space="preserve">and two larger Ramphastids, although data on these was scarce. Tracking periods lasted between four and six daylight hours, alternating morning and afternoons, attempting to record bird locations every 15 minutes, a time interval shown to represent the minimum seed retention time for</w:t>
      </w:r>
      <w:r>
        <w:t xml:space="preserve"> </w:t>
      </w:r>
      <w:r>
        <w:rPr>
          <w:i/>
        </w:rPr>
        <w:t xml:space="preserve">Virola flexuosa</w:t>
      </w:r>
      <w:r>
        <w:t xml:space="preserve"> </w:t>
      </w:r>
      <w:r>
        <w:t xml:space="preserve">seeds</w:t>
      </w:r>
      <w:r>
        <w:t xml:space="preserve"> </w:t>
      </w:r>
      <w:r>
        <w:t xml:space="preserve">(K. M. Holbrook and Loiselle 2007)</w:t>
      </w:r>
      <w:r>
        <w:t xml:space="preserve">. Out of the data collected, and following Holbrook</w:t>
      </w:r>
      <w:r>
        <w:t xml:space="preserve"> </w:t>
      </w:r>
      <w:r>
        <w:t xml:space="preserve">(2011)</w:t>
      </w:r>
      <w:r>
        <w:t xml:space="preserve">, we selected bird individuals with at least 40 recorded point locations. Even though location recordings were attempted every 15 minutes, this was not always possible, due to the individual being too far out from range or canopy cover, therefore point locations data is available every 15 minutes or multiples of 15 minutes, with the majority of point location recordings between 15 and 30 minutes</w:t>
      </w:r>
      <w:r>
        <w:t xml:space="preserve"> </w:t>
      </w:r>
      <w:r>
        <w:t xml:space="preserve">(Holbrook 2011)</w:t>
      </w:r>
      <w:r>
        <w:t xml:space="preserve">. Further details on field methods can be found in Holbrook</w:t>
      </w:r>
      <w:r>
        <w:t xml:space="preserve"> </w:t>
      </w:r>
      <w:r>
        <w:t xml:space="preserve">(2011)</w:t>
      </w:r>
      <w:r>
        <w:t xml:space="preserve">.</w:t>
      </w:r>
    </w:p>
    <w:p>
      <w:pPr>
        <w:pStyle w:val="BodyText"/>
      </w:pPr>
      <w:r>
        <w:t xml:space="preserve">To take advantage of all the locations recorded for series of successive points, despite this variation in duration of time intervals, we calculated rates of movement, as the average number of meters moved per minute over the entire tracking period for that individual bird. These movement rates were later used in our simulation models as the parameter to describe the probability distribution of movement distances at each one minute time step for each simulation run. In the case of our null model, the movement rate was averaged across all individuals for all the tracking periods, and at the social group level we took the average number of meters moved per minute over the tracking periods for all individuals belonging to that group, with a total of 7 independent groups.</w:t>
      </w:r>
    </w:p>
    <w:p>
      <w:pPr>
        <w:pStyle w:val="BodyText"/>
      </w:pPr>
      <w:r>
        <w:t xml:space="preserve">Parameter values for gut retention time were also based on empirically collected data from previous studies</w:t>
      </w:r>
      <w:r>
        <w:t xml:space="preserve"> </w:t>
      </w:r>
      <w:r>
        <w:t xml:space="preserve">(K. M. Holbrook and Loiselle 2007)</w:t>
      </w:r>
      <w:r>
        <w:t xml:space="preserve">, were passage trials were carried out with</w:t>
      </w:r>
      <w:r>
        <w:t xml:space="preserve"> </w:t>
      </w:r>
      <w:r>
        <w:rPr>
          <w:i/>
        </w:rPr>
        <w:t xml:space="preserve">Pteroglossus pluricinctus</w:t>
      </w:r>
      <w:r>
        <w:t xml:space="preserve"> </w:t>
      </w:r>
      <w:r>
        <w:t xml:space="preserve">individuals. However, these passage trials were not performed on every individual captured and some of the trials were also performed with captive birds, thus we could not explore individual variation in gut retention times for the individuals in the movement data set. These trials showed that the average gut retention time for</w:t>
      </w:r>
      <w:r>
        <w:t xml:space="preserve"> </w:t>
      </w:r>
      <w:r>
        <w:rPr>
          <w:i/>
        </w:rPr>
        <w:t xml:space="preserve">Pterglossus pluricinctus</w:t>
      </w:r>
      <w:r>
        <w:t xml:space="preserve"> </w:t>
      </w:r>
      <w:r>
        <w:t xml:space="preserve">was 28 minutes</w:t>
      </w:r>
      <w:r>
        <w:t xml:space="preserve"> </w:t>
      </w:r>
      <w:r>
        <w:t xml:space="preserve">(K. M. Holbrook and Loiselle 2007)</w:t>
      </w:r>
      <w:r>
        <w:t xml:space="preserve">, and maximum retention times over 100 minutes. The distribution of gut retention times is characteristically fat-tailed, thus we used a gamma distribution (shape = 4, scale = 5) with the appropriate shift to match our average retention time of 28 minutes</w:t>
      </w:r>
      <w:r>
        <w:t xml:space="preserve"> </w:t>
      </w:r>
      <w:r>
        <w:t xml:space="preserve">(Morales and Carlo 2006; Levey et al. 2005)</w:t>
      </w:r>
      <w:r>
        <w:t xml:space="preserve">, and used this distribution to sample gut retention times for each of our simulation runs.</w:t>
      </w:r>
    </w:p>
    <w:p>
      <w:pPr>
        <w:pStyle w:val="Heading2"/>
      </w:pPr>
      <w:bookmarkStart w:id="26" w:name="model-processes"/>
      <w:r>
        <w:t xml:space="preserve">Model processes</w:t>
      </w:r>
      <w:bookmarkEnd w:id="26"/>
    </w:p>
    <w:p>
      <w:pPr>
        <w:pStyle w:val="FirstParagraph"/>
      </w:pPr>
      <w:r>
        <w:t xml:space="preserve">Each simulation run in our models consisted of one animal in a homogeneous landscape starting at the focus tree located at coordinates (0,0). We assume the landscape is in meters, as the sampling of movement distances for animal movement comes from estimates of meters moved per minute, the movement rates. Informed from field observations,</w:t>
      </w:r>
      <w:r>
        <w:t xml:space="preserve"> </w:t>
      </w:r>
      <w:r>
        <w:rPr>
          <w:i/>
        </w:rPr>
        <w:t xml:space="preserve">Pteroglossus pluricinctus</w:t>
      </w:r>
      <w:r>
        <w:t xml:space="preserve"> </w:t>
      </w:r>
      <w:r>
        <w:t xml:space="preserve">have a mean visit length of 4.0 minutes for each fruiting tree, consuming between 2 and 5 seeds during each visit, and not visiting another fruiting tree immediately after feeding (Holbrook’s dissertation and personal communication</w:t>
      </w:r>
      <w:r>
        <w:t xml:space="preserve"> </w:t>
      </w:r>
      <w:r>
        <w:t xml:space="preserve">(Kimberly Mae Holbrook 2007)</w:t>
      </w:r>
      <w:r>
        <w:t xml:space="preserve">). Due to this underlying behavior, we decided to focus our simulations specifically to the events associated to feeding from one focus tree, and the animal movement occurring after foraging and before visiting another fruiting tree. Since one of the objectives for this paper is to explore the occurrence of long-distance dispersal events, we did not set boundaries for the landscape.</w:t>
      </w:r>
      <w:r>
        <w:t xml:space="preserve"> </w:t>
      </w:r>
      <w:r>
        <w:rPr>
          <w:i/>
        </w:rPr>
        <w:t xml:space="preserve">Pteroglossus pluricinctus</w:t>
      </w:r>
      <w:r>
        <w:t xml:space="preserve"> </w:t>
      </w:r>
      <w:r>
        <w:t xml:space="preserve">has shown maximum travel distances exceeding 3500m in a single 30 minute tracking interval, thus showing the potential to disperse</w:t>
      </w:r>
      <w:r>
        <w:t xml:space="preserve"> </w:t>
      </w:r>
      <w:r>
        <w:rPr>
          <w:i/>
        </w:rPr>
        <w:t xml:space="preserve">Virola</w:t>
      </w:r>
      <w:r>
        <w:t xml:space="preserve"> </w:t>
      </w:r>
      <w:r>
        <w:t xml:space="preserve">seeds at long ranges</w:t>
      </w:r>
      <w:r>
        <w:t xml:space="preserve"> </w:t>
      </w:r>
      <w:r>
        <w:t xml:space="preserve">(Holbrook 2011)</w:t>
      </w:r>
      <w:r>
        <w:t xml:space="preserve">.</w:t>
      </w:r>
    </w:p>
    <w:p>
      <w:pPr>
        <w:pStyle w:val="BodyText"/>
      </w:pPr>
      <w:r>
        <w:t xml:space="preserve">At the beginning of each simulation run, the animal consumed five seeds at the focus tree location, and each of these seeds was assigned a gut retention time sampled from a gamma distribution (shape=4, scale=5, shift=8). Once the animal in the simulation consumed the seeds, a movement distance was sampled from the assigned exponential distribution (which varied depending on the underlying model such as the null, individual or family group model) and a random direction from</w:t>
      </w:r>
      <w:r>
        <w:t xml:space="preserve"> </w:t>
      </w:r>
      <m:oMath>
        <m:sSup>
          <m:e>
            <m:r>
              <m:t>0</m:t>
            </m:r>
          </m:e>
          <m:sup>
            <m:r>
              <m:t>o</m:t>
            </m:r>
          </m:sup>
        </m:sSup>
      </m:oMath>
      <w:r>
        <w:t xml:space="preserve"> </w:t>
      </w:r>
      <w:r>
        <w:t xml:space="preserve">to</w:t>
      </w:r>
      <w:r>
        <w:t xml:space="preserve"> </w:t>
      </w:r>
      <m:oMath>
        <m:sSup>
          <m:e>
            <m:r>
              <m:t>360</m:t>
            </m:r>
          </m:e>
          <m:sup>
            <m:r>
              <m:t>o</m:t>
            </m:r>
          </m:sup>
        </m:sSup>
      </m:oMath>
      <w:r>
        <w:t xml:space="preserve"> </w:t>
      </w:r>
      <w:r>
        <w:t xml:space="preserve">degrees was used to determine the animal’s position for the next time step, repeating this process for every time step and thus following an uncorrelated random walk with no directional tendency. Once the simulation run’s time matched the gut retention time for a seed, that seed would get dropped at the animal’s location at that specific time point, thus allowing us to record seed location in the landscape. For each of our models we ran 10,000 simulation runs per individual or family group, depending on the model, and collected information on animal and seed locations at every time step.</w:t>
      </w:r>
    </w:p>
    <w:p>
      <w:pPr>
        <w:pStyle w:val="Heading2"/>
      </w:pPr>
      <w:bookmarkStart w:id="27" w:name="seed-dispersal-and-aggregation-metrics"/>
      <w:r>
        <w:t xml:space="preserve">Seed dispersal and aggregation metrics</w:t>
      </w:r>
      <w:bookmarkEnd w:id="27"/>
    </w:p>
    <w:p>
      <w:pPr>
        <w:pStyle w:val="FirstParagraph"/>
      </w:pPr>
      <w:r>
        <w:t xml:space="preserve">Bring up that each seed gets dropped when the simulation reaches the seed’s previously determined gut retention time, and thus the seed’s location is the lcoation of the bird at the simulation time that matches the gut retention time. The simulation run ends when the last seed is dropped, which is determined by the largest gut retention time.</w:t>
      </w:r>
      <w:r>
        <w:t xml:space="preserve"> </w:t>
      </w:r>
      <w:r>
        <w:t xml:space="preserve">We did not have limits set on the landscape, as we are trying to also understand the effects of this variation on the potential for long-distance dispersal events in toucan-generated seed dispersal curves. Maximum recorded distances for these toucans in the datasets is of 3665m in a single 30 minute tracking interval, so we didn’t want to limit the dispersal potential by setting the landscape to a torus and constricting its size.</w:t>
      </w:r>
    </w:p>
    <w:p>
      <w:pPr>
        <w:pStyle w:val="Heading2"/>
      </w:pPr>
      <w:bookmarkStart w:id="28" w:name="X08bb584a24026458267ac8aa257ef35bc9be4e6"/>
      <w:r>
        <w:t xml:space="preserve">Seed dispersal distance and agregation metrics</w:t>
      </w:r>
      <w:bookmarkEnd w:id="28"/>
    </w:p>
    <w:p>
      <w:pPr>
        <w:pStyle w:val="FirstParagraph"/>
      </w:pPr>
      <w:r>
        <w:t xml:space="preserve">How we calculated these distances, the averages and SD, and then how we calculated the dispersion, long distance dispersal events.</w:t>
      </w:r>
    </w:p>
    <w:p>
      <w:pPr>
        <w:pStyle w:val="Heading2"/>
      </w:pPr>
      <w:bookmarkStart w:id="29" w:name="seed-dispersal-kernel-fitting"/>
      <w:r>
        <w:t xml:space="preserve">Seed dispersal kernel fitting</w:t>
      </w:r>
      <w:bookmarkEnd w:id="29"/>
    </w:p>
    <w:p>
      <w:pPr>
        <w:pStyle w:val="FirstParagraph"/>
      </w:pPr>
      <w:r>
        <w:t xml:space="preserve">Look into this, but probably use a Weibull distribution like morales and carlo, and then compare the parameters to describe them. An alternative approach would be to use an extreme distribution like the garcia paper to describe this.</w:t>
      </w:r>
    </w:p>
    <w:p>
      <w:pPr>
        <w:pStyle w:val="Heading1"/>
      </w:pPr>
      <w:bookmarkStart w:id="30" w:name="results"/>
      <w:r>
        <w:t xml:space="preserve">Results</w:t>
      </w:r>
      <w:bookmarkEnd w:id="30"/>
    </w:p>
    <w:p>
      <w:pPr>
        <w:pStyle w:val="Heading2"/>
      </w:pPr>
      <w:bookmarkStart w:id="31" w:name="X517745398f8e01222fa87a48972b438e45beeae"/>
      <w:r>
        <w:t xml:space="preserve">Seed dispersal distances and long distance dispersal</w:t>
      </w:r>
      <w:bookmarkEnd w:id="31"/>
    </w:p>
    <w:p>
      <w:pPr>
        <w:pStyle w:val="Heading2"/>
      </w:pPr>
      <w:bookmarkStart w:id="32" w:name="seed-dispersion-aggregation"/>
      <w:r>
        <w:t xml:space="preserve">Seed dispersion aggregation</w:t>
      </w:r>
      <w:bookmarkEnd w:id="32"/>
    </w:p>
    <w:p>
      <w:pPr>
        <w:pStyle w:val="Heading2"/>
      </w:pPr>
      <w:bookmarkStart w:id="33" w:name="extreme-distributions-to-fit-dispersal"/>
      <w:r>
        <w:t xml:space="preserve">Extreme distributions to fit dispersal</w:t>
      </w:r>
      <w:bookmarkEnd w:id="33"/>
    </w:p>
    <w:p>
      <w:pPr>
        <w:pStyle w:val="Heading1"/>
      </w:pPr>
      <w:bookmarkStart w:id="34" w:name="discussion"/>
      <w:r>
        <w:t xml:space="preserve">Discussion</w:t>
      </w:r>
      <w:bookmarkEnd w:id="34"/>
    </w:p>
    <w:p>
      <w:pPr>
        <w:pStyle w:val="Heading1"/>
      </w:pPr>
      <w:bookmarkStart w:id="35" w:name="conclusion"/>
      <w:r>
        <w:t xml:space="preserve">Conclusion</w:t>
      </w:r>
      <w:bookmarkEnd w:id="35"/>
    </w:p>
    <w:p>
      <w:pPr>
        <w:pStyle w:val="Heading1"/>
      </w:pPr>
      <w:bookmarkStart w:id="36" w:name="acknowledgements"/>
      <w:r>
        <w:t xml:space="preserve">Acknowledgements</w:t>
      </w:r>
      <w:bookmarkEnd w:id="36"/>
    </w:p>
    <w:p>
      <w:pPr>
        <w:pStyle w:val="Heading1"/>
      </w:pPr>
      <w:bookmarkStart w:id="37" w:name="references"/>
      <w:r>
        <w:t xml:space="preserve">References</w:t>
      </w:r>
      <w:bookmarkEnd w:id="37"/>
    </w:p>
    <w:bookmarkStart w:id="92" w:name="refs"/>
    <w:bookmarkStart w:id="39" w:name="ref-araujo_ecological_2011"/>
    <w:p>
      <w:pPr>
        <w:pStyle w:val="Bibliography"/>
      </w:pPr>
      <w:r>
        <w:t xml:space="preserve">Araújo, Márcio S., Daniel I. Bolnick, and Craig A. Layman. 2011. “The Ecological Causes of Individual Specialisation.”</w:t>
      </w:r>
      <w:r>
        <w:t xml:space="preserve"> </w:t>
      </w:r>
      <w:r>
        <w:rPr>
          <w:i/>
        </w:rPr>
        <w:t xml:space="preserve">Ecology Letters</w:t>
      </w:r>
      <w:r>
        <w:t xml:space="preserve"> </w:t>
      </w:r>
      <w:r>
        <w:t xml:space="preserve">14 (9): 948–58.</w:t>
      </w:r>
      <w:r>
        <w:t xml:space="preserve"> </w:t>
      </w:r>
      <w:hyperlink r:id="rId38">
        <w:r>
          <w:rPr>
            <w:rStyle w:val="Hyperlink"/>
          </w:rPr>
          <w:t xml:space="preserve">https://doi.org/10.1111/j.1461-0248.2011.01662.x</w:t>
        </w:r>
      </w:hyperlink>
      <w:r>
        <w:t xml:space="preserve">.</w:t>
      </w:r>
    </w:p>
    <w:bookmarkEnd w:id="39"/>
    <w:bookmarkStart w:id="41" w:name="ref-benedetti-cecchi_importance_2003"/>
    <w:p>
      <w:pPr>
        <w:pStyle w:val="Bibliography"/>
      </w:pPr>
      <w:r>
        <w:t xml:space="preserve">Benedetti-Cecchi, Lisandro. 2003. “The Importance of the Variance Around the Mean Effect Size of Ecological Processes.”</w:t>
      </w:r>
      <w:r>
        <w:t xml:space="preserve"> </w:t>
      </w:r>
      <w:r>
        <w:rPr>
          <w:i/>
        </w:rPr>
        <w:t xml:space="preserve">Ecology</w:t>
      </w:r>
      <w:r>
        <w:t xml:space="preserve"> </w:t>
      </w:r>
      <w:r>
        <w:t xml:space="preserve">84 (9): 2335–46.</w:t>
      </w:r>
      <w:r>
        <w:t xml:space="preserve"> </w:t>
      </w:r>
      <w:hyperlink r:id="rId40">
        <w:r>
          <w:rPr>
            <w:rStyle w:val="Hyperlink"/>
          </w:rPr>
          <w:t xml:space="preserve">https://doi.org/10.1890/02-8011</w:t>
        </w:r>
      </w:hyperlink>
      <w:r>
        <w:t xml:space="preserve">.</w:t>
      </w:r>
    </w:p>
    <w:bookmarkEnd w:id="41"/>
    <w:bookmarkStart w:id="43" w:name="ref-bolnick_why_2011"/>
    <w:p>
      <w:pPr>
        <w:pStyle w:val="Bibliography"/>
      </w:pPr>
      <w:r>
        <w:t xml:space="preserve">Bolnick, Daniel I., Priyanga Amarasekare, Márcio S. Araújo, Reinhard Bürger, Jonathan M. Levine, Mark Novak, Volker H. W. Rudolf, Sebastian J. Schreiber, Mark C. Urban, and David A. Vasseur. 2011. “Why Intraspecific Trait Variation Matters in Community Ecology.”</w:t>
      </w:r>
      <w:r>
        <w:t xml:space="preserve"> </w:t>
      </w:r>
      <w:r>
        <w:rPr>
          <w:i/>
        </w:rPr>
        <w:t xml:space="preserve">Trends in Ecology &amp; Evolution</w:t>
      </w:r>
      <w:r>
        <w:t xml:space="preserve"> </w:t>
      </w:r>
      <w:r>
        <w:t xml:space="preserve">26 (4): 183–92.</w:t>
      </w:r>
      <w:r>
        <w:t xml:space="preserve"> </w:t>
      </w:r>
      <w:hyperlink r:id="rId42">
        <w:r>
          <w:rPr>
            <w:rStyle w:val="Hyperlink"/>
          </w:rPr>
          <w:t xml:space="preserve">https://doi.org/10.1016/j.tree.2011.01.009</w:t>
        </w:r>
      </w:hyperlink>
      <w:r>
        <w:t xml:space="preserve">.</w:t>
      </w:r>
    </w:p>
    <w:bookmarkEnd w:id="43"/>
    <w:bookmarkStart w:id="45" w:name="ref-bolnick_ecological_2010"/>
    <w:p>
      <w:pPr>
        <w:pStyle w:val="Bibliography"/>
      </w:pPr>
      <w:r>
        <w:t xml:space="preserve">Bolnick, Daniel I., Travis Ingram, William E. Stutz, Lisa K. Snowberg, On Lee Lau, and Jeff S. Paull. 2010. “Ecological Release from Interspecific Competition Leads to Decoupled Changes in Population and Individual Niche Width.”</w:t>
      </w:r>
      <w:r>
        <w:t xml:space="preserve"> </w:t>
      </w:r>
      <w:r>
        <w:rPr>
          <w:i/>
        </w:rPr>
        <w:t xml:space="preserve">Proceedings of the Royal Society B: Biological Sciences</w:t>
      </w:r>
      <w:r>
        <w:t xml:space="preserve"> </w:t>
      </w:r>
      <w:r>
        <w:t xml:space="preserve">277 (1689): 1789–97.</w:t>
      </w:r>
      <w:r>
        <w:t xml:space="preserve"> </w:t>
      </w:r>
      <w:hyperlink r:id="rId44">
        <w:r>
          <w:rPr>
            <w:rStyle w:val="Hyperlink"/>
          </w:rPr>
          <w:t xml:space="preserve">https://doi.org/10.1098/rspb.2010.0018</w:t>
        </w:r>
      </w:hyperlink>
      <w:r>
        <w:t xml:space="preserve">.</w:t>
      </w:r>
    </w:p>
    <w:bookmarkEnd w:id="45"/>
    <w:bookmarkStart w:id="47" w:name="ref-bolnick_ecology_2003"/>
    <w:p>
      <w:pPr>
        <w:pStyle w:val="Bibliography"/>
      </w:pPr>
      <w:r>
        <w:t xml:space="preserve">Bolnick, Daniel I., Richard Svanbäck, James A. Fordyce, Louie H. Yang, Jeremy M. Davis, C. Darrin Hulsey, and Matthew L. Forister. 2003. “The Ecology of Individuals: Incidence and Implications of Individual Specialization.”</w:t>
      </w:r>
      <w:r>
        <w:t xml:space="preserve"> </w:t>
      </w:r>
      <w:r>
        <w:rPr>
          <w:i/>
        </w:rPr>
        <w:t xml:space="preserve">The American Naturalist</w:t>
      </w:r>
      <w:r>
        <w:t xml:space="preserve"> </w:t>
      </w:r>
      <w:r>
        <w:t xml:space="preserve">161 (1): 1–28.</w:t>
      </w:r>
      <w:r>
        <w:t xml:space="preserve"> </w:t>
      </w:r>
      <w:hyperlink r:id="rId46">
        <w:r>
          <w:rPr>
            <w:rStyle w:val="Hyperlink"/>
          </w:rPr>
          <w:t xml:space="preserve">https://doi.org/10.1086/343878</w:t>
        </w:r>
      </w:hyperlink>
      <w:r>
        <w:t xml:space="preserve">.</w:t>
      </w:r>
    </w:p>
    <w:bookmarkEnd w:id="47"/>
    <w:bookmarkStart w:id="48" w:name="ref-carlo2014directness"/>
    <w:p>
      <w:pPr>
        <w:pStyle w:val="Bibliography"/>
      </w:pPr>
      <w:r>
        <w:t xml:space="preserve">Carlo, Tomas A, and Joshua J Tewksbury. 2014. “Directness and Tempo of Avian Seed Dispersal Increases Emergence of Wild Chiltepins in Desert Grasslands.”</w:t>
      </w:r>
      <w:r>
        <w:t xml:space="preserve"> </w:t>
      </w:r>
      <w:r>
        <w:rPr>
          <w:i/>
        </w:rPr>
        <w:t xml:space="preserve">Journal of Ecology</w:t>
      </w:r>
      <w:r>
        <w:t xml:space="preserve"> </w:t>
      </w:r>
      <w:r>
        <w:t xml:space="preserve">102 (1): 248–55.</w:t>
      </w:r>
    </w:p>
    <w:bookmarkEnd w:id="48"/>
    <w:bookmarkStart w:id="49" w:name="ref-comita2014testing"/>
    <w:p>
      <w:pPr>
        <w:pStyle w:val="Bibliography"/>
      </w:pPr>
      <w:r>
        <w:t xml:space="preserve">Comita, Liza S, Simon A Queenborough, Stephen J Murphy, Jenalle L Eck, Kaiyang Xu, Meghna Krishnadas, Noelle Beckman, and Yan Zhu. 2014. “Testing Predictions of the Janzen–Connell Hypothesis: A Meta-Analysis of Experimental Evidence for Distance-and Density-Dependent Seed and Seedling Survival.”</w:t>
      </w:r>
      <w:r>
        <w:t xml:space="preserve"> </w:t>
      </w:r>
      <w:r>
        <w:rPr>
          <w:i/>
        </w:rPr>
        <w:t xml:space="preserve">Journal of Ecology</w:t>
      </w:r>
      <w:r>
        <w:t xml:space="preserve"> </w:t>
      </w:r>
      <w:r>
        <w:t xml:space="preserve">102 (4): 845–56.</w:t>
      </w:r>
    </w:p>
    <w:bookmarkEnd w:id="49"/>
    <w:bookmarkStart w:id="51" w:name="ref-cortes_integrating_2013"/>
    <w:p>
      <w:pPr>
        <w:pStyle w:val="Bibliography"/>
      </w:pPr>
      <w:r>
        <w:t xml:space="preserve">Côrtes, Marina Corrêa, and María Uriarte. 2013. “Integrating Frugivory and Animal Movement: A Review of the Evidence and Implications for Scaling Seed Dispersal.”</w:t>
      </w:r>
      <w:r>
        <w:t xml:space="preserve"> </w:t>
      </w:r>
      <w:r>
        <w:rPr>
          <w:i/>
        </w:rPr>
        <w:t xml:space="preserve">Biological Reviews</w:t>
      </w:r>
      <w:r>
        <w:t xml:space="preserve"> </w:t>
      </w:r>
      <w:r>
        <w:t xml:space="preserve">88 (2): 255–72.</w:t>
      </w:r>
      <w:r>
        <w:t xml:space="preserve"> </w:t>
      </w:r>
      <w:hyperlink r:id="rId50">
        <w:r>
          <w:rPr>
            <w:rStyle w:val="Hyperlink"/>
          </w:rPr>
          <w:t xml:space="preserve">https://doi.org/10.1111/j.1469-185X.2012.00250.x</w:t>
        </w:r>
      </w:hyperlink>
      <w:r>
        <w:t xml:space="preserve">.</w:t>
      </w:r>
    </w:p>
    <w:bookmarkEnd w:id="51"/>
    <w:bookmarkStart w:id="52" w:name="ref-darwin_origin_1859"/>
    <w:p>
      <w:pPr>
        <w:pStyle w:val="Bibliography"/>
      </w:pPr>
      <w:r>
        <w:t xml:space="preserve">Darwin, Charles, and others. 1859.</w:t>
      </w:r>
      <w:r>
        <w:t xml:space="preserve"> </w:t>
      </w:r>
      <w:r>
        <w:rPr>
          <w:i/>
        </w:rPr>
        <w:t xml:space="preserve">The Origin of Species by Means of Natural Selection</w:t>
      </w:r>
      <w:r>
        <w:t xml:space="preserve">. Collin’s Clear-Type Press.</w:t>
      </w:r>
    </w:p>
    <w:bookmarkEnd w:id="52"/>
    <w:bookmarkStart w:id="54" w:name="ref-forsman_inter-individual_2016"/>
    <w:p>
      <w:pPr>
        <w:pStyle w:val="Bibliography"/>
      </w:pPr>
      <w:r>
        <w:t xml:space="preserve">Forsman, Anders, and Lena Wennersten. 2016. “Inter-Individual Variation Promotes Ecological Success of Populations and Species: Evidence from Experimental and Comparative Studies.”</w:t>
      </w:r>
      <w:r>
        <w:t xml:space="preserve"> </w:t>
      </w:r>
      <w:r>
        <w:rPr>
          <w:i/>
        </w:rPr>
        <w:t xml:space="preserve">Ecography</w:t>
      </w:r>
      <w:r>
        <w:t xml:space="preserve"> </w:t>
      </w:r>
      <w:r>
        <w:t xml:space="preserve">39 (7): 630–48.</w:t>
      </w:r>
      <w:r>
        <w:t xml:space="preserve"> </w:t>
      </w:r>
      <w:hyperlink r:id="rId53">
        <w:r>
          <w:rPr>
            <w:rStyle w:val="Hyperlink"/>
          </w:rPr>
          <w:t xml:space="preserve">https://doi.org/10.1111/ecog.01357</w:t>
        </w:r>
      </w:hyperlink>
      <w:r>
        <w:t xml:space="preserve">.</w:t>
      </w:r>
    </w:p>
    <w:bookmarkEnd w:id="54"/>
    <w:bookmarkStart w:id="56" w:name="ref-gonzalez-varo_labile_2016"/>
    <w:p>
      <w:pPr>
        <w:pStyle w:val="Bibliography"/>
      </w:pPr>
      <w:r>
        <w:t xml:space="preserve">González-Varo, Juan P., and Anna Traveset. 2016. “The Labile Limits of Forbidden Interactions.”</w:t>
      </w:r>
      <w:r>
        <w:t xml:space="preserve"> </w:t>
      </w:r>
      <w:r>
        <w:rPr>
          <w:i/>
        </w:rPr>
        <w:t xml:space="preserve">Trends in Ecology &amp; Evolution</w:t>
      </w:r>
      <w:r>
        <w:t xml:space="preserve"> </w:t>
      </w:r>
      <w:r>
        <w:t xml:space="preserve">31 (9): 700–710.</w:t>
      </w:r>
      <w:r>
        <w:t xml:space="preserve"> </w:t>
      </w:r>
      <w:hyperlink r:id="rId55">
        <w:r>
          <w:rPr>
            <w:rStyle w:val="Hyperlink"/>
          </w:rPr>
          <w:t xml:space="preserve">https://doi.org/10.1016/j.tree.2016.06.009</w:t>
        </w:r>
      </w:hyperlink>
      <w:r>
        <w:t xml:space="preserve">.</w:t>
      </w:r>
    </w:p>
    <w:bookmarkEnd w:id="56"/>
    <w:bookmarkStart w:id="58" w:name="ref-holbrook_home_2011"/>
    <w:p>
      <w:pPr>
        <w:pStyle w:val="Bibliography"/>
      </w:pPr>
      <w:r>
        <w:t xml:space="preserve">Holbrook, Kimberly M. 2011. “Home Range and Movement Patterns of Toucans: Implications for Seed Dispersal.”</w:t>
      </w:r>
      <w:r>
        <w:t xml:space="preserve"> </w:t>
      </w:r>
      <w:r>
        <w:rPr>
          <w:i/>
        </w:rPr>
        <w:t xml:space="preserve">Biotropica</w:t>
      </w:r>
      <w:r>
        <w:t xml:space="preserve"> </w:t>
      </w:r>
      <w:r>
        <w:t xml:space="preserve">43 (3): 357–64.</w:t>
      </w:r>
      <w:r>
        <w:t xml:space="preserve"> </w:t>
      </w:r>
      <w:hyperlink r:id="rId57">
        <w:r>
          <w:rPr>
            <w:rStyle w:val="Hyperlink"/>
          </w:rPr>
          <w:t xml:space="preserve">https://doi.org/10.1111/j.1744-7429.2010.00710.x</w:t>
        </w:r>
      </w:hyperlink>
      <w:r>
        <w:t xml:space="preserve">.</w:t>
      </w:r>
    </w:p>
    <w:bookmarkEnd w:id="58"/>
    <w:bookmarkStart w:id="59" w:name="ref-holbrook2007seed"/>
    <w:p>
      <w:pPr>
        <w:pStyle w:val="Bibliography"/>
      </w:pPr>
      <w:r>
        <w:t xml:space="preserve">Holbrook, Kimberly Mae. 2007. “Seed Dispersal Limitation in a Neotropical Nutmeg, Virola Flexuosa (Myristicaceae): An Ecological and Genetic Approach.”</w:t>
      </w:r>
    </w:p>
    <w:bookmarkEnd w:id="59"/>
    <w:bookmarkStart w:id="60" w:name="ref-holbrook_using_2007"/>
    <w:p>
      <w:pPr>
        <w:pStyle w:val="Bibliography"/>
      </w:pPr>
      <w:r>
        <w:t xml:space="preserve">Holbrook, K. M., and B. A. Loiselle. 2007. “Using Toucan-Generated Dispersal Models to Estimate Seed Dispersal in Amazonian Ecuador.” In</w:t>
      </w:r>
      <w:r>
        <w:t xml:space="preserve"> </w:t>
      </w:r>
      <w:r>
        <w:rPr>
          <w:i/>
        </w:rPr>
        <w:t xml:space="preserve">Seed Dispersal: Theory and Its Application in a Changing World</w:t>
      </w:r>
      <w:r>
        <w:t xml:space="preserve">, 300–321. CAB International, Wallingford.</w:t>
      </w:r>
    </w:p>
    <w:bookmarkEnd w:id="60"/>
    <w:bookmarkStart w:id="62" w:name="ref-holbrook_dispersal_2009"/>
    <w:p>
      <w:pPr>
        <w:pStyle w:val="Bibliography"/>
      </w:pPr>
      <w:r>
        <w:t xml:space="preserve">———. 2009. “Dispersal in a Neotropical Tree, Virola Flexuosa (Myristicaceae): Does Hunting of Large Vertebrates Limit Seed Removal?”</w:t>
      </w:r>
      <w:r>
        <w:t xml:space="preserve"> </w:t>
      </w:r>
      <w:r>
        <w:rPr>
          <w:i/>
        </w:rPr>
        <w:t xml:space="preserve">Ecology</w:t>
      </w:r>
      <w:r>
        <w:t xml:space="preserve"> </w:t>
      </w:r>
      <w:r>
        <w:t xml:space="preserve">90 (6): 1449–55.</w:t>
      </w:r>
      <w:r>
        <w:t xml:space="preserve"> </w:t>
      </w:r>
      <w:hyperlink r:id="rId61">
        <w:r>
          <w:rPr>
            <w:rStyle w:val="Hyperlink"/>
          </w:rPr>
          <w:t xml:space="preserve">https://doi.org/10.1890/08-1332.1</w:t>
        </w:r>
      </w:hyperlink>
      <w:r>
        <w:t xml:space="preserve">.</w:t>
      </w:r>
    </w:p>
    <w:bookmarkEnd w:id="62"/>
    <w:bookmarkStart w:id="63" w:name="ref-howe2004seed"/>
    <w:p>
      <w:pPr>
        <w:pStyle w:val="Bibliography"/>
      </w:pPr>
      <w:r>
        <w:t xml:space="preserve">Howe, Henry F, and Maria N Miriti. 2004. “When Seed Dispersal Matters.”</w:t>
      </w:r>
      <w:r>
        <w:t xml:space="preserve"> </w:t>
      </w:r>
      <w:r>
        <w:rPr>
          <w:i/>
        </w:rPr>
        <w:t xml:space="preserve">BioScience</w:t>
      </w:r>
      <w:r>
        <w:t xml:space="preserve"> </w:t>
      </w:r>
      <w:r>
        <w:t xml:space="preserve">54 (7): 651–60.</w:t>
      </w:r>
    </w:p>
    <w:bookmarkEnd w:id="63"/>
    <w:bookmarkStart w:id="64" w:name="ref-howe1982ecology"/>
    <w:p>
      <w:pPr>
        <w:pStyle w:val="Bibliography"/>
      </w:pPr>
      <w:r>
        <w:t xml:space="preserve">Howe, Henry F, and Judith Smallwood. 1982. “Ecology of Seed Dispersal.”</w:t>
      </w:r>
      <w:r>
        <w:t xml:space="preserve"> </w:t>
      </w:r>
      <w:r>
        <w:rPr>
          <w:i/>
        </w:rPr>
        <w:t xml:space="preserve">Annual Review of Ecology and Systematics</w:t>
      </w:r>
      <w:r>
        <w:t xml:space="preserve"> </w:t>
      </w:r>
      <w:r>
        <w:t xml:space="preserve">13 (1): 201–28.</w:t>
      </w:r>
    </w:p>
    <w:bookmarkEnd w:id="64"/>
    <w:bookmarkStart w:id="65" w:name="ref-ibanez2006predicting"/>
    <w:p>
      <w:pPr>
        <w:pStyle w:val="Bibliography"/>
      </w:pPr>
      <w:r>
        <w:t xml:space="preserve">Ibáñez, Inés, James S Clark, Michael C Dietze, Ken Feeley, Michelle Hersh, Shannon LaDeau, Allen McBride, Nathan E Welch, and Michael S Wolosin. 2006. “Predicting Biodiversity Change: Outside the Climate Envelope, Beyond the Species–Area Curve.”</w:t>
      </w:r>
      <w:r>
        <w:t xml:space="preserve"> </w:t>
      </w:r>
      <w:r>
        <w:rPr>
          <w:i/>
        </w:rPr>
        <w:t xml:space="preserve">Ecology</w:t>
      </w:r>
      <w:r>
        <w:t xml:space="preserve"> </w:t>
      </w:r>
      <w:r>
        <w:t xml:space="preserve">87 (8): 1896–1906.</w:t>
      </w:r>
    </w:p>
    <w:bookmarkEnd w:id="65"/>
    <w:bookmarkStart w:id="67" w:name="ref-inouye_importance_2005"/>
    <w:p>
      <w:pPr>
        <w:pStyle w:val="Bibliography"/>
      </w:pPr>
      <w:r>
        <w:t xml:space="preserve">Inouye, Brian D. 2005. “The Importance of the Variance Around the Mean Effect Size of Ecological Processes: Comment.”</w:t>
      </w:r>
      <w:r>
        <w:t xml:space="preserve"> </w:t>
      </w:r>
      <w:r>
        <w:rPr>
          <w:i/>
        </w:rPr>
        <w:t xml:space="preserve">Ecology</w:t>
      </w:r>
      <w:r>
        <w:t xml:space="preserve"> </w:t>
      </w:r>
      <w:r>
        <w:t xml:space="preserve">86 (1): 262–65.</w:t>
      </w:r>
      <w:r>
        <w:t xml:space="preserve"> </w:t>
      </w:r>
      <w:hyperlink r:id="rId66">
        <w:r>
          <w:rPr>
            <w:rStyle w:val="Hyperlink"/>
          </w:rPr>
          <w:t xml:space="preserve">https://www.jstor.org/stable/3451006</w:t>
        </w:r>
      </w:hyperlink>
      <w:r>
        <w:t xml:space="preserve">.</w:t>
      </w:r>
    </w:p>
    <w:bookmarkEnd w:id="67"/>
    <w:bookmarkStart w:id="69" w:name="ref-jones_closing_2017"/>
    <w:p>
      <w:pPr>
        <w:pStyle w:val="Bibliography"/>
      </w:pPr>
      <w:r>
        <w:t xml:space="preserve">Jones, Landon R., Scott M. Duke‐Sylvester, Paul L. Leberg, and Derek M. Johnson. 2017. “Closing the Gaps for Animal Seed Dispersal: Separating the Effects of Habitat Loss on Dispersal Distances and Seed Aggregation.”</w:t>
      </w:r>
      <w:r>
        <w:t xml:space="preserve"> </w:t>
      </w:r>
      <w:r>
        <w:rPr>
          <w:i/>
        </w:rPr>
        <w:t xml:space="preserve">Ecology and Evolution</w:t>
      </w:r>
      <w:r>
        <w:t xml:space="preserve"> </w:t>
      </w:r>
      <w:r>
        <w:t xml:space="preserve">7 (14): 5410–25.</w:t>
      </w:r>
      <w:r>
        <w:t xml:space="preserve"> </w:t>
      </w:r>
      <w:hyperlink r:id="rId68">
        <w:r>
          <w:rPr>
            <w:rStyle w:val="Hyperlink"/>
          </w:rPr>
          <w:t xml:space="preserve">https://doi.org/10.1002/ece3.3113</w:t>
        </w:r>
      </w:hyperlink>
      <w:r>
        <w:t xml:space="preserve">.</w:t>
      </w:r>
    </w:p>
    <w:bookmarkEnd w:id="69"/>
    <w:bookmarkStart w:id="70" w:name="ref-jordano2007differential"/>
    <w:p>
      <w:pPr>
        <w:pStyle w:val="Bibliography"/>
      </w:pPr>
      <w:r>
        <w:t xml:space="preserve">Jordano, Pedro, Coralith Garcı́a, José A Godoy, and Juan Luis Garcı́a-Castaño. 2007. “Differential Contribution of Frugivores to Complex Seed Dispersal Patterns.”</w:t>
      </w:r>
      <w:r>
        <w:t xml:space="preserve"> </w:t>
      </w:r>
      <w:r>
        <w:rPr>
          <w:i/>
        </w:rPr>
        <w:t xml:space="preserve">Proceedings of the National Academy of Sciences</w:t>
      </w:r>
      <w:r>
        <w:t xml:space="preserve"> </w:t>
      </w:r>
      <w:r>
        <w:t xml:space="preserve">104 (9): 3278–82.</w:t>
      </w:r>
    </w:p>
    <w:bookmarkEnd w:id="70"/>
    <w:bookmarkStart w:id="72" w:name="ref-levey_effects_2005"/>
    <w:p>
      <w:pPr>
        <w:pStyle w:val="Bibliography"/>
      </w:pPr>
      <w:r>
        <w:t xml:space="preserve">Levey, Douglas J., Benjamin M. Bolker, Joshua J. Tewksbury, Sarah Sargent, and Nick M. Haddad. 2005. “Effects of Landscape Corridors on Seed Dispersal by Birds.”</w:t>
      </w:r>
      <w:r>
        <w:t xml:space="preserve"> </w:t>
      </w:r>
      <w:r>
        <w:rPr>
          <w:i/>
        </w:rPr>
        <w:t xml:space="preserve">Science</w:t>
      </w:r>
      <w:r>
        <w:t xml:space="preserve"> </w:t>
      </w:r>
      <w:r>
        <w:t xml:space="preserve">309 (5731): 146–48.</w:t>
      </w:r>
      <w:r>
        <w:t xml:space="preserve"> </w:t>
      </w:r>
      <w:hyperlink r:id="rId71">
        <w:r>
          <w:rPr>
            <w:rStyle w:val="Hyperlink"/>
          </w:rPr>
          <w:t xml:space="preserve">https://doi.org/10.1126/science.1111479</w:t>
        </w:r>
      </w:hyperlink>
      <w:r>
        <w:t xml:space="preserve">.</w:t>
      </w:r>
    </w:p>
    <w:bookmarkEnd w:id="72"/>
    <w:bookmarkStart w:id="73" w:name="ref-loayza2014seed"/>
    <w:p>
      <w:pPr>
        <w:pStyle w:val="Bibliography"/>
      </w:pPr>
      <w:r>
        <w:t xml:space="preserve">Loayza, Andrea P, and Rodrigo S Rios. 2014. “Seed-Swallowing Toucans Are Less Effective Dispersers of Guettarda Viburnoides (Rubiaceae) Than Pulp-Feeding Jays.”</w:t>
      </w:r>
      <w:r>
        <w:t xml:space="preserve"> </w:t>
      </w:r>
      <w:r>
        <w:rPr>
          <w:i/>
        </w:rPr>
        <w:t xml:space="preserve">Biotropica</w:t>
      </w:r>
      <w:r>
        <w:t xml:space="preserve"> </w:t>
      </w:r>
      <w:r>
        <w:t xml:space="preserve">46 (1): 69–77.</w:t>
      </w:r>
    </w:p>
    <w:bookmarkEnd w:id="73"/>
    <w:bookmarkStart w:id="75" w:name="ref-morales_effects_2006"/>
    <w:p>
      <w:pPr>
        <w:pStyle w:val="Bibliography"/>
      </w:pPr>
      <w:r>
        <w:t xml:space="preserve">Morales, Juan Manuel, and Tomás A. Carlo. 2006. “The Effects of Plant Distribution and Frugivore Density on the Scale and Shape of Dispersal Kernels.”</w:t>
      </w:r>
      <w:r>
        <w:t xml:space="preserve"> </w:t>
      </w:r>
      <w:r>
        <w:rPr>
          <w:i/>
        </w:rPr>
        <w:t xml:space="preserve">Ecology</w:t>
      </w:r>
      <w:r>
        <w:t xml:space="preserve"> </w:t>
      </w:r>
      <w:r>
        <w:t xml:space="preserve">87 (6): 1489–96.</w:t>
      </w:r>
      <w:r>
        <w:t xml:space="preserve"> </w:t>
      </w:r>
      <w:hyperlink r:id="rId74">
        <w:r>
          <w:rPr>
            <w:rStyle w:val="Hyperlink"/>
          </w:rPr>
          <w:t xml:space="preserve">https://doi.org/10.1890/0012-9658(2006)87[1489:TEOPDA]2.0.CO;2</w:t>
        </w:r>
      </w:hyperlink>
      <w:r>
        <w:t xml:space="preserve">.</w:t>
      </w:r>
    </w:p>
    <w:bookmarkEnd w:id="75"/>
    <w:bookmarkStart w:id="76" w:name="ref-nathan2006long"/>
    <w:p>
      <w:pPr>
        <w:pStyle w:val="Bibliography"/>
      </w:pPr>
      <w:r>
        <w:t xml:space="preserve">Nathan, Ran. 2006. “Long-Distance Dispersal of Plants.”</w:t>
      </w:r>
      <w:r>
        <w:t xml:space="preserve"> </w:t>
      </w:r>
      <w:r>
        <w:rPr>
          <w:i/>
        </w:rPr>
        <w:t xml:space="preserve">Science</w:t>
      </w:r>
      <w:r>
        <w:t xml:space="preserve"> </w:t>
      </w:r>
      <w:r>
        <w:t xml:space="preserve">313 (5788): 786–88.</w:t>
      </w:r>
    </w:p>
    <w:bookmarkEnd w:id="76"/>
    <w:bookmarkStart w:id="78" w:name="ref-nathan_spatial_2000"/>
    <w:p>
      <w:pPr>
        <w:pStyle w:val="Bibliography"/>
      </w:pPr>
      <w:r>
        <w:t xml:space="preserve">Nathan, Ran, and Helene C. Muller-Landau. 2000. “Spatial Patterns of Seed Dispersal, Their Determinants and Consequences for Recruitment.”</w:t>
      </w:r>
      <w:r>
        <w:t xml:space="preserve"> </w:t>
      </w:r>
      <w:r>
        <w:rPr>
          <w:i/>
        </w:rPr>
        <w:t xml:space="preserve">Trends in Ecology &amp; Evolution</w:t>
      </w:r>
      <w:r>
        <w:t xml:space="preserve"> </w:t>
      </w:r>
      <w:r>
        <w:t xml:space="preserve">15 (7): 278–85.</w:t>
      </w:r>
      <w:r>
        <w:t xml:space="preserve"> </w:t>
      </w:r>
      <w:hyperlink r:id="rId77">
        <w:r>
          <w:rPr>
            <w:rStyle w:val="Hyperlink"/>
          </w:rPr>
          <w:t xml:space="preserve">https://doi.org/10.1016/S0169-5347(00)01874-7</w:t>
        </w:r>
      </w:hyperlink>
      <w:r>
        <w:t xml:space="preserve">.</w:t>
      </w:r>
    </w:p>
    <w:bookmarkEnd w:id="78"/>
    <w:bookmarkStart w:id="80" w:name="ref-post_intraspecific_2008"/>
    <w:p>
      <w:pPr>
        <w:pStyle w:val="Bibliography"/>
      </w:pPr>
      <w:r>
        <w:t xml:space="preserve">Post, David M., Eric P. Palkovacs, Erika G. Schielke, and Stanley I. Dodson. 2008. “Intraspecific Variation in a Predator Affects Community Structure and Cascading Trophic Interactions.”</w:t>
      </w:r>
      <w:r>
        <w:t xml:space="preserve"> </w:t>
      </w:r>
      <w:r>
        <w:rPr>
          <w:i/>
        </w:rPr>
        <w:t xml:space="preserve">Ecology</w:t>
      </w:r>
      <w:r>
        <w:t xml:space="preserve"> </w:t>
      </w:r>
      <w:r>
        <w:t xml:space="preserve">89 (7): 2019–32.</w:t>
      </w:r>
      <w:r>
        <w:t xml:space="preserve"> </w:t>
      </w:r>
      <w:hyperlink r:id="rId79">
        <w:r>
          <w:rPr>
            <w:rStyle w:val="Hyperlink"/>
          </w:rPr>
          <w:t xml:space="preserve">https://doi.org/10.1890/07-1216.1</w:t>
        </w:r>
      </w:hyperlink>
      <w:r>
        <w:t xml:space="preserve">.</w:t>
      </w:r>
    </w:p>
    <w:bookmarkEnd w:id="80"/>
    <w:bookmarkStart w:id="82" w:name="ref-russo_incorporating_2006"/>
    <w:p>
      <w:pPr>
        <w:pStyle w:val="Bibliography"/>
      </w:pPr>
      <w:r>
        <w:t xml:space="preserve">Russo, Sabrina E., Stephen Portnoy, and Carol K. Augspurger. 2006. “Incorporating Animal Behavior into Seed Dispersal Models: Implications for Seed Shadows.”</w:t>
      </w:r>
      <w:r>
        <w:t xml:space="preserve"> </w:t>
      </w:r>
      <w:r>
        <w:rPr>
          <w:i/>
        </w:rPr>
        <w:t xml:space="preserve">Ecology</w:t>
      </w:r>
      <w:r>
        <w:t xml:space="preserve"> </w:t>
      </w:r>
      <w:r>
        <w:t xml:space="preserve">87 (12): 3160–74.</w:t>
      </w:r>
      <w:r>
        <w:t xml:space="preserve"> </w:t>
      </w:r>
      <w:hyperlink r:id="rId81">
        <w:r>
          <w:rPr>
            <w:rStyle w:val="Hyperlink"/>
          </w:rPr>
          <w:t xml:space="preserve">https://doi.org/10.1890/0012-9658(2006)87[3160:IABISD]2.0.CO;2</w:t>
        </w:r>
      </w:hyperlink>
      <w:r>
        <w:t xml:space="preserve">.</w:t>
      </w:r>
    </w:p>
    <w:bookmarkEnd w:id="82"/>
    <w:bookmarkStart w:id="83" w:name="ref-schupp1993quantity"/>
    <w:p>
      <w:pPr>
        <w:pStyle w:val="Bibliography"/>
      </w:pPr>
      <w:r>
        <w:t xml:space="preserve">Schupp, Eugene W. 1993. “Quantity, Quality and the Effectiveness of Seed Dispersal by Animals.”</w:t>
      </w:r>
      <w:r>
        <w:t xml:space="preserve"> </w:t>
      </w:r>
      <w:r>
        <w:rPr>
          <w:i/>
        </w:rPr>
        <w:t xml:space="preserve">Vegetatio</w:t>
      </w:r>
      <w:r>
        <w:t xml:space="preserve"> </w:t>
      </w:r>
      <w:r>
        <w:t xml:space="preserve">107 (1): 15–29.</w:t>
      </w:r>
    </w:p>
    <w:bookmarkEnd w:id="83"/>
    <w:bookmarkStart w:id="85" w:name="ref-schupp_seed_2010"/>
    <w:p>
      <w:pPr>
        <w:pStyle w:val="Bibliography"/>
      </w:pPr>
      <w:r>
        <w:t xml:space="preserve">Schupp, Eugene W., Pedro Jordano, and José María Gómez. 2010. “Seed Dispersal Effectiveness Revisited: A Conceptual Review.”</w:t>
      </w:r>
      <w:r>
        <w:t xml:space="preserve"> </w:t>
      </w:r>
      <w:r>
        <w:rPr>
          <w:i/>
        </w:rPr>
        <w:t xml:space="preserve">New Phytologist</w:t>
      </w:r>
      <w:r>
        <w:t xml:space="preserve"> </w:t>
      </w:r>
      <w:r>
        <w:t xml:space="preserve">188 (2): 333–53.</w:t>
      </w:r>
      <w:r>
        <w:t xml:space="preserve"> </w:t>
      </w:r>
      <w:hyperlink r:id="rId84">
        <w:r>
          <w:rPr>
            <w:rStyle w:val="Hyperlink"/>
          </w:rPr>
          <w:t xml:space="preserve">https://doi.org/10.1111/j.1469-8137.2010.03402.x</w:t>
        </w:r>
      </w:hyperlink>
      <w:r>
        <w:t xml:space="preserve">.</w:t>
      </w:r>
    </w:p>
    <w:bookmarkEnd w:id="85"/>
    <w:bookmarkStart w:id="87" w:name="ref-violle_return_2012"/>
    <w:p>
      <w:pPr>
        <w:pStyle w:val="Bibliography"/>
      </w:pPr>
      <w:r>
        <w:t xml:space="preserve">Violle, Cyrille, Brian J. Enquist, Brian J. McGill, Lin Jiang, Cécile H. Albert, Catherine Hulshof, Vincent Jung, and Julie Messier. 2012. “The Return of the Variance: Intraspecific Variability in Community Ecology.”</w:t>
      </w:r>
      <w:r>
        <w:t xml:space="preserve"> </w:t>
      </w:r>
      <w:r>
        <w:rPr>
          <w:i/>
        </w:rPr>
        <w:t xml:space="preserve">Trends in Ecology &amp; Evolution</w:t>
      </w:r>
      <w:r>
        <w:t xml:space="preserve"> </w:t>
      </w:r>
      <w:r>
        <w:t xml:space="preserve">27 (4): 244–52.</w:t>
      </w:r>
      <w:r>
        <w:t xml:space="preserve"> </w:t>
      </w:r>
      <w:hyperlink r:id="rId86">
        <w:r>
          <w:rPr>
            <w:rStyle w:val="Hyperlink"/>
          </w:rPr>
          <w:t xml:space="preserve">https://doi.org/10.1016/j.tree.2011.11.014</w:t>
        </w:r>
      </w:hyperlink>
      <w:r>
        <w:t xml:space="preserve">.</w:t>
      </w:r>
    </w:p>
    <w:bookmarkEnd w:id="87"/>
    <w:bookmarkStart w:id="89" w:name="ref-wolf_animal_2012"/>
    <w:p>
      <w:pPr>
        <w:pStyle w:val="Bibliography"/>
      </w:pPr>
      <w:r>
        <w:t xml:space="preserve">Wolf, Max, and Franz J. Weissing. 2012. “Animal Personalities: Consequences for Ecology and Evolution.”</w:t>
      </w:r>
      <w:r>
        <w:t xml:space="preserve"> </w:t>
      </w:r>
      <w:r>
        <w:rPr>
          <w:i/>
        </w:rPr>
        <w:t xml:space="preserve">Trends in Ecology &amp; Evolution</w:t>
      </w:r>
      <w:r>
        <w:t xml:space="preserve"> </w:t>
      </w:r>
      <w:r>
        <w:t xml:space="preserve">27 (8): 452–61.</w:t>
      </w:r>
      <w:r>
        <w:t xml:space="preserve"> </w:t>
      </w:r>
      <w:hyperlink r:id="rId88">
        <w:r>
          <w:rPr>
            <w:rStyle w:val="Hyperlink"/>
          </w:rPr>
          <w:t xml:space="preserve">https://doi.org/10.1016/j.tree.2012.05.001</w:t>
        </w:r>
      </w:hyperlink>
      <w:r>
        <w:t xml:space="preserve">.</w:t>
      </w:r>
    </w:p>
    <w:bookmarkEnd w:id="89"/>
    <w:bookmarkStart w:id="91" w:name="ref-zwolak_how_2018"/>
    <w:p>
      <w:pPr>
        <w:pStyle w:val="Bibliography"/>
      </w:pPr>
      <w:r>
        <w:t xml:space="preserve">Zwolak, Rafał. 2018. “How Intraspecific Variation in Seed-Dispersing Animals Matters for Plants.”</w:t>
      </w:r>
      <w:r>
        <w:t xml:space="preserve"> </w:t>
      </w:r>
      <w:r>
        <w:rPr>
          <w:i/>
        </w:rPr>
        <w:t xml:space="preserve">Biological Reviews</w:t>
      </w:r>
      <w:r>
        <w:t xml:space="preserve"> </w:t>
      </w:r>
      <w:r>
        <w:t xml:space="preserve">93 (2): 897–913.</w:t>
      </w:r>
      <w:r>
        <w:t xml:space="preserve"> </w:t>
      </w:r>
      <w:hyperlink r:id="rId90">
        <w:r>
          <w:rPr>
            <w:rStyle w:val="Hyperlink"/>
          </w:rPr>
          <w:t xml:space="preserve">https://doi.org/10.1111/brv.12377</w:t>
        </w:r>
      </w:hyperlink>
      <w:r>
        <w:t xml:space="preserve">.</w:t>
      </w:r>
    </w:p>
    <w:bookmarkEnd w:id="91"/>
    <w:bookmarkEnd w:id="92"/>
    <w:sectPr w:rsidR="00452054">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E0F81F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2686"/>
    <w:pPr>
      <w:spacing w:line="480" w:lineRule="auto"/>
    </w:pPr>
  </w:style>
  <w:style w:type="paragraph" w:styleId="Heading1">
    <w:name w:val="heading 1"/>
    <w:basedOn w:val="Normal"/>
    <w:next w:val="Normal"/>
    <w:link w:val="Heading1Char"/>
    <w:uiPriority w:val="9"/>
    <w:qFormat/>
    <w:rsid w:val="00B13AAA"/>
    <w:pPr>
      <w:keepNext/>
      <w:keepLines/>
      <w:spacing w:before="400" w:after="40" w:line="240" w:lineRule="auto"/>
      <w:outlineLvl w:val="0"/>
    </w:pPr>
    <w:rPr>
      <w:rFonts w:asciiTheme="majorHAnsi" w:eastAsiaTheme="majorEastAsia" w:hAnsiTheme="majorHAnsi" w:cstheme="majorBidi"/>
      <w:caps/>
      <w:sz w:val="28"/>
      <w:szCs w:val="36"/>
    </w:rPr>
  </w:style>
  <w:style w:type="paragraph" w:styleId="Heading2">
    <w:name w:val="heading 2"/>
    <w:basedOn w:val="Normal"/>
    <w:next w:val="Normal"/>
    <w:link w:val="Heading2Char"/>
    <w:uiPriority w:val="9"/>
    <w:unhideWhenUsed/>
    <w:qFormat/>
    <w:rsid w:val="00B13AAA"/>
    <w:pPr>
      <w:keepNext/>
      <w:keepLines/>
      <w:spacing w:before="120" w:after="0" w:line="240" w:lineRule="auto"/>
      <w:outlineLvl w:val="1"/>
    </w:pPr>
    <w:rPr>
      <w:rFonts w:asciiTheme="majorHAnsi" w:eastAsiaTheme="majorEastAsia" w:hAnsiTheme="majorHAnsi" w:cstheme="majorBidi"/>
      <w:caps/>
      <w:sz w:val="24"/>
      <w:szCs w:val="28"/>
    </w:rPr>
  </w:style>
  <w:style w:type="paragraph" w:styleId="Heading3">
    <w:name w:val="heading 3"/>
    <w:basedOn w:val="Normal"/>
    <w:next w:val="Normal"/>
    <w:link w:val="Heading3Char"/>
    <w:uiPriority w:val="9"/>
    <w:unhideWhenUsed/>
    <w:qFormat/>
    <w:rsid w:val="00AA6EF0"/>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AA6EF0"/>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AA6EF0"/>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rsid w:val="00AA6EF0"/>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unhideWhenUsed/>
    <w:qFormat/>
    <w:rsid w:val="00AA6EF0"/>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unhideWhenUsed/>
    <w:qFormat/>
    <w:rsid w:val="00AA6EF0"/>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unhideWhenUsed/>
    <w:qFormat/>
    <w:rsid w:val="00AA6EF0"/>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B13AAA"/>
    <w:pPr>
      <w:spacing w:after="0" w:line="240" w:lineRule="auto"/>
      <w:contextualSpacing/>
    </w:pPr>
    <w:rPr>
      <w:rFonts w:asciiTheme="majorHAnsi" w:eastAsiaTheme="majorEastAsia" w:hAnsiTheme="majorHAnsi" w:cstheme="majorBidi"/>
      <w:caps/>
      <w:color w:val="404040" w:themeColor="text1" w:themeTint="BF"/>
      <w:spacing w:val="-10"/>
      <w:sz w:val="32"/>
      <w:szCs w:val="72"/>
    </w:rPr>
  </w:style>
  <w:style w:type="paragraph" w:styleId="Subtitle">
    <w:name w:val="Subtitle"/>
    <w:basedOn w:val="Normal"/>
    <w:next w:val="Normal"/>
    <w:link w:val="SubtitleChar"/>
    <w:uiPriority w:val="11"/>
    <w:qFormat/>
    <w:rsid w:val="00AA6EF0"/>
    <w:pPr>
      <w:numPr>
        <w:ilvl w:val="1"/>
      </w:numPr>
    </w:pPr>
    <w:rPr>
      <w:rFonts w:asciiTheme="majorHAnsi" w:eastAsiaTheme="majorEastAsia" w:hAnsiTheme="majorHAnsi" w:cstheme="majorBidi"/>
      <w:smallCaps/>
      <w:color w:val="595959" w:themeColor="text1" w:themeTint="A6"/>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AA6EF0"/>
    <w:pPr>
      <w:spacing w:line="240" w:lineRule="auto"/>
    </w:pPr>
    <w:rPr>
      <w:b/>
      <w:bCs/>
      <w:smallCaps/>
      <w:color w:val="595959" w:themeColor="text1" w:themeTint="A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mallCaps/>
      <w:color w:val="595959" w:themeColor="text1" w:themeTint="A6"/>
    </w:rPr>
  </w:style>
  <w:style w:type="character" w:customStyle="1" w:styleId="VerbatimChar">
    <w:name w:val="Verbatim Char"/>
    <w:basedOn w:val="CaptionChar"/>
    <w:link w:val="SourceCode"/>
    <w:rPr>
      <w:rFonts w:ascii="Consolas" w:hAnsi="Consolas"/>
      <w:b/>
      <w:bCs/>
      <w:smallCaps/>
      <w:color w:val="595959" w:themeColor="text1" w:themeTint="A6"/>
      <w:sz w:val="22"/>
    </w:rPr>
  </w:style>
  <w:style w:type="character" w:styleId="FootnoteReference">
    <w:name w:val="footnote reference"/>
    <w:basedOn w:val="CaptionChar"/>
    <w:rPr>
      <w:b/>
      <w:bCs/>
      <w:smallCaps/>
      <w:color w:val="595959" w:themeColor="text1" w:themeTint="A6"/>
      <w:vertAlign w:val="superscript"/>
    </w:rPr>
  </w:style>
  <w:style w:type="character" w:styleId="Hyperlink">
    <w:name w:val="Hyperlink"/>
    <w:basedOn w:val="CaptionChar"/>
    <w:rPr>
      <w:b/>
      <w:bCs/>
      <w:smallCaps/>
      <w:color w:val="4F81BD" w:themeColor="accent1"/>
    </w:rPr>
  </w:style>
  <w:style w:type="paragraph" w:styleId="TOCHeading">
    <w:name w:val="TOC Heading"/>
    <w:basedOn w:val="Heading1"/>
    <w:next w:val="Normal"/>
    <w:uiPriority w:val="39"/>
    <w:unhideWhenUsed/>
    <w:qFormat/>
    <w:rsid w:val="00AA6EF0"/>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smallCaps/>
      <w:color w:val="204A87"/>
      <w:sz w:val="22"/>
      <w:shd w:val="clear" w:color="auto" w:fill="F8F8F8"/>
    </w:rPr>
  </w:style>
  <w:style w:type="character" w:customStyle="1" w:styleId="DataTypeTok">
    <w:name w:val="DataTypeTok"/>
    <w:basedOn w:val="VerbatimChar"/>
    <w:rPr>
      <w:rFonts w:ascii="Consolas" w:hAnsi="Consolas"/>
      <w:b/>
      <w:bCs/>
      <w:smallCaps/>
      <w:color w:val="204A87"/>
      <w:sz w:val="22"/>
      <w:shd w:val="clear" w:color="auto" w:fill="F8F8F8"/>
    </w:rPr>
  </w:style>
  <w:style w:type="character" w:customStyle="1" w:styleId="DecValTok">
    <w:name w:val="DecValTok"/>
    <w:basedOn w:val="VerbatimChar"/>
    <w:rPr>
      <w:rFonts w:ascii="Consolas" w:hAnsi="Consolas"/>
      <w:b/>
      <w:bCs/>
      <w:smallCaps/>
      <w:color w:val="0000CF"/>
      <w:sz w:val="22"/>
      <w:shd w:val="clear" w:color="auto" w:fill="F8F8F8"/>
    </w:rPr>
  </w:style>
  <w:style w:type="character" w:customStyle="1" w:styleId="BaseNTok">
    <w:name w:val="BaseNTok"/>
    <w:basedOn w:val="VerbatimChar"/>
    <w:rPr>
      <w:rFonts w:ascii="Consolas" w:hAnsi="Consolas"/>
      <w:b/>
      <w:bCs/>
      <w:smallCaps/>
      <w:color w:val="0000CF"/>
      <w:sz w:val="22"/>
      <w:shd w:val="clear" w:color="auto" w:fill="F8F8F8"/>
    </w:rPr>
  </w:style>
  <w:style w:type="character" w:customStyle="1" w:styleId="FloatTok">
    <w:name w:val="FloatTok"/>
    <w:basedOn w:val="VerbatimChar"/>
    <w:rPr>
      <w:rFonts w:ascii="Consolas" w:hAnsi="Consolas"/>
      <w:b/>
      <w:bCs/>
      <w:smallCaps/>
      <w:color w:val="0000CF"/>
      <w:sz w:val="22"/>
      <w:shd w:val="clear" w:color="auto" w:fill="F8F8F8"/>
    </w:rPr>
  </w:style>
  <w:style w:type="character" w:customStyle="1" w:styleId="ConstantTok">
    <w:name w:val="ConstantTok"/>
    <w:basedOn w:val="VerbatimChar"/>
    <w:rPr>
      <w:rFonts w:ascii="Consolas" w:hAnsi="Consolas"/>
      <w:b/>
      <w:bCs/>
      <w:smallCaps/>
      <w:color w:val="000000"/>
      <w:sz w:val="22"/>
      <w:shd w:val="clear" w:color="auto" w:fill="F8F8F8"/>
    </w:rPr>
  </w:style>
  <w:style w:type="character" w:customStyle="1" w:styleId="CharTok">
    <w:name w:val="CharTok"/>
    <w:basedOn w:val="VerbatimChar"/>
    <w:rPr>
      <w:rFonts w:ascii="Consolas" w:hAnsi="Consolas"/>
      <w:b/>
      <w:bCs/>
      <w:smallCaps/>
      <w:color w:val="4E9A06"/>
      <w:sz w:val="22"/>
      <w:shd w:val="clear" w:color="auto" w:fill="F8F8F8"/>
    </w:rPr>
  </w:style>
  <w:style w:type="character" w:customStyle="1" w:styleId="SpecialCharTok">
    <w:name w:val="SpecialCharTok"/>
    <w:basedOn w:val="VerbatimChar"/>
    <w:rPr>
      <w:rFonts w:ascii="Consolas" w:hAnsi="Consolas"/>
      <w:b/>
      <w:bCs/>
      <w:smallCaps/>
      <w:color w:val="000000"/>
      <w:sz w:val="22"/>
      <w:shd w:val="clear" w:color="auto" w:fill="F8F8F8"/>
    </w:rPr>
  </w:style>
  <w:style w:type="character" w:customStyle="1" w:styleId="StringTok">
    <w:name w:val="StringTok"/>
    <w:basedOn w:val="VerbatimChar"/>
    <w:rPr>
      <w:rFonts w:ascii="Consolas" w:hAnsi="Consolas"/>
      <w:b/>
      <w:bCs/>
      <w:smallCaps/>
      <w:color w:val="4E9A06"/>
      <w:sz w:val="22"/>
      <w:shd w:val="clear" w:color="auto" w:fill="F8F8F8"/>
    </w:rPr>
  </w:style>
  <w:style w:type="character" w:customStyle="1" w:styleId="VerbatimStringTok">
    <w:name w:val="VerbatimStringTok"/>
    <w:basedOn w:val="VerbatimChar"/>
    <w:rPr>
      <w:rFonts w:ascii="Consolas" w:hAnsi="Consolas"/>
      <w:b/>
      <w:bCs/>
      <w:smallCaps/>
      <w:color w:val="4E9A06"/>
      <w:sz w:val="22"/>
      <w:shd w:val="clear" w:color="auto" w:fill="F8F8F8"/>
    </w:rPr>
  </w:style>
  <w:style w:type="character" w:customStyle="1" w:styleId="SpecialStringTok">
    <w:name w:val="SpecialStringTok"/>
    <w:basedOn w:val="VerbatimChar"/>
    <w:rPr>
      <w:rFonts w:ascii="Consolas" w:hAnsi="Consolas"/>
      <w:b/>
      <w:bCs/>
      <w:smallCaps/>
      <w:color w:val="4E9A06"/>
      <w:sz w:val="22"/>
      <w:shd w:val="clear" w:color="auto" w:fill="F8F8F8"/>
    </w:rPr>
  </w:style>
  <w:style w:type="character" w:customStyle="1" w:styleId="ImportTok">
    <w:name w:val="ImportTok"/>
    <w:basedOn w:val="VerbatimChar"/>
    <w:rPr>
      <w:rFonts w:ascii="Consolas" w:hAnsi="Consolas"/>
      <w:b/>
      <w:bCs/>
      <w:smallCaps/>
      <w:color w:val="595959" w:themeColor="text1" w:themeTint="A6"/>
      <w:sz w:val="22"/>
      <w:shd w:val="clear" w:color="auto" w:fill="F8F8F8"/>
    </w:rPr>
  </w:style>
  <w:style w:type="character" w:customStyle="1" w:styleId="CommentTok">
    <w:name w:val="CommentTok"/>
    <w:basedOn w:val="VerbatimChar"/>
    <w:rPr>
      <w:rFonts w:ascii="Consolas" w:hAnsi="Consolas"/>
      <w:b/>
      <w:bCs/>
      <w:i/>
      <w:smallCaps/>
      <w:color w:val="8F5902"/>
      <w:sz w:val="22"/>
      <w:shd w:val="clear" w:color="auto" w:fill="F8F8F8"/>
    </w:rPr>
  </w:style>
  <w:style w:type="character" w:customStyle="1" w:styleId="DocumentationTok">
    <w:name w:val="DocumentationTok"/>
    <w:basedOn w:val="VerbatimChar"/>
    <w:rPr>
      <w:rFonts w:ascii="Consolas" w:hAnsi="Consolas"/>
      <w:b w:val="0"/>
      <w:bCs/>
      <w:i/>
      <w:smallCaps/>
      <w:color w:val="8F5902"/>
      <w:sz w:val="22"/>
      <w:shd w:val="clear" w:color="auto" w:fill="F8F8F8"/>
    </w:rPr>
  </w:style>
  <w:style w:type="character" w:customStyle="1" w:styleId="AnnotationTok">
    <w:name w:val="AnnotationTok"/>
    <w:basedOn w:val="VerbatimChar"/>
    <w:rPr>
      <w:rFonts w:ascii="Consolas" w:hAnsi="Consolas"/>
      <w:b w:val="0"/>
      <w:bCs/>
      <w:i/>
      <w:smallCaps/>
      <w:color w:val="8F5902"/>
      <w:sz w:val="22"/>
      <w:shd w:val="clear" w:color="auto" w:fill="F8F8F8"/>
    </w:rPr>
  </w:style>
  <w:style w:type="character" w:customStyle="1" w:styleId="CommentVarTok">
    <w:name w:val="CommentVarTok"/>
    <w:basedOn w:val="VerbatimChar"/>
    <w:rPr>
      <w:rFonts w:ascii="Consolas" w:hAnsi="Consolas"/>
      <w:b w:val="0"/>
      <w:bCs/>
      <w:i/>
      <w:smallCaps/>
      <w:color w:val="8F5902"/>
      <w:sz w:val="22"/>
      <w:shd w:val="clear" w:color="auto" w:fill="F8F8F8"/>
    </w:rPr>
  </w:style>
  <w:style w:type="character" w:customStyle="1" w:styleId="OtherTok">
    <w:name w:val="OtherTok"/>
    <w:basedOn w:val="VerbatimChar"/>
    <w:rPr>
      <w:rFonts w:ascii="Consolas" w:hAnsi="Consolas"/>
      <w:b/>
      <w:bCs/>
      <w:smallCaps/>
      <w:color w:val="8F5902"/>
      <w:sz w:val="22"/>
      <w:shd w:val="clear" w:color="auto" w:fill="F8F8F8"/>
    </w:rPr>
  </w:style>
  <w:style w:type="character" w:customStyle="1" w:styleId="FunctionTok">
    <w:name w:val="FunctionTok"/>
    <w:basedOn w:val="VerbatimChar"/>
    <w:rPr>
      <w:rFonts w:ascii="Consolas" w:hAnsi="Consolas"/>
      <w:b/>
      <w:bCs/>
      <w:smallCaps/>
      <w:color w:val="000000"/>
      <w:sz w:val="22"/>
      <w:shd w:val="clear" w:color="auto" w:fill="F8F8F8"/>
    </w:rPr>
  </w:style>
  <w:style w:type="character" w:customStyle="1" w:styleId="VariableTok">
    <w:name w:val="VariableTok"/>
    <w:basedOn w:val="VerbatimChar"/>
    <w:rPr>
      <w:rFonts w:ascii="Consolas" w:hAnsi="Consolas"/>
      <w:b/>
      <w:bCs/>
      <w:smallCaps/>
      <w:color w:val="000000"/>
      <w:sz w:val="22"/>
      <w:shd w:val="clear" w:color="auto" w:fill="F8F8F8"/>
    </w:rPr>
  </w:style>
  <w:style w:type="character" w:customStyle="1" w:styleId="ControlFlowTok">
    <w:name w:val="ControlFlowTok"/>
    <w:basedOn w:val="VerbatimChar"/>
    <w:rPr>
      <w:rFonts w:ascii="Consolas" w:hAnsi="Consolas"/>
      <w:b w:val="0"/>
      <w:bCs/>
      <w:smallCaps/>
      <w:color w:val="204A87"/>
      <w:sz w:val="22"/>
      <w:shd w:val="clear" w:color="auto" w:fill="F8F8F8"/>
    </w:rPr>
  </w:style>
  <w:style w:type="character" w:customStyle="1" w:styleId="OperatorTok">
    <w:name w:val="OperatorTok"/>
    <w:basedOn w:val="VerbatimChar"/>
    <w:rPr>
      <w:rFonts w:ascii="Consolas" w:hAnsi="Consolas"/>
      <w:b w:val="0"/>
      <w:bCs/>
      <w:smallCaps/>
      <w:color w:val="CE5C00"/>
      <w:sz w:val="22"/>
      <w:shd w:val="clear" w:color="auto" w:fill="F8F8F8"/>
    </w:rPr>
  </w:style>
  <w:style w:type="character" w:customStyle="1" w:styleId="BuiltInTok">
    <w:name w:val="BuiltInTok"/>
    <w:basedOn w:val="VerbatimChar"/>
    <w:rPr>
      <w:rFonts w:ascii="Consolas" w:hAnsi="Consolas"/>
      <w:b/>
      <w:bCs/>
      <w:smallCaps/>
      <w:color w:val="595959" w:themeColor="text1" w:themeTint="A6"/>
      <w:sz w:val="22"/>
      <w:shd w:val="clear" w:color="auto" w:fill="F8F8F8"/>
    </w:rPr>
  </w:style>
  <w:style w:type="character" w:customStyle="1" w:styleId="ExtensionTok">
    <w:name w:val="ExtensionTok"/>
    <w:basedOn w:val="VerbatimChar"/>
    <w:rPr>
      <w:rFonts w:ascii="Consolas" w:hAnsi="Consolas"/>
      <w:b/>
      <w:bCs/>
      <w:smallCaps/>
      <w:color w:val="595959" w:themeColor="text1" w:themeTint="A6"/>
      <w:sz w:val="22"/>
      <w:shd w:val="clear" w:color="auto" w:fill="F8F8F8"/>
    </w:rPr>
  </w:style>
  <w:style w:type="character" w:customStyle="1" w:styleId="PreprocessorTok">
    <w:name w:val="PreprocessorTok"/>
    <w:basedOn w:val="VerbatimChar"/>
    <w:rPr>
      <w:rFonts w:ascii="Consolas" w:hAnsi="Consolas"/>
      <w:b/>
      <w:bCs/>
      <w:i/>
      <w:smallCaps/>
      <w:color w:val="8F5902"/>
      <w:sz w:val="22"/>
      <w:shd w:val="clear" w:color="auto" w:fill="F8F8F8"/>
    </w:rPr>
  </w:style>
  <w:style w:type="character" w:customStyle="1" w:styleId="AttributeTok">
    <w:name w:val="AttributeTok"/>
    <w:basedOn w:val="VerbatimChar"/>
    <w:rPr>
      <w:rFonts w:ascii="Consolas" w:hAnsi="Consolas"/>
      <w:b/>
      <w:bCs/>
      <w:smallCaps/>
      <w:color w:val="C4A000"/>
      <w:sz w:val="22"/>
      <w:shd w:val="clear" w:color="auto" w:fill="F8F8F8"/>
    </w:rPr>
  </w:style>
  <w:style w:type="character" w:customStyle="1" w:styleId="RegionMarkerTok">
    <w:name w:val="RegionMarkerTok"/>
    <w:basedOn w:val="VerbatimChar"/>
    <w:rPr>
      <w:rFonts w:ascii="Consolas" w:hAnsi="Consolas"/>
      <w:b/>
      <w:bCs/>
      <w:smallCaps/>
      <w:color w:val="595959" w:themeColor="text1" w:themeTint="A6"/>
      <w:sz w:val="22"/>
      <w:shd w:val="clear" w:color="auto" w:fill="F8F8F8"/>
    </w:rPr>
  </w:style>
  <w:style w:type="character" w:customStyle="1" w:styleId="InformationTok">
    <w:name w:val="InformationTok"/>
    <w:basedOn w:val="VerbatimChar"/>
    <w:rPr>
      <w:rFonts w:ascii="Consolas" w:hAnsi="Consolas"/>
      <w:b w:val="0"/>
      <w:bCs/>
      <w:i/>
      <w:smallCaps/>
      <w:color w:val="8F5902"/>
      <w:sz w:val="22"/>
      <w:shd w:val="clear" w:color="auto" w:fill="F8F8F8"/>
    </w:rPr>
  </w:style>
  <w:style w:type="character" w:customStyle="1" w:styleId="WarningTok">
    <w:name w:val="WarningTok"/>
    <w:basedOn w:val="VerbatimChar"/>
    <w:rPr>
      <w:rFonts w:ascii="Consolas" w:hAnsi="Consolas"/>
      <w:b w:val="0"/>
      <w:bCs/>
      <w:i/>
      <w:smallCaps/>
      <w:color w:val="8F5902"/>
      <w:sz w:val="22"/>
      <w:shd w:val="clear" w:color="auto" w:fill="F8F8F8"/>
    </w:rPr>
  </w:style>
  <w:style w:type="character" w:customStyle="1" w:styleId="AlertTok">
    <w:name w:val="AlertTok"/>
    <w:basedOn w:val="VerbatimChar"/>
    <w:rPr>
      <w:rFonts w:ascii="Consolas" w:hAnsi="Consolas"/>
      <w:b/>
      <w:bCs/>
      <w:smallCaps/>
      <w:color w:val="EF2929"/>
      <w:sz w:val="22"/>
      <w:shd w:val="clear" w:color="auto" w:fill="F8F8F8"/>
    </w:rPr>
  </w:style>
  <w:style w:type="character" w:customStyle="1" w:styleId="ErrorTok">
    <w:name w:val="ErrorTok"/>
    <w:basedOn w:val="VerbatimChar"/>
    <w:rPr>
      <w:rFonts w:ascii="Consolas" w:hAnsi="Consolas"/>
      <w:b w:val="0"/>
      <w:bCs/>
      <w:smallCaps/>
      <w:color w:val="A40000"/>
      <w:sz w:val="22"/>
      <w:shd w:val="clear" w:color="auto" w:fill="F8F8F8"/>
    </w:rPr>
  </w:style>
  <w:style w:type="character" w:customStyle="1" w:styleId="NormalTok">
    <w:name w:val="NormalTok"/>
    <w:basedOn w:val="VerbatimChar"/>
    <w:rPr>
      <w:rFonts w:ascii="Consolas" w:hAnsi="Consolas"/>
      <w:b/>
      <w:bCs/>
      <w:smallCaps/>
      <w:color w:val="595959" w:themeColor="text1" w:themeTint="A6"/>
      <w:sz w:val="22"/>
      <w:shd w:val="clear" w:color="auto" w:fill="F8F8F8"/>
    </w:rPr>
  </w:style>
  <w:style w:type="character" w:customStyle="1" w:styleId="Heading1Char">
    <w:name w:val="Heading 1 Char"/>
    <w:basedOn w:val="DefaultParagraphFont"/>
    <w:link w:val="Heading1"/>
    <w:uiPriority w:val="9"/>
    <w:rsid w:val="00B13AAA"/>
    <w:rPr>
      <w:rFonts w:asciiTheme="majorHAnsi" w:eastAsiaTheme="majorEastAsia" w:hAnsiTheme="majorHAnsi" w:cstheme="majorBidi"/>
      <w:caps/>
      <w:sz w:val="28"/>
      <w:szCs w:val="36"/>
    </w:rPr>
  </w:style>
  <w:style w:type="character" w:customStyle="1" w:styleId="Heading2Char">
    <w:name w:val="Heading 2 Char"/>
    <w:basedOn w:val="DefaultParagraphFont"/>
    <w:link w:val="Heading2"/>
    <w:uiPriority w:val="9"/>
    <w:rsid w:val="00B13AAA"/>
    <w:rPr>
      <w:rFonts w:asciiTheme="majorHAnsi" w:eastAsiaTheme="majorEastAsia" w:hAnsiTheme="majorHAnsi" w:cstheme="majorBidi"/>
      <w:caps/>
      <w:sz w:val="24"/>
      <w:szCs w:val="28"/>
    </w:rPr>
  </w:style>
  <w:style w:type="character" w:customStyle="1" w:styleId="Heading3Char">
    <w:name w:val="Heading 3 Char"/>
    <w:basedOn w:val="DefaultParagraphFont"/>
    <w:link w:val="Heading3"/>
    <w:uiPriority w:val="9"/>
    <w:rsid w:val="00AA6EF0"/>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AA6EF0"/>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AA6EF0"/>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AA6EF0"/>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rsid w:val="00AA6EF0"/>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rsid w:val="00AA6EF0"/>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rsid w:val="00AA6EF0"/>
    <w:rPr>
      <w:rFonts w:asciiTheme="majorHAnsi" w:eastAsiaTheme="majorEastAsia" w:hAnsiTheme="majorHAnsi" w:cstheme="majorBidi"/>
      <w:b/>
      <w:bCs/>
      <w:i/>
      <w:iCs/>
      <w:caps/>
      <w:color w:val="7F7F7F" w:themeColor="text1" w:themeTint="80"/>
      <w:sz w:val="20"/>
      <w:szCs w:val="20"/>
    </w:rPr>
  </w:style>
  <w:style w:type="character" w:customStyle="1" w:styleId="TitleChar">
    <w:name w:val="Title Char"/>
    <w:basedOn w:val="DefaultParagraphFont"/>
    <w:link w:val="Title"/>
    <w:uiPriority w:val="10"/>
    <w:rsid w:val="00B13AAA"/>
    <w:rPr>
      <w:rFonts w:asciiTheme="majorHAnsi" w:eastAsiaTheme="majorEastAsia" w:hAnsiTheme="majorHAnsi" w:cstheme="majorBidi"/>
      <w:caps/>
      <w:color w:val="404040" w:themeColor="text1" w:themeTint="BF"/>
      <w:spacing w:val="-10"/>
      <w:sz w:val="32"/>
      <w:szCs w:val="72"/>
    </w:rPr>
  </w:style>
  <w:style w:type="character" w:customStyle="1" w:styleId="SubtitleChar">
    <w:name w:val="Subtitle Char"/>
    <w:basedOn w:val="DefaultParagraphFont"/>
    <w:link w:val="Subtitle"/>
    <w:uiPriority w:val="11"/>
    <w:rsid w:val="00AA6EF0"/>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AA6EF0"/>
    <w:rPr>
      <w:b/>
      <w:bCs/>
    </w:rPr>
  </w:style>
  <w:style w:type="character" w:styleId="Emphasis">
    <w:name w:val="Emphasis"/>
    <w:basedOn w:val="DefaultParagraphFont"/>
    <w:uiPriority w:val="20"/>
    <w:qFormat/>
    <w:rsid w:val="00AA6EF0"/>
    <w:rPr>
      <w:i/>
      <w:iCs/>
    </w:rPr>
  </w:style>
  <w:style w:type="paragraph" w:styleId="NoSpacing">
    <w:name w:val="No Spacing"/>
    <w:uiPriority w:val="1"/>
    <w:qFormat/>
    <w:rsid w:val="00AA6EF0"/>
    <w:pPr>
      <w:spacing w:after="0" w:line="240" w:lineRule="auto"/>
    </w:pPr>
  </w:style>
  <w:style w:type="paragraph" w:styleId="ListParagraph">
    <w:name w:val="List Paragraph"/>
    <w:basedOn w:val="Normal"/>
    <w:uiPriority w:val="34"/>
    <w:qFormat/>
    <w:rsid w:val="002A0E55"/>
    <w:pPr>
      <w:ind w:left="720"/>
      <w:contextualSpacing/>
    </w:pPr>
  </w:style>
  <w:style w:type="paragraph" w:styleId="Quote">
    <w:name w:val="Quote"/>
    <w:basedOn w:val="Normal"/>
    <w:next w:val="Normal"/>
    <w:link w:val="QuoteChar"/>
    <w:uiPriority w:val="29"/>
    <w:qFormat/>
    <w:rsid w:val="00AA6EF0"/>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AA6EF0"/>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AA6EF0"/>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AA6EF0"/>
    <w:rPr>
      <w:color w:val="404040" w:themeColor="text1" w:themeTint="BF"/>
      <w:sz w:val="32"/>
      <w:szCs w:val="32"/>
    </w:rPr>
  </w:style>
  <w:style w:type="character" w:styleId="SubtleEmphasis">
    <w:name w:val="Subtle Emphasis"/>
    <w:basedOn w:val="DefaultParagraphFont"/>
    <w:uiPriority w:val="19"/>
    <w:qFormat/>
    <w:rsid w:val="00AA6EF0"/>
    <w:rPr>
      <w:i/>
      <w:iCs/>
      <w:color w:val="595959" w:themeColor="text1" w:themeTint="A6"/>
    </w:rPr>
  </w:style>
  <w:style w:type="character" w:styleId="IntenseEmphasis">
    <w:name w:val="Intense Emphasis"/>
    <w:basedOn w:val="DefaultParagraphFont"/>
    <w:uiPriority w:val="21"/>
    <w:qFormat/>
    <w:rsid w:val="00AA6EF0"/>
    <w:rPr>
      <w:b/>
      <w:bCs/>
      <w:i/>
      <w:iCs/>
    </w:rPr>
  </w:style>
  <w:style w:type="character" w:styleId="SubtleReference">
    <w:name w:val="Subtle Reference"/>
    <w:basedOn w:val="DefaultParagraphFont"/>
    <w:uiPriority w:val="31"/>
    <w:qFormat/>
    <w:rsid w:val="00AA6EF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A6EF0"/>
    <w:rPr>
      <w:b/>
      <w:bCs/>
      <w:caps w:val="0"/>
      <w:smallCaps/>
      <w:color w:val="auto"/>
      <w:spacing w:val="3"/>
      <w:u w:val="single"/>
    </w:rPr>
  </w:style>
  <w:style w:type="character" w:styleId="BookTitle">
    <w:name w:val="Book Title"/>
    <w:basedOn w:val="DefaultParagraphFont"/>
    <w:uiPriority w:val="33"/>
    <w:qFormat/>
    <w:rsid w:val="00AA6EF0"/>
    <w:rPr>
      <w:b/>
      <w:bCs/>
      <w:smallCaps/>
      <w:spacing w:val="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68" Target="https://doi.org/10.1002/ece3.3113" TargetMode="External" /><Relationship Type="http://schemas.openxmlformats.org/officeDocument/2006/relationships/hyperlink" Id="rId77" Target="https://doi.org/10.1016/S0169-5347(00)01874-7" TargetMode="External" /><Relationship Type="http://schemas.openxmlformats.org/officeDocument/2006/relationships/hyperlink" Id="rId42" Target="https://doi.org/10.1016/j.tree.2011.01.009" TargetMode="External" /><Relationship Type="http://schemas.openxmlformats.org/officeDocument/2006/relationships/hyperlink" Id="rId86" Target="https://doi.org/10.1016/j.tree.2011.11.014" TargetMode="External" /><Relationship Type="http://schemas.openxmlformats.org/officeDocument/2006/relationships/hyperlink" Id="rId88" Target="https://doi.org/10.1016/j.tree.2012.05.001" TargetMode="External" /><Relationship Type="http://schemas.openxmlformats.org/officeDocument/2006/relationships/hyperlink" Id="rId55" Target="https://doi.org/10.1016/j.tree.2016.06.009" TargetMode="External" /><Relationship Type="http://schemas.openxmlformats.org/officeDocument/2006/relationships/hyperlink" Id="rId46" Target="https://doi.org/10.1086/343878" TargetMode="External" /><Relationship Type="http://schemas.openxmlformats.org/officeDocument/2006/relationships/hyperlink" Id="rId44" Target="https://doi.org/10.1098/rspb.2010.0018" TargetMode="External" /><Relationship Type="http://schemas.openxmlformats.org/officeDocument/2006/relationships/hyperlink" Id="rId90" Target="https://doi.org/10.1111/brv.12377" TargetMode="External" /><Relationship Type="http://schemas.openxmlformats.org/officeDocument/2006/relationships/hyperlink" Id="rId53" Target="https://doi.org/10.1111/ecog.01357" TargetMode="External" /><Relationship Type="http://schemas.openxmlformats.org/officeDocument/2006/relationships/hyperlink" Id="rId38" Target="https://doi.org/10.1111/j.1461-0248.2011.01662.x" TargetMode="External" /><Relationship Type="http://schemas.openxmlformats.org/officeDocument/2006/relationships/hyperlink" Id="rId50" Target="https://doi.org/10.1111/j.1469-185X.2012.00250.x" TargetMode="External" /><Relationship Type="http://schemas.openxmlformats.org/officeDocument/2006/relationships/hyperlink" Id="rId84" Target="https://doi.org/10.1111/j.1469-8137.2010.03402.x" TargetMode="External" /><Relationship Type="http://schemas.openxmlformats.org/officeDocument/2006/relationships/hyperlink" Id="rId57" Target="https://doi.org/10.1111/j.1744-7429.2010.00710.x" TargetMode="External" /><Relationship Type="http://schemas.openxmlformats.org/officeDocument/2006/relationships/hyperlink" Id="rId71" Target="https://doi.org/10.1126/science.1111479" TargetMode="External" /><Relationship Type="http://schemas.openxmlformats.org/officeDocument/2006/relationships/hyperlink" Id="rId74" Target="https://doi.org/10.1890/0012-9658(2006)87%5B1489:TEOPDA%5D2.0.CO;2" TargetMode="External" /><Relationship Type="http://schemas.openxmlformats.org/officeDocument/2006/relationships/hyperlink" Id="rId81" Target="https://doi.org/10.1890/0012-9658(2006)87%5B3160:IABISD%5D2.0.CO;2" TargetMode="External" /><Relationship Type="http://schemas.openxmlformats.org/officeDocument/2006/relationships/hyperlink" Id="rId40" Target="https://doi.org/10.1890/02-8011" TargetMode="External" /><Relationship Type="http://schemas.openxmlformats.org/officeDocument/2006/relationships/hyperlink" Id="rId79" Target="https://doi.org/10.1890/07-1216.1" TargetMode="External" /><Relationship Type="http://schemas.openxmlformats.org/officeDocument/2006/relationships/hyperlink" Id="rId61" Target="https://doi.org/10.1890/08-1332.1" TargetMode="External" /><Relationship Type="http://schemas.openxmlformats.org/officeDocument/2006/relationships/hyperlink" Id="rId66" Target="https://www.jstor.org/stable/3451006" TargetMode="External" /></Relationships>
</file>

<file path=word/_rels/footnotes.xml.rels><?xml version="1.0" encoding="UTF-8"?>
<Relationships xmlns="http://schemas.openxmlformats.org/package/2006/relationships"><Relationship Type="http://schemas.openxmlformats.org/officeDocument/2006/relationships/hyperlink" Id="rId68" Target="https://doi.org/10.1002/ece3.3113" TargetMode="External" /><Relationship Type="http://schemas.openxmlformats.org/officeDocument/2006/relationships/hyperlink" Id="rId77" Target="https://doi.org/10.1016/S0169-5347(00)01874-7" TargetMode="External" /><Relationship Type="http://schemas.openxmlformats.org/officeDocument/2006/relationships/hyperlink" Id="rId42" Target="https://doi.org/10.1016/j.tree.2011.01.009" TargetMode="External" /><Relationship Type="http://schemas.openxmlformats.org/officeDocument/2006/relationships/hyperlink" Id="rId86" Target="https://doi.org/10.1016/j.tree.2011.11.014" TargetMode="External" /><Relationship Type="http://schemas.openxmlformats.org/officeDocument/2006/relationships/hyperlink" Id="rId88" Target="https://doi.org/10.1016/j.tree.2012.05.001" TargetMode="External" /><Relationship Type="http://schemas.openxmlformats.org/officeDocument/2006/relationships/hyperlink" Id="rId55" Target="https://doi.org/10.1016/j.tree.2016.06.009" TargetMode="External" /><Relationship Type="http://schemas.openxmlformats.org/officeDocument/2006/relationships/hyperlink" Id="rId46" Target="https://doi.org/10.1086/343878" TargetMode="External" /><Relationship Type="http://schemas.openxmlformats.org/officeDocument/2006/relationships/hyperlink" Id="rId44" Target="https://doi.org/10.1098/rspb.2010.0018" TargetMode="External" /><Relationship Type="http://schemas.openxmlformats.org/officeDocument/2006/relationships/hyperlink" Id="rId90" Target="https://doi.org/10.1111/brv.12377" TargetMode="External" /><Relationship Type="http://schemas.openxmlformats.org/officeDocument/2006/relationships/hyperlink" Id="rId53" Target="https://doi.org/10.1111/ecog.01357" TargetMode="External" /><Relationship Type="http://schemas.openxmlformats.org/officeDocument/2006/relationships/hyperlink" Id="rId38" Target="https://doi.org/10.1111/j.1461-0248.2011.01662.x" TargetMode="External" /><Relationship Type="http://schemas.openxmlformats.org/officeDocument/2006/relationships/hyperlink" Id="rId50" Target="https://doi.org/10.1111/j.1469-185X.2012.00250.x" TargetMode="External" /><Relationship Type="http://schemas.openxmlformats.org/officeDocument/2006/relationships/hyperlink" Id="rId84" Target="https://doi.org/10.1111/j.1469-8137.2010.03402.x" TargetMode="External" /><Relationship Type="http://schemas.openxmlformats.org/officeDocument/2006/relationships/hyperlink" Id="rId57" Target="https://doi.org/10.1111/j.1744-7429.2010.00710.x" TargetMode="External" /><Relationship Type="http://schemas.openxmlformats.org/officeDocument/2006/relationships/hyperlink" Id="rId71" Target="https://doi.org/10.1126/science.1111479" TargetMode="External" /><Relationship Type="http://schemas.openxmlformats.org/officeDocument/2006/relationships/hyperlink" Id="rId74" Target="https://doi.org/10.1890/0012-9658(2006)87%5B1489:TEOPDA%5D2.0.CO;2" TargetMode="External" /><Relationship Type="http://schemas.openxmlformats.org/officeDocument/2006/relationships/hyperlink" Id="rId81" Target="https://doi.org/10.1890/0012-9658(2006)87%5B3160:IABISD%5D2.0.CO;2" TargetMode="External" /><Relationship Type="http://schemas.openxmlformats.org/officeDocument/2006/relationships/hyperlink" Id="rId40" Target="https://doi.org/10.1890/02-8011" TargetMode="External" /><Relationship Type="http://schemas.openxmlformats.org/officeDocument/2006/relationships/hyperlink" Id="rId79" Target="https://doi.org/10.1890/07-1216.1" TargetMode="External" /><Relationship Type="http://schemas.openxmlformats.org/officeDocument/2006/relationships/hyperlink" Id="rId61" Target="https://doi.org/10.1890/08-1332.1" TargetMode="External" /><Relationship Type="http://schemas.openxmlformats.org/officeDocument/2006/relationships/hyperlink" Id="rId66" Target="https://www.jstor.org/stable/345100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17</Pages>
  <Words>5121</Words>
  <Characters>29195</Characters>
  <Application>Microsoft Office Word</Application>
  <DocSecurity>0</DocSecurity>
  <Lines>243</Lines>
  <Paragraphs>68</Paragraphs>
  <ScaleCrop>false</ScaleCrop>
  <Company/>
  <LinksUpToDate>false</LinksUpToDate>
  <CharactersWithSpaces>34248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Variation in Animal Movement and Effects on Seed Dispersal Distance</dc:title>
  <dc:creator/>
  <cp:keywords/>
  <dcterms:created xsi:type="dcterms:W3CDTF">2021-01-08T19:45:03Z</dcterms:created>
  <dcterms:modified xsi:type="dcterms:W3CDTF">2021-01-08T19:45:03Z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 don’t like this abstract. Revisit at the end…Seed dispersal is a fundamental process in plant ecology and due to its high importance in the ecosystem, various modelling approaches have been developed to understand seed movement and dispersal mechanisms. In particular, long-distance seed dispersal (LDD) plays a significant role in determining a population’s genetic diversity and range expansion. Animal-mediated seed dispersal is a key component of LDD events, as frugivores can travel long distances and transport seeds with them. In this study we seek to understand the implications of individual variation in animal movement and how these can impact estimates of long distance seed dispersal. We apply these methods to empirical data sets that contain locations for an araçari, Pteroglossus pluricintus, one of the primary frugivores for the Amazonian canopy tree Virola flexuosa. We combine animal movement data and gut retention time to simulate Virola seed dispersal. This approach showed that there is significant variation in individual araçari movement patterns which directly influence the estimated number of long-distance dispersal events for Virola seeds. We found that models that ignore this underlying variation in individual animal movement, underestimate the percentage of long-distance seed dispersal events and maximum seed dispersal distances.</vt:lpwstr>
  </property>
  <property fmtid="{D5CDD505-2E9C-101B-9397-08002B2CF9AE}" pid="3" name="bibliography">
    <vt:lpwstr>mybibfile.bib</vt:lpwstr>
  </property>
  <property fmtid="{D5CDD505-2E9C-101B-9397-08002B2CF9AE}" pid="4" name="output">
    <vt:lpwstr/>
  </property>
</Properties>
</file>