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beyond</w:t>
      </w:r>
      <w:r>
        <w:t xml:space="preserve"> </w:t>
      </w:r>
      <w:r>
        <w:t xml:space="preserve">the</w:t>
      </w:r>
      <w:r>
        <w:t xml:space="preserve"> </w:t>
      </w:r>
      <w:r>
        <w:t xml:space="preserve">capacity</w:t>
      </w:r>
      <w:r>
        <w:t xml:space="preserve"> </w:t>
      </w:r>
      <w:r>
        <w:t xml:space="preserve">of</w:t>
      </w:r>
      <w:r>
        <w:t xml:space="preserve"> </w:t>
      </w:r>
      <w:r>
        <w:t xml:space="preserve">wind</w:t>
      </w:r>
      <w:r>
        <w:t xml:space="preserve"> </w:t>
      </w:r>
      <w:r>
        <w:t xml:space="preserve">or</w:t>
      </w:r>
      <w:r>
        <w:t xml:space="preserve"> </w:t>
      </w:r>
      <w:r>
        <w:t xml:space="preserve">other</w:t>
      </w:r>
      <w:r>
        <w:t xml:space="preserve"> </w:t>
      </w:r>
      <w:r>
        <w:t xml:space="preserve">abiotic</w:t>
      </w:r>
      <w:r>
        <w:t xml:space="preserve"> </w:t>
      </w:r>
      <w:r>
        <w:t xml:space="preserve">processes.</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aracari,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aracari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w:t>
      </w:r>
      <w:r>
        <w:t xml:space="preserve"> </w:t>
      </w:r>
      <w:r>
        <w:t xml:space="preserve">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 (2017) 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Differences in behavior among individuals (i.e. behavioral syndromes sensu</w:t>
      </w:r>
      <w:r>
        <w:t xml:space="preserve"> </w:t>
      </w:r>
      <w:r>
        <w:t xml:space="preserve">(Sih, Bell, and Johnson 2004)</w:t>
      </w:r>
      <w:r>
        <w:t xml:space="preserve">) can have remarkable consequences on ecological and evolutionary processes</w:t>
      </w:r>
      <w:r>
        <w:t xml:space="preserve"> </w:t>
      </w:r>
      <w:r>
        <w:t xml:space="preserve">(Wolf and Weissing 2012)</w:t>
      </w:r>
      <w:r>
        <w:t xml:space="preserve">. For vertebrate dispersed plants, animal behavior will inﬂuence seed shadows and few species, or even individuals, might provide unique, high value dispersal services by moving farther distances from parental plants</w:t>
      </w:r>
      <w:r>
        <w:t xml:space="preserve"> </w:t>
      </w:r>
      <w:r>
        <w:t xml:space="preserve">(Schupp, Jordano, and Gómez 2010)</w:t>
      </w:r>
      <w:r>
        <w:t xml:space="preserve">.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Incorporating animal behavior and the individual distances they carry seeds into seed dispersal models might result in better predictions of seed shadow and better inform about the resulting patterns of seed dispersal.</w:t>
      </w:r>
    </w:p>
    <w:p>
      <w:pPr>
        <w:pStyle w:val="BodyText"/>
      </w:pPr>
      <w:r>
        <w:t xml:space="preserve">The effect of frugivore movement on seed dispersal has been studied and we know that there exists an important link between them</w:t>
      </w:r>
      <w:r>
        <w:t xml:space="preserve"> </w:t>
      </w:r>
      <w:r>
        <w:t xml:space="preserve">(Will and Tackenberg 2008; Russo, Portnoy, and Augspurger 2006; Pegman, Perry, and Clout 2017)</w:t>
      </w:r>
      <w:r>
        <w:t xml:space="preserve">. Animal movement patterns determine the extent to which seeds get distributed, and this in turn creates a range distribution for plants</w:t>
      </w:r>
      <w:r>
        <w:t xml:space="preserve"> </w:t>
      </w:r>
      <w:r>
        <w:t xml:space="preserve">(Levey, Tewksbury, and Bolker 2008)</w:t>
      </w:r>
      <w:r>
        <w:t xml:space="preserve">. Plants distribution and ranges are largely determined by the seeds that get dispersed the farthest from their parent. Animal movement is known to provide these long-distance seeds more than other dispersal sources such as wind or water</w:t>
      </w:r>
      <w:r>
        <w:t xml:space="preserve">(Jordano 2017)</w:t>
      </w:r>
      <w:r>
        <w:t xml:space="preserve">. Frugivore in particular is associated with longer dispersal, partly influenced by the gut retention time. We wanted to understand how individual variation in animal movement can influence the frequency and extent of long-distance seed dispersal events. We analyzed aracari telemetry data at the population level and at an individual level, to explore how these could influence seed dispersal. In addition to this, we tested several models to understand how the choice of probability distribution associated to the movement kernel can limit or overestimate seed dispersal.</w:t>
      </w:r>
    </w:p>
    <w:p>
      <w:pPr>
        <w:pStyle w:val="Heading1"/>
      </w:pPr>
      <w:bookmarkStart w:id="21" w:name="methods"/>
      <w:r>
        <w:t xml:space="preserve">Methods</w:t>
      </w:r>
      <w:bookmarkEnd w:id="21"/>
    </w:p>
    <w:p>
      <w:pPr>
        <w:pStyle w:val="Heading2"/>
      </w:pPr>
      <w:bookmarkStart w:id="22" w:name="seed-dispersal-simulation"/>
      <w:r>
        <w:t xml:space="preserve">Seed dispersal simulation</w:t>
      </w:r>
      <w:bookmarkEnd w:id="22"/>
    </w:p>
    <w:p>
      <w:pPr>
        <w:pStyle w:val="FirstParagraph"/>
      </w:pPr>
      <w:r>
        <w:t xml:space="preserve">the goal of this manuscript is to evaluate the effects of variation in animal movement and how these translate to seed dispersal distances. We developed an individual-based simulation in order to track single individuals or family groups in various tracking sessions and see how they disperse seeds.</w:t>
      </w:r>
    </w:p>
    <w:p>
      <w:pPr>
        <w:numPr>
          <w:ilvl w:val="0"/>
          <w:numId w:val="1001"/>
        </w:numPr>
        <w:pStyle w:val="Compact"/>
      </w:pPr>
      <w:r>
        <w:t xml:space="preserve">What is the overall goal of this simulation?</w:t>
      </w:r>
    </w:p>
    <w:p>
      <w:pPr>
        <w:numPr>
          <w:ilvl w:val="0"/>
          <w:numId w:val="1001"/>
        </w:numPr>
        <w:pStyle w:val="Compact"/>
      </w:pPr>
      <w:r>
        <w:t xml:space="preserve">What entails one simulation run</w:t>
      </w:r>
    </w:p>
    <w:p>
      <w:pPr>
        <w:numPr>
          <w:ilvl w:val="0"/>
          <w:numId w:val="1001"/>
        </w:numPr>
        <w:pStyle w:val="Compact"/>
      </w:pPr>
      <w:r>
        <w:t xml:space="preserve">Overall description of how the simulation works</w:t>
      </w:r>
    </w:p>
    <w:p>
      <w:pPr>
        <w:numPr>
          <w:ilvl w:val="0"/>
          <w:numId w:val="1001"/>
        </w:numPr>
        <w:pStyle w:val="Compact"/>
      </w:pPr>
      <w:r>
        <w:t xml:space="preserve">Variables that go into the simulation</w:t>
      </w:r>
    </w:p>
    <w:p>
      <w:pPr>
        <w:numPr>
          <w:ilvl w:val="0"/>
          <w:numId w:val="1001"/>
        </w:numPr>
        <w:pStyle w:val="Compact"/>
      </w:pPr>
      <w:r>
        <w:t xml:space="preserve">Sources I used to reference: jones</w:t>
      </w:r>
    </w:p>
    <w:p>
      <w:pPr>
        <w:numPr>
          <w:ilvl w:val="0"/>
          <w:numId w:val="1002"/>
        </w:numPr>
        <w:pStyle w:val="Compact"/>
      </w:pPr>
      <w:r>
        <w:t xml:space="preserve">Parameterization and source data</w:t>
      </w:r>
    </w:p>
    <w:p>
      <w:pPr>
        <w:numPr>
          <w:ilvl w:val="0"/>
          <w:numId w:val="1003"/>
        </w:numPr>
        <w:pStyle w:val="Compact"/>
      </w:pPr>
      <w:r>
        <w:t xml:space="preserve">Data description</w:t>
      </w:r>
    </w:p>
    <w:p>
      <w:pPr>
        <w:numPr>
          <w:ilvl w:val="0"/>
          <w:numId w:val="1003"/>
        </w:numPr>
        <w:pStyle w:val="Compact"/>
      </w:pPr>
      <w:r>
        <w:t xml:space="preserve">Gut retention time comes from previous literature and averages</w:t>
      </w:r>
    </w:p>
    <w:p>
      <w:pPr>
        <w:numPr>
          <w:ilvl w:val="0"/>
          <w:numId w:val="1003"/>
        </w:numPr>
        <w:pStyle w:val="Compact"/>
      </w:pPr>
      <w:r>
        <w:t xml:space="preserve">Calculations at the different organizational levels</w:t>
      </w:r>
    </w:p>
    <w:p>
      <w:pPr>
        <w:numPr>
          <w:ilvl w:val="0"/>
          <w:numId w:val="1004"/>
        </w:numPr>
        <w:pStyle w:val="Compact"/>
      </w:pPr>
      <w:r>
        <w:t xml:space="preserve">Evaluating fits?</w:t>
      </w:r>
    </w:p>
    <w:p>
      <w:pPr>
        <w:numPr>
          <w:ilvl w:val="0"/>
          <w:numId w:val="1004"/>
        </w:numPr>
        <w:pStyle w:val="Compact"/>
      </w:pPr>
      <w:r>
        <w:t xml:space="preserve">Statistics associated to the simulations</w:t>
      </w:r>
    </w:p>
    <w:p>
      <w:pPr>
        <w:pStyle w:val="Heading3"/>
      </w:pPr>
      <w:bookmarkStart w:id="23" w:name="data-collectionmanipulation"/>
      <w:r>
        <w:t xml:space="preserve">Data collection/manipulation</w:t>
      </w:r>
      <w:bookmarkEnd w:id="23"/>
    </w:p>
    <w:p>
      <w:pPr>
        <w:pStyle w:val="FirstParagraph"/>
      </w:pPr>
      <w:r>
        <w:t xml:space="preserve">We focused our study on the many-banded aracari (</w:t>
      </w:r>
      <w:r>
        <w:rPr>
          <w:i/>
        </w:rPr>
        <w:t xml:space="preserve">Pterglossus pluricinctus</w:t>
      </w:r>
      <w:r>
        <w:t xml:space="preserve">)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Aracari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We focused on the data from the many-banded aracari,</w:t>
      </w:r>
      <w:r>
        <w:t xml:space="preserve"> </w:t>
      </w:r>
      <w:r>
        <w:rPr>
          <w:i/>
        </w:rPr>
        <w:t xml:space="preserve">Pteroglossus pluricinctus</w:t>
      </w:r>
      <w:r>
        <w:t xml:space="preserve">, because a higher number of recorded locations were available. In addition to this, the home range of this species was found to be the largest for all the species studied, and therefore it was better suited to study long-distance seed dispersal events.</w:t>
      </w:r>
    </w:p>
    <w:p>
      <w:pPr>
        <w:pStyle w:val="BodyText"/>
      </w:pPr>
      <w:r>
        <w:t xml:space="preserve">We used subsequent animal locations to estimate distance moved in a given tracking session, then calculated movement rates per minute for each movement bout. We defined a movement bout as the movement occurring between two consecutive GPS locations.</w:t>
      </w:r>
      <w:r>
        <w:t xml:space="preserve"> </w:t>
      </w:r>
      <w:r>
        <w:rPr>
          <w:i/>
        </w:rPr>
        <w:t xml:space="preserve">Is this ok? not sure how to describe how I considered this</w:t>
      </w:r>
      <w:r>
        <w:t xml:space="preserve"> </w:t>
      </w:r>
      <w:r>
        <w:t xml:space="preserve">We generated a distribution of movement rates and selected the animals that had a minimum of 30 observations giving us a dataset with information on twelve individual birds. Unlike previous work by Holbrook</w:t>
      </w:r>
      <w:r>
        <w:t xml:space="preserve"> </w:t>
      </w:r>
      <w:r>
        <w:t xml:space="preserve">(2011)</w:t>
      </w:r>
      <w:r>
        <w:t xml:space="preserve"> </w:t>
      </w:r>
      <w:r>
        <w:t xml:space="preserve">we restricted our analysis to consecutive locations only, to better capture variation in trajectory and movement rates in meters per minute for a given flight session. We were not focused on distance to origin from the animal’s perspective, but on movement bouts in a continuous tracking session, in order to estimate trajectory movement, which would directly influence the distance that seeds get dispersed from a focus tree.</w:t>
      </w:r>
    </w:p>
    <w:p>
      <w:pPr>
        <w:pStyle w:val="Heading3"/>
      </w:pPr>
      <w:bookmarkStart w:id="24" w:name="X7d498f0a698ef9ad3af6a381df5cae7e067d734"/>
      <w:r>
        <w:t xml:space="preserve">Animal movement probability distributions</w:t>
      </w:r>
      <w:bookmarkEnd w:id="24"/>
    </w:p>
    <w:p>
      <w:pPr>
        <w:pStyle w:val="FirstParagraph"/>
      </w:pPr>
      <w:r>
        <w:t xml:space="preserve">In this study, we consider population level when we consider all the tracking data together as a whole. For population level analysis we make the assumption that there is no individual variation in movement rates and therefore a single movement rate model can describe all individuals in that population. For the case of individual level analysis, we consider individual variation by analyzing the movement rates separately and fitting a probability distribution model to the tracking data for each individual. Within this framework we consider that animal movement rates (number of meters moved per minute in each individual movement bout) can be described with four different probability distribution models: an exponential distribution</w:t>
      </w:r>
      <w:r>
        <w:t xml:space="preserve"> </w:t>
      </w:r>
      <w:r>
        <w:t xml:space="preserve">(Jones et al. 2017)</w:t>
      </w:r>
      <w:r>
        <w:t xml:space="preserve">, a gamma distribution, a weibull distribution</w:t>
      </w:r>
      <w:r>
        <w:t xml:space="preserve"> </w:t>
      </w:r>
      <w:r>
        <w:t xml:space="preserve">(Morales and Carlo 2006)</w:t>
      </w:r>
      <w:r>
        <w:t xml:space="preserve">, and a lognormal distribution</w:t>
      </w:r>
      <w:r>
        <w:t xml:space="preserve"> </w:t>
      </w:r>
      <w:r>
        <w:t xml:space="preserve">(Levey, Tewksbury, and Bolker 2008)</w:t>
      </w:r>
      <w:r>
        <w:t xml:space="preserve">. (Comment: where do you think I should include a description of these different distributions?) The fit of each model to the data was analyzed visually via qqplots (See supplementary information).</w:t>
      </w:r>
    </w:p>
    <w:p>
      <w:pPr>
        <w:pStyle w:val="BodyText"/>
      </w:pPr>
      <w:r>
        <w:t xml:space="preserve">At the population level, we compared the fit between the four distribution models using different information criteria (AIC, AICc, and BIC). At the individual level we considered five different models, four of these models corresponded to each of the four probability distributions. For the first four models, we assumed that one probability distribution could accurately describe the movement rates for each individual by changing the distribution’s parameters. A fith alternative model considered instead the best fitting model for each individual and calculated the overall information criteria as a combination of the best fitting model for each individual. For each of these indivual level models, information criteria were calculated based on the number of parameters, sample size and negative log likelihood in the following way</w:t>
      </w:r>
    </w:p>
    <w:p>
      <w:pPr>
        <w:pStyle w:val="BodyText"/>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3"/>
      </w:pPr>
      <w:bookmarkStart w:id="25" w:name="seed-dispersal-simulation-1"/>
      <w:r>
        <w:t xml:space="preserve">Seed dispersal simulation</w:t>
      </w:r>
      <w:bookmarkEnd w:id="25"/>
    </w:p>
    <w:p>
      <w:pPr>
        <w:pStyle w:val="FirstParagraph"/>
      </w:pPr>
      <w:r>
        <w:t xml:space="preserve">To understand the impact of individual animal movement rates over seed dispersal distances, we built a simulation model which took into account animal movement and seed gut retention time (GRT). Each simulation run consisted of an individual bird who was given five seeds at the start of the simulation. Each seed’s gut retention time was randomly sampled from a Gamma distribution based on previously collected data</w:t>
      </w:r>
      <w:r>
        <w:t xml:space="preserve"> </w:t>
      </w:r>
      <w:r>
        <w:t xml:space="preserve">(Holbrook 2011)</w:t>
      </w:r>
      <w:r>
        <w:t xml:space="preserve"> </w:t>
      </w:r>
      <w:r>
        <w:t xml:space="preserve">and out of the five seeds the largest GRT determined the simulation time for each run. The simulated bird would start at point (0,0) and move across the landscape in a random walk, with angle of movement and speed determined by one minute time steps. At each minute time step, an angle of movement would be sampled from a uniform distribution and a movement rate sampled from one of movement rate models (exponential, gamma, lognormal or weibull). Seeds would get dropped at the bird’s position at the time the simulation reached each seed’s GRT and the simulation run would end once the bird dropped all five seeds. At the population level, we had four different simulations, each corresponding to one of the probability distributions being tested for animal movement rates. We performed 12,000 individual simulation runs with each distribution and estimated seed dispersal distances for each of the seeds. In the case of individual level simulations, we had 1000 simulation runs for each individual (twelve individuals, with a total of 12,000 simulation runs) and we did this with each of the four distribution models. Finally, we considered a (heterogeneous/mixed? need to check with JMP on terminology) model where we selected the best fitting movement rate model for each individual and used it to parameterize the simulation. For these mixed models, the probability distribution used to sample movement rates would be the best fitting distribution for each individual’s movement rates (the target distribution as determined by AIC or BIC), and not a common distribution with different parameters for each individual (as in the previous individual level simulation runs). Whether at population level or individual level, the output of the simulation runs for each model is the dispersal distance for 60,000 seeds. We performed summary statistics on seed dispersal distances for each of the models</w:t>
      </w:r>
    </w:p>
    <w:p>
      <w:pPr>
        <w:pStyle w:val="Heading2"/>
      </w:pPr>
      <w:bookmarkStart w:id="26" w:name="results"/>
      <w:r>
        <w:t xml:space="preserve">Results</w:t>
      </w:r>
      <w:bookmarkEnd w:id="26"/>
    </w:p>
    <w:p>
      <w:pPr>
        <w:pStyle w:val="Heading3"/>
      </w:pPr>
      <w:bookmarkStart w:id="27" w:name="animal-movement-rate-models"/>
      <w:r>
        <w:t xml:space="preserve">Animal movement rate models</w:t>
      </w:r>
      <w:bookmarkEnd w:id="27"/>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28" w:name="seed-dispersal-distances"/>
      <w:r>
        <w:t xml:space="preserve">Seed Dispersal Distances</w:t>
      </w:r>
      <w:bookmarkEnd w:id="28"/>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BodyText"/>
      </w:pPr>
      <w:r>
        <w:t xml:space="preserve">Summarize some values for these distances. Is this table necessary? or how to reduce it? Do I need to make it smaller?</w:t>
      </w:r>
    </w:p>
    <w:p>
      <w:pPr>
        <w:pStyle w:val="Heading2"/>
      </w:pPr>
      <w:bookmarkStart w:id="29" w:name="discussion"/>
      <w:r>
        <w:t xml:space="preserve">Discussion</w:t>
      </w:r>
      <w:bookmarkEnd w:id="29"/>
    </w:p>
    <w:p>
      <w:pPr>
        <w:pStyle w:val="FirstParagraph"/>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0" w:name="conclusion"/>
      <w:r>
        <w:t xml:space="preserve">Conclusion</w:t>
      </w:r>
      <w:bookmarkEnd w:id="30"/>
    </w:p>
    <w:p>
      <w:pPr>
        <w:pStyle w:val="Heading1"/>
      </w:pPr>
      <w:bookmarkStart w:id="31" w:name="acknowledgements"/>
      <w:r>
        <w:t xml:space="preserve">Acknowledgements</w:t>
      </w:r>
      <w:bookmarkEnd w:id="31"/>
    </w:p>
    <w:p>
      <w:pPr>
        <w:pStyle w:val="Heading1"/>
      </w:pPr>
      <w:bookmarkStart w:id="32" w:name="references"/>
      <w:r>
        <w:t xml:space="preserve">References</w:t>
      </w:r>
      <w:bookmarkEnd w:id="32"/>
    </w:p>
    <w:bookmarkStart w:id="92" w:name="refs"/>
    <w:bookmarkStart w:id="34"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3">
        <w:r>
          <w:rPr>
            <w:rStyle w:val="Hyperlink"/>
          </w:rPr>
          <w:t xml:space="preserve">https://doi.org/10.1111/j.1461-0248.2011.01662.x</w:t>
        </w:r>
      </w:hyperlink>
      <w:r>
        <w:t xml:space="preserve">.</w:t>
      </w:r>
    </w:p>
    <w:bookmarkEnd w:id="34"/>
    <w:bookmarkStart w:id="36"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5">
        <w:r>
          <w:rPr>
            <w:rStyle w:val="Hyperlink"/>
          </w:rPr>
          <w:t xml:space="preserve">https://doi.org/10.1890/02-8011</w:t>
        </w:r>
      </w:hyperlink>
      <w:r>
        <w:t xml:space="preserve">.</w:t>
      </w:r>
    </w:p>
    <w:bookmarkEnd w:id="36"/>
    <w:bookmarkStart w:id="38"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37">
        <w:r>
          <w:rPr>
            <w:rStyle w:val="Hyperlink"/>
          </w:rPr>
          <w:t xml:space="preserve">https://doi.org/10.1016/j.tree.2011.01.009</w:t>
        </w:r>
      </w:hyperlink>
      <w:r>
        <w:t xml:space="preserve">.</w:t>
      </w:r>
    </w:p>
    <w:bookmarkEnd w:id="38"/>
    <w:bookmarkStart w:id="40"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39">
        <w:r>
          <w:rPr>
            <w:rStyle w:val="Hyperlink"/>
          </w:rPr>
          <w:t xml:space="preserve">https://doi.org/10.1098/rspb.2010.0018</w:t>
        </w:r>
      </w:hyperlink>
      <w:r>
        <w:t xml:space="preserve">.</w:t>
      </w:r>
    </w:p>
    <w:bookmarkEnd w:id="40"/>
    <w:bookmarkStart w:id="42"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1">
        <w:r>
          <w:rPr>
            <w:rStyle w:val="Hyperlink"/>
          </w:rPr>
          <w:t xml:space="preserve">https://doi.org/10.1086/343878</w:t>
        </w:r>
      </w:hyperlink>
      <w:r>
        <w:t xml:space="preserve">.</w:t>
      </w:r>
    </w:p>
    <w:bookmarkEnd w:id="42"/>
    <w:bookmarkStart w:id="43"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3"/>
    <w:bookmarkStart w:id="44"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4"/>
    <w:bookmarkStart w:id="46"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5">
        <w:r>
          <w:rPr>
            <w:rStyle w:val="Hyperlink"/>
          </w:rPr>
          <w:t xml:space="preserve">https://doi.org/10.1111/j.1469-185X.2012.00250.x</w:t>
        </w:r>
      </w:hyperlink>
      <w:r>
        <w:t xml:space="preserve">.</w:t>
      </w:r>
    </w:p>
    <w:bookmarkEnd w:id="46"/>
    <w:bookmarkStart w:id="47"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47"/>
    <w:bookmarkStart w:id="49"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48">
        <w:r>
          <w:rPr>
            <w:rStyle w:val="Hyperlink"/>
          </w:rPr>
          <w:t xml:space="preserve">https://doi.org/10.1111/ecog.01357</w:t>
        </w:r>
      </w:hyperlink>
      <w:r>
        <w:t xml:space="preserve">.</w:t>
      </w:r>
    </w:p>
    <w:bookmarkEnd w:id="49"/>
    <w:bookmarkStart w:id="51"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0">
        <w:r>
          <w:rPr>
            <w:rStyle w:val="Hyperlink"/>
          </w:rPr>
          <w:t xml:space="preserve">https://doi.org/10.1016/j.tree.2016.06.009</w:t>
        </w:r>
      </w:hyperlink>
      <w:r>
        <w:t xml:space="preserve">.</w:t>
      </w:r>
    </w:p>
    <w:bookmarkEnd w:id="51"/>
    <w:bookmarkStart w:id="53"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2">
        <w:r>
          <w:rPr>
            <w:rStyle w:val="Hyperlink"/>
          </w:rPr>
          <w:t xml:space="preserve">https://doi.org/10.1111/j.1744-7429.2010.00710.x</w:t>
        </w:r>
      </w:hyperlink>
      <w:r>
        <w:t xml:space="preserve">.</w:t>
      </w:r>
    </w:p>
    <w:bookmarkEnd w:id="53"/>
    <w:bookmarkStart w:id="54"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54"/>
    <w:bookmarkStart w:id="55"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55"/>
    <w:bookmarkStart w:id="56"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56"/>
    <w:bookmarkStart w:id="58"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57">
        <w:r>
          <w:rPr>
            <w:rStyle w:val="Hyperlink"/>
          </w:rPr>
          <w:t xml:space="preserve">https://www.jstor.org/stable/3451006</w:t>
        </w:r>
      </w:hyperlink>
      <w:r>
        <w:t xml:space="preserve">.</w:t>
      </w:r>
    </w:p>
    <w:bookmarkEnd w:id="58"/>
    <w:bookmarkStart w:id="60"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59">
        <w:r>
          <w:rPr>
            <w:rStyle w:val="Hyperlink"/>
          </w:rPr>
          <w:t xml:space="preserve">https://doi.org/10.1002/ece3.3113</w:t>
        </w:r>
      </w:hyperlink>
      <w:r>
        <w:t xml:space="preserve">.</w:t>
      </w:r>
    </w:p>
    <w:bookmarkEnd w:id="60"/>
    <w:bookmarkStart w:id="62" w:name="ref-jordano_what_2017"/>
    <w:p>
      <w:pPr>
        <w:pStyle w:val="Bibliography"/>
      </w:pPr>
      <w:r>
        <w:t xml:space="preserve">Jordano, Pedro. 2017. “What Is Long-Distance Dispersal? And a Taxonomy of Dispersal Events.”</w:t>
      </w:r>
      <w:r>
        <w:t xml:space="preserve"> </w:t>
      </w:r>
      <w:r>
        <w:rPr>
          <w:i/>
        </w:rPr>
        <w:t xml:space="preserve">Journal of Ecology</w:t>
      </w:r>
      <w:r>
        <w:t xml:space="preserve"> </w:t>
      </w:r>
      <w:r>
        <w:t xml:space="preserve">105 (1): 75–84.</w:t>
      </w:r>
      <w:r>
        <w:t xml:space="preserve"> </w:t>
      </w:r>
      <w:hyperlink r:id="rId61">
        <w:r>
          <w:rPr>
            <w:rStyle w:val="Hyperlink"/>
          </w:rPr>
          <w:t xml:space="preserve">https://doi.org/10.1111/1365-2745.12690</w:t>
        </w:r>
      </w:hyperlink>
      <w:r>
        <w:t xml:space="preserve">.</w:t>
      </w:r>
    </w:p>
    <w:bookmarkEnd w:id="62"/>
    <w:bookmarkStart w:id="63"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3"/>
    <w:bookmarkStart w:id="65"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4">
        <w:r>
          <w:rPr>
            <w:rStyle w:val="Hyperlink"/>
          </w:rPr>
          <w:t xml:space="preserve">https://doi.org/10.1111/j.1365-2745.2008.01401.x</w:t>
        </w:r>
      </w:hyperlink>
      <w:r>
        <w:t xml:space="preserve">.</w:t>
      </w:r>
    </w:p>
    <w:bookmarkEnd w:id="65"/>
    <w:bookmarkStart w:id="66"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66"/>
    <w:bookmarkStart w:id="68"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67">
        <w:r>
          <w:rPr>
            <w:rStyle w:val="Hyperlink"/>
          </w:rPr>
          <w:t xml:space="preserve">https://doi.org/10.1890/0012-9658(2006)87[1489:TEOPDA]2.0.CO;2</w:t>
        </w:r>
      </w:hyperlink>
      <w:r>
        <w:t xml:space="preserve">.</w:t>
      </w:r>
    </w:p>
    <w:bookmarkEnd w:id="68"/>
    <w:bookmarkStart w:id="69"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69"/>
    <w:bookmarkStart w:id="71"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0">
        <w:r>
          <w:rPr>
            <w:rStyle w:val="Hyperlink"/>
          </w:rPr>
          <w:t xml:space="preserve">https://doi.org/10.1016/S0169-5347(00)01874-7</w:t>
        </w:r>
      </w:hyperlink>
      <w:r>
        <w:t xml:space="preserve">.</w:t>
      </w:r>
    </w:p>
    <w:bookmarkEnd w:id="71"/>
    <w:bookmarkStart w:id="73"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2">
        <w:r>
          <w:rPr>
            <w:rStyle w:val="Hyperlink"/>
          </w:rPr>
          <w:t xml:space="preserve">https://doi.org/10.1111/ecog.02191</w:t>
        </w:r>
      </w:hyperlink>
      <w:r>
        <w:t xml:space="preserve">.</w:t>
      </w:r>
    </w:p>
    <w:bookmarkEnd w:id="73"/>
    <w:bookmarkStart w:id="75"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4">
        <w:r>
          <w:rPr>
            <w:rStyle w:val="Hyperlink"/>
          </w:rPr>
          <w:t xml:space="preserve">https://doi.org/10.1890/07-1216.1</w:t>
        </w:r>
      </w:hyperlink>
      <w:r>
        <w:t xml:space="preserve">.</w:t>
      </w:r>
    </w:p>
    <w:bookmarkEnd w:id="75"/>
    <w:bookmarkStart w:id="77"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76">
        <w:r>
          <w:rPr>
            <w:rStyle w:val="Hyperlink"/>
          </w:rPr>
          <w:t xml:space="preserve">https://doi.org/10.1890/0012-9658(2006)87[3160:IABISD]2.0.CO;2</w:t>
        </w:r>
      </w:hyperlink>
      <w:r>
        <w:t xml:space="preserve">.</w:t>
      </w:r>
    </w:p>
    <w:bookmarkEnd w:id="77"/>
    <w:bookmarkStart w:id="78"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78"/>
    <w:bookmarkStart w:id="80"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79">
        <w:r>
          <w:rPr>
            <w:rStyle w:val="Hyperlink"/>
          </w:rPr>
          <w:t xml:space="preserve">https://doi.org/10.1111/j.1469-8137.2010.03402.x</w:t>
        </w:r>
      </w:hyperlink>
      <w:r>
        <w:t xml:space="preserve">.</w:t>
      </w:r>
    </w:p>
    <w:bookmarkEnd w:id="80"/>
    <w:bookmarkStart w:id="81" w:name="ref-sih2004behavioral"/>
    <w:p>
      <w:pPr>
        <w:pStyle w:val="Bibliography"/>
      </w:pPr>
      <w:r>
        <w:t xml:space="preserve">Sih, Andrew, Alison Bell, and J Chadwick Johnson. 2004. “Behavioral Syndromes: An Ecological and Evolutionary Overview.”</w:t>
      </w:r>
      <w:r>
        <w:t xml:space="preserve"> </w:t>
      </w:r>
      <w:r>
        <w:rPr>
          <w:i/>
        </w:rPr>
        <w:t xml:space="preserve">Trends in Ecology &amp; Evolution</w:t>
      </w:r>
      <w:r>
        <w:t xml:space="preserve"> </w:t>
      </w:r>
      <w:r>
        <w:t xml:space="preserve">19 (7): 372–78.</w:t>
      </w:r>
    </w:p>
    <w:bookmarkEnd w:id="81"/>
    <w:bookmarkStart w:id="83"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2">
        <w:r>
          <w:rPr>
            <w:rStyle w:val="Hyperlink"/>
          </w:rPr>
          <w:t xml:space="preserve">https://doi.org/10.1093/aobpla/plz016</w:t>
        </w:r>
      </w:hyperlink>
      <w:r>
        <w:t xml:space="preserve">.</w:t>
      </w:r>
    </w:p>
    <w:bookmarkEnd w:id="83"/>
    <w:bookmarkStart w:id="85"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4">
        <w:r>
          <w:rPr>
            <w:rStyle w:val="Hyperlink"/>
          </w:rPr>
          <w:t xml:space="preserve">https://doi.org/10.1016/j.tree.2011.11.014</w:t>
        </w:r>
      </w:hyperlink>
      <w:r>
        <w:t xml:space="preserve">.</w:t>
      </w:r>
    </w:p>
    <w:bookmarkEnd w:id="85"/>
    <w:bookmarkStart w:id="87" w:name="ref-will_mechanistic_2008"/>
    <w:p>
      <w:pPr>
        <w:pStyle w:val="Bibliography"/>
      </w:pPr>
      <w:r>
        <w:t xml:space="preserve">Will, Heidrun, and Oliver Tackenberg. 2008. “A Mechanistic Simulation Model of Seed Dispersal by Animals.”</w:t>
      </w:r>
      <w:r>
        <w:t xml:space="preserve"> </w:t>
      </w:r>
      <w:r>
        <w:rPr>
          <w:i/>
        </w:rPr>
        <w:t xml:space="preserve">Journal of Ecology</w:t>
      </w:r>
      <w:r>
        <w:t xml:space="preserve"> </w:t>
      </w:r>
      <w:r>
        <w:t xml:space="preserve">96 (5): 1011–22.</w:t>
      </w:r>
      <w:r>
        <w:t xml:space="preserve"> </w:t>
      </w:r>
      <w:hyperlink r:id="rId86">
        <w:r>
          <w:rPr>
            <w:rStyle w:val="Hyperlink"/>
          </w:rPr>
          <w:t xml:space="preserve">https://doi.org/10.1111/j.1365-2745.2007.01341.x</w:t>
        </w:r>
      </w:hyperlink>
      <w:r>
        <w:t xml:space="preserve">.</w:t>
      </w:r>
    </w:p>
    <w:bookmarkEnd w:id="87"/>
    <w:bookmarkStart w:id="89"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8">
        <w:r>
          <w:rPr>
            <w:rStyle w:val="Hyperlink"/>
          </w:rPr>
          <w:t xml:space="preserve">https://doi.org/10.1016/j.tree.2012.05.001</w:t>
        </w:r>
      </w:hyperlink>
      <w:r>
        <w:t xml:space="preserve">.</w:t>
      </w:r>
    </w:p>
    <w:bookmarkEnd w:id="89"/>
    <w:bookmarkStart w:id="91"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0">
        <w:r>
          <w:rPr>
            <w:rStyle w:val="Hyperlink"/>
          </w:rPr>
          <w:t xml:space="preserve">https://doi.org/10.1111/brv.12377</w:t>
        </w:r>
      </w:hyperlink>
      <w:r>
        <w:t xml:space="preserve">.</w:t>
      </w:r>
    </w:p>
    <w:bookmarkEnd w:id="91"/>
    <w:bookmarkEnd w:id="92"/>
    <w:sectPr w:rsidR="00C73E55" w:rsidSect="00FB1090">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B5033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7B227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1210688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3" w15:restartNumberingAfterBreak="0">
    <w:nsid w:val="71315DCA"/>
    <w:multiLevelType w:val="multilevel"/>
    <w:tmpl w:val="18A852E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0"/>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B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2/ece3.3113" TargetMode="External" /><Relationship Type="http://schemas.openxmlformats.org/officeDocument/2006/relationships/hyperlink" Id="rId70" Target="https://doi.org/10.1016/S0169-5347(00)01874-7" TargetMode="External" /><Relationship Type="http://schemas.openxmlformats.org/officeDocument/2006/relationships/hyperlink" Id="rId37" Target="https://doi.org/10.1016/j.tree.2011.01.009" TargetMode="External" /><Relationship Type="http://schemas.openxmlformats.org/officeDocument/2006/relationships/hyperlink" Id="rId84"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0" Target="https://doi.org/10.1016/j.tree.2016.06.009" TargetMode="External" /><Relationship Type="http://schemas.openxmlformats.org/officeDocument/2006/relationships/hyperlink" Id="rId41" Target="https://doi.org/10.1086/343878" TargetMode="External" /><Relationship Type="http://schemas.openxmlformats.org/officeDocument/2006/relationships/hyperlink" Id="rId82" Target="https://doi.org/10.1093/aobpla/plz016" TargetMode="External" /><Relationship Type="http://schemas.openxmlformats.org/officeDocument/2006/relationships/hyperlink" Id="rId39" Target="https://doi.org/10.1098/rspb.2010.0018" TargetMode="External" /><Relationship Type="http://schemas.openxmlformats.org/officeDocument/2006/relationships/hyperlink" Id="rId61" Target="https://doi.org/10.1111/1365-2745.12690" TargetMode="External" /><Relationship Type="http://schemas.openxmlformats.org/officeDocument/2006/relationships/hyperlink" Id="rId90" Target="https://doi.org/10.1111/brv.12377" TargetMode="External" /><Relationship Type="http://schemas.openxmlformats.org/officeDocument/2006/relationships/hyperlink" Id="rId48" Target="https://doi.org/10.1111/ecog.01357" TargetMode="External" /><Relationship Type="http://schemas.openxmlformats.org/officeDocument/2006/relationships/hyperlink" Id="rId72" Target="https://doi.org/10.1111/ecog.02191" TargetMode="External" /><Relationship Type="http://schemas.openxmlformats.org/officeDocument/2006/relationships/hyperlink" Id="rId86" Target="https://doi.org/10.1111/j.1365-2745.2007.01341.x" TargetMode="External" /><Relationship Type="http://schemas.openxmlformats.org/officeDocument/2006/relationships/hyperlink" Id="rId64" Target="https://doi.org/10.1111/j.1365-2745.2008.01401.x" TargetMode="External" /><Relationship Type="http://schemas.openxmlformats.org/officeDocument/2006/relationships/hyperlink" Id="rId33" Target="https://doi.org/10.1111/j.1461-0248.2011.01662.x" TargetMode="External" /><Relationship Type="http://schemas.openxmlformats.org/officeDocument/2006/relationships/hyperlink" Id="rId45" Target="https://doi.org/10.1111/j.1469-185X.2012.00250.x" TargetMode="External" /><Relationship Type="http://schemas.openxmlformats.org/officeDocument/2006/relationships/hyperlink" Id="rId79" Target="https://doi.org/10.1111/j.1469-8137.2010.03402.x" TargetMode="External" /><Relationship Type="http://schemas.openxmlformats.org/officeDocument/2006/relationships/hyperlink" Id="rId52" Target="https://doi.org/10.1111/j.1744-7429.2010.00710.x" TargetMode="External" /><Relationship Type="http://schemas.openxmlformats.org/officeDocument/2006/relationships/hyperlink" Id="rId67" Target="https://doi.org/10.1890/0012-9658(2006)87%5B1489:TEOPDA%5D2.0.CO;2" TargetMode="External" /><Relationship Type="http://schemas.openxmlformats.org/officeDocument/2006/relationships/hyperlink" Id="rId76" Target="https://doi.org/10.1890/0012-9658(2006)87%5B3160:IABISD%5D2.0.CO;2" TargetMode="External" /><Relationship Type="http://schemas.openxmlformats.org/officeDocument/2006/relationships/hyperlink" Id="rId35" Target="https://doi.org/10.1890/02-8011" TargetMode="External" /><Relationship Type="http://schemas.openxmlformats.org/officeDocument/2006/relationships/hyperlink" Id="rId74" Target="https://doi.org/10.1890/07-1216.1" TargetMode="External" /><Relationship Type="http://schemas.openxmlformats.org/officeDocument/2006/relationships/hyperlink" Id="rId57"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59" Target="https://doi.org/10.1002/ece3.3113" TargetMode="External" /><Relationship Type="http://schemas.openxmlformats.org/officeDocument/2006/relationships/hyperlink" Id="rId70" Target="https://doi.org/10.1016/S0169-5347(00)01874-7" TargetMode="External" /><Relationship Type="http://schemas.openxmlformats.org/officeDocument/2006/relationships/hyperlink" Id="rId37" Target="https://doi.org/10.1016/j.tree.2011.01.009" TargetMode="External" /><Relationship Type="http://schemas.openxmlformats.org/officeDocument/2006/relationships/hyperlink" Id="rId84" Target="https://doi.org/10.1016/j.tree.2011.11.014" TargetMode="External" /><Relationship Type="http://schemas.openxmlformats.org/officeDocument/2006/relationships/hyperlink" Id="rId88" Target="https://doi.org/10.1016/j.tree.2012.05.001" TargetMode="External" /><Relationship Type="http://schemas.openxmlformats.org/officeDocument/2006/relationships/hyperlink" Id="rId50" Target="https://doi.org/10.1016/j.tree.2016.06.009" TargetMode="External" /><Relationship Type="http://schemas.openxmlformats.org/officeDocument/2006/relationships/hyperlink" Id="rId41" Target="https://doi.org/10.1086/343878" TargetMode="External" /><Relationship Type="http://schemas.openxmlformats.org/officeDocument/2006/relationships/hyperlink" Id="rId82" Target="https://doi.org/10.1093/aobpla/plz016" TargetMode="External" /><Relationship Type="http://schemas.openxmlformats.org/officeDocument/2006/relationships/hyperlink" Id="rId39" Target="https://doi.org/10.1098/rspb.2010.0018" TargetMode="External" /><Relationship Type="http://schemas.openxmlformats.org/officeDocument/2006/relationships/hyperlink" Id="rId61" Target="https://doi.org/10.1111/1365-2745.12690" TargetMode="External" /><Relationship Type="http://schemas.openxmlformats.org/officeDocument/2006/relationships/hyperlink" Id="rId90" Target="https://doi.org/10.1111/brv.12377" TargetMode="External" /><Relationship Type="http://schemas.openxmlformats.org/officeDocument/2006/relationships/hyperlink" Id="rId48" Target="https://doi.org/10.1111/ecog.01357" TargetMode="External" /><Relationship Type="http://schemas.openxmlformats.org/officeDocument/2006/relationships/hyperlink" Id="rId72" Target="https://doi.org/10.1111/ecog.02191" TargetMode="External" /><Relationship Type="http://schemas.openxmlformats.org/officeDocument/2006/relationships/hyperlink" Id="rId86" Target="https://doi.org/10.1111/j.1365-2745.2007.01341.x" TargetMode="External" /><Relationship Type="http://schemas.openxmlformats.org/officeDocument/2006/relationships/hyperlink" Id="rId64" Target="https://doi.org/10.1111/j.1365-2745.2008.01401.x" TargetMode="External" /><Relationship Type="http://schemas.openxmlformats.org/officeDocument/2006/relationships/hyperlink" Id="rId33" Target="https://doi.org/10.1111/j.1461-0248.2011.01662.x" TargetMode="External" /><Relationship Type="http://schemas.openxmlformats.org/officeDocument/2006/relationships/hyperlink" Id="rId45" Target="https://doi.org/10.1111/j.1469-185X.2012.00250.x" TargetMode="External" /><Relationship Type="http://schemas.openxmlformats.org/officeDocument/2006/relationships/hyperlink" Id="rId79" Target="https://doi.org/10.1111/j.1469-8137.2010.03402.x" TargetMode="External" /><Relationship Type="http://schemas.openxmlformats.org/officeDocument/2006/relationships/hyperlink" Id="rId52" Target="https://doi.org/10.1111/j.1744-7429.2010.00710.x" TargetMode="External" /><Relationship Type="http://schemas.openxmlformats.org/officeDocument/2006/relationships/hyperlink" Id="rId67" Target="https://doi.org/10.1890/0012-9658(2006)87%5B1489:TEOPDA%5D2.0.CO;2" TargetMode="External" /><Relationship Type="http://schemas.openxmlformats.org/officeDocument/2006/relationships/hyperlink" Id="rId76" Target="https://doi.org/10.1890/0012-9658(2006)87%5B3160:IABISD%5D2.0.CO;2" TargetMode="External" /><Relationship Type="http://schemas.openxmlformats.org/officeDocument/2006/relationships/hyperlink" Id="rId35" Target="https://doi.org/10.1890/02-8011" TargetMode="External" /><Relationship Type="http://schemas.openxmlformats.org/officeDocument/2006/relationships/hyperlink" Id="rId74" Target="https://doi.org/10.1890/07-1216.1" TargetMode="External" /><Relationship Type="http://schemas.openxmlformats.org/officeDocument/2006/relationships/hyperlink" Id="rId57"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5141</Words>
  <Characters>29307</Characters>
  <Application>Microsoft Office Word</Application>
  <DocSecurity>0</DocSecurity>
  <Lines>244</Lines>
  <Paragraphs>68</Paragraphs>
  <ScaleCrop>false</ScaleCrop>
  <Company/>
  <LinksUpToDate>false</LinksUpToDate>
  <CharactersWithSpaces>34380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2020-10-12T01:40:23Z</dcterms:created>
  <dcterms:modified xsi:type="dcterms:W3CDTF">2020-10-12T01:40:23Z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beyond the capacity of wind or other abiotic processes. In this study we seek to understand the implications of individual variation in animal movement and how these can impact estimates of long distance dispersal. We apply these methods to empirical data sets that contain locations for an aracari, Pteroglossus pluricintus, one of the primary frugivores for the Amazonian canopy tree Virola flexuosa. We combine animal movement data and gut retention time to simulate Virola seed dispersal. This approach showed that there is significant variation in individual aracari movement patterns which directly influence the estimated number of long-distance dispersa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