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I</w:t>
      </w:r>
      <w:r>
        <w:t xml:space="preserve"> </w:t>
      </w:r>
      <w:r>
        <w:t xml:space="preserve">don’t</w:t>
      </w:r>
      <w:r>
        <w:t xml:space="preserve"> </w:t>
      </w:r>
      <w:r>
        <w:t xml:space="preserve">like</w:t>
      </w:r>
      <w:r>
        <w:t xml:space="preserve"> </w:t>
      </w:r>
      <w:r>
        <w:t xml:space="preserve">this</w:t>
      </w:r>
      <w:r>
        <w:t xml:space="preserve"> </w:t>
      </w:r>
      <w:r>
        <w:t xml:space="preserve">abstract.</w:t>
      </w:r>
      <w:r>
        <w:t xml:space="preserve"> </w:t>
      </w:r>
      <w:r>
        <w:t xml:space="preserve">Revisit</w:t>
      </w:r>
      <w:r>
        <w:t xml:space="preserve"> </w:t>
      </w:r>
      <w:r>
        <w:t xml:space="preserve">at</w:t>
      </w:r>
      <w:r>
        <w:t xml:space="preserve"> </w:t>
      </w:r>
      <w:r>
        <w:t xml:space="preserve">the</w:t>
      </w:r>
      <w:r>
        <w:t xml:space="preserve"> </w:t>
      </w:r>
      <w:r>
        <w:t xml:space="preserve">end…Seed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araçari,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araçari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 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spatially-explicit individual-based model of the many-banded aracari,</w:t>
      </w:r>
      <w:r>
        <w:t xml:space="preserve"> </w:t>
      </w:r>
      <w:r>
        <w:rPr>
          <w:i/>
        </w:rPr>
        <w:t xml:space="preserve">Pteroglossus pluricinctus</w:t>
      </w:r>
      <w:r>
        <w:t xml:space="preserve">, one of the primary frugivores of the Amazonian canopy tree</w:t>
      </w:r>
      <w:r>
        <w:t xml:space="preserve"> </w:t>
      </w:r>
      <w:r>
        <w:rPr>
          <w:i/>
        </w:rPr>
        <w:t xml:space="preserve">Virola flexuosa</w:t>
      </w:r>
      <w:r>
        <w:t xml:space="preserve">. Also, previous studies focused on this system have shown that</w:t>
      </w:r>
      <w:r>
        <w:t xml:space="preserve"> </w:t>
      </w:r>
      <w:r>
        <w:rPr>
          <w:i/>
        </w:rPr>
        <w:t xml:space="preserve">P. pluricintus</w:t>
      </w:r>
      <w:r>
        <w:t xml:space="preserve"> </w:t>
      </w:r>
      <w:r>
        <w:t xml:space="preserve">is able to disperse seeds across long distances</w:t>
      </w:r>
      <w:r>
        <w:t xml:space="preserve"> </w:t>
      </w:r>
      <w:r>
        <w:t xml:space="preserve">(Holbrook and Loiselle 2007, 2009; Holbrook 2011)</w:t>
      </w:r>
      <w:r>
        <w:t xml:space="preserve">, an important for plant population.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pPr>
        <w:pStyle w:val="Heading1"/>
      </w:pPr>
      <w:bookmarkStart w:id="21" w:name="methods"/>
      <w:r>
        <w:t xml:space="preserve">Methods</w:t>
      </w:r>
      <w:bookmarkEnd w:id="21"/>
    </w:p>
    <w:p>
      <w:pPr>
        <w:pStyle w:val="Heading2"/>
      </w:pPr>
      <w:bookmarkStart w:id="22" w:name="simulation-description"/>
      <w:r>
        <w:t xml:space="preserve">Simulation description</w:t>
      </w:r>
      <w:bookmarkEnd w:id="22"/>
    </w:p>
    <w:p>
      <w:pPr>
        <w:pStyle w:val="FirstParagraph"/>
      </w:pPr>
      <w:r>
        <w:t xml:space="preserve">To study the effects of individual variation in animal movement over final dispersal distances of foraged seeds, we developed a spatially-explicit individual-based model in a homogenous landscape consisting of a single source tree. We incorporated animal movement focusing on two characteristics, a movement distance (MD) sampled from a probability density distribution, and a movement angle (MA). In addition to this, we included gut retention time (GRT), the time that ingested seeds stay within the frugivore until they are dropped. The animal was allowed to move freely within the landscape, and GRT determined when the animal would drop a seed. Once a seed was dropped, its location was recorded and seed dispersal distance was estimated as the distance from the origin to the seed’s location. The average seed dispersal distance for each simulation run was calculated and used to estimate seed dispersion, calculated as the mean distance of each seed to the average location of all seeds in the run</w:t>
      </w:r>
      <w:r>
        <w:t xml:space="preserve"> </w:t>
      </w:r>
      <w:r>
        <w:t xml:space="preserve">(Jones et al. 2017)</w:t>
      </w:r>
      <w:r>
        <w:t xml:space="preserve">. For each simulation run, the simulation started at the source tree, an animal received a specific number of seeds and each seed was assigned a specific GRT sampled from a gamma distribution</w:t>
      </w:r>
      <w:r>
        <w:t xml:space="preserve"> </w:t>
      </w:r>
      <w:r>
        <w:t xml:space="preserve">(Morales and Carlo 2006)</w:t>
      </w:r>
      <w:r>
        <w:t xml:space="preserve">.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The total simulation time for each run was determined by the largest GRT sampled for that specific simulation run. Each simulation run focused on one individual animal dispersing seeds from one focus tree. Once all seeds in that run were dropped by the animal, the simulation run ended.</w:t>
      </w:r>
    </w:p>
    <w:p>
      <w:pPr>
        <w:pStyle w:val="Heading2"/>
      </w:pPr>
      <w:bookmarkStart w:id="23" w:name="study-design"/>
      <w:r>
        <w:t xml:space="preserve">Study design</w:t>
      </w:r>
      <w:bookmarkEnd w:id="23"/>
    </w:p>
    <w:p>
      <w:pPr>
        <w:pStyle w:val="FirstParagraph"/>
      </w:pPr>
      <w:r>
        <w:t xml:space="preserve">To understand the consequences of individual variation in animal movement and how these influence seed dispersal distances, we simulated two different scenarios by varying the movement of individual animals in each of those scenarios. We used our first scenario as our null model, in which all the individuals from the simulation had the same average movement rate (</w:t>
      </w:r>
      <m:oMath>
        <m:sSub>
          <m:e>
            <m:r>
              <m:t>λ</m:t>
            </m:r>
          </m:e>
          <m:sub>
            <m:r>
              <m:t>1</m:t>
            </m:r>
          </m:sub>
        </m:sSub>
        <m:r>
          <m:t>=</m:t>
        </m:r>
        <m:sSub>
          <m:e>
            <m:r>
              <m:t>λ</m:t>
            </m:r>
          </m:e>
          <m:sub>
            <m:r>
              <m:t>2</m:t>
            </m:r>
          </m:sub>
        </m:sSub>
        <m:r>
          <m:t>=</m:t>
        </m:r>
        <m:r>
          <m:t>.</m:t>
        </m:r>
        <m:r>
          <m:t>.</m:t>
        </m:r>
        <m:r>
          <m:t>.</m:t>
        </m:r>
        <m:r>
          <m:t>=</m:t>
        </m:r>
        <m:sSub>
          <m:e>
            <m:r>
              <m:t>λ</m:t>
            </m:r>
          </m:e>
          <m:sub>
            <m:r>
              <m:t>n</m:t>
            </m:r>
          </m:sub>
        </m:sSub>
      </m:oMath>
      <w:r>
        <w:t xml:space="preserve">), used as the parameter in the probability density function, and thus their movement distances per unit of time were sampled from the same probability distribution (</w:t>
      </w:r>
      <m:oMath>
        <m:r>
          <m:t>f</m:t>
        </m:r>
        <m:r>
          <m:t>(</m:t>
        </m:r>
        <m:r>
          <m:t>x</m:t>
        </m:r>
        <m:r>
          <m:t>;</m:t>
        </m:r>
        <m:r>
          <m:t>λ</m:t>
        </m:r>
        <m:r>
          <m:t>)</m:t>
        </m:r>
        <m:r>
          <m:t>=</m:t>
        </m:r>
        <m:r>
          <m:t>λ</m:t>
        </m:r>
        <m:sSup>
          <m:e>
            <m:r>
              <m:t>e</m:t>
            </m:r>
          </m:e>
          <m:sup>
            <m:r>
              <m:t>−</m:t>
            </m:r>
            <m:r>
              <m:t>λ</m:t>
            </m:r>
            <m:r>
              <m:t>x</m:t>
            </m:r>
          </m:sup>
        </m:sSup>
      </m:oMath>
      <w:r>
        <w:t xml:space="preserve">). Our second scenario included individual variation in animal movement by incorporating different movement rates for each individual (</w:t>
      </w:r>
      <m:oMath>
        <m:sSub>
          <m:e>
            <m:r>
              <m:t>λ</m:t>
            </m:r>
          </m:e>
          <m:sub>
            <m:r>
              <m:t>1</m:t>
            </m:r>
          </m:sub>
        </m:sSub>
        <m:r>
          <m:t>=</m:t>
        </m:r>
        <m:sSub>
          <m:e>
            <m:r>
              <m:t>λ</m:t>
            </m:r>
          </m:e>
          <m:sub>
            <m:r>
              <m:t>2</m:t>
            </m:r>
          </m:sub>
        </m:sSub>
        <m:r>
          <m:t>=</m:t>
        </m:r>
        <m:r>
          <m:t>.</m:t>
        </m:r>
        <m:r>
          <m:t>.</m:t>
        </m:r>
        <m:r>
          <m:t>.</m:t>
        </m:r>
        <m:r>
          <m:t>=</m:t>
        </m:r>
        <m:sSub>
          <m:e>
            <m:r>
              <m:t>λ</m:t>
            </m:r>
          </m:e>
          <m:sub>
            <m:r>
              <m:t>n</m:t>
            </m:r>
          </m:sub>
        </m:sSub>
      </m:oMath>
      <w:r>
        <w:t xml:space="preserve">), which meant that movement distances would be sampled from probability distributions with different parameters (</w:t>
      </w:r>
      <m:oMath>
        <m:r>
          <m:t>f</m:t>
        </m:r>
        <m:r>
          <m:t>(</m:t>
        </m:r>
        <m:r>
          <m:t>x</m:t>
        </m:r>
        <m:r>
          <m:t>;</m:t>
        </m:r>
        <m:sSub>
          <m:e>
            <m:r>
              <m:t>λ</m:t>
            </m:r>
          </m:e>
          <m:sub>
            <m:r>
              <m:t>i</m:t>
            </m:r>
          </m:sub>
        </m:sSub>
        <m:r>
          <m:t>)</m:t>
        </m:r>
        <m:r>
          <m:t>=</m:t>
        </m:r>
        <m:sSub>
          <m:e>
            <m:r>
              <m:t>λ</m:t>
            </m:r>
          </m:e>
          <m:sub>
            <m:r>
              <m:t>i</m:t>
            </m:r>
          </m:sub>
        </m:sSub>
        <m:sSup>
          <m:e>
            <m:r>
              <m:t>e</m:t>
            </m:r>
          </m:e>
          <m:sup>
            <m:r>
              <m:t>−</m:t>
            </m:r>
            <m:sSub>
              <m:e>
                <m:r>
                  <m:t>λ</m:t>
                </m:r>
              </m:e>
              <m:sub>
                <m:r>
                  <m:t>i</m:t>
                </m:r>
              </m:sub>
            </m:sSub>
            <m:r>
              <m:t>x</m:t>
            </m:r>
          </m:sup>
        </m:sSup>
      </m:oMath>
      <w:r>
        <w:t xml:space="preserve">). Considering that not all individuals are independent of each other, and that by belonging to social groups their movement patterns might be correlated, we also ran simulations at the scale of family group variation in animal movement by assigning a different movement rate to each social group in the simulations.</w:t>
      </w:r>
    </w:p>
    <w:p>
      <w:pPr>
        <w:pStyle w:val="SourceCode"/>
      </w:pPr>
      <w:r>
        <w:rPr>
          <w:rStyle w:val="VerbatimChar"/>
        </w:rPr>
        <w:t xml:space="preserve">## </w:t>
      </w:r>
      <w:r>
        <w:br/>
      </w:r>
      <w:r>
        <w:rPr>
          <w:rStyle w:val="VerbatimChar"/>
        </w:rPr>
        <w:t xml:space="preserve">## ********************************************************</w:t>
      </w:r>
    </w:p>
    <w:p>
      <w:pPr>
        <w:pStyle w:val="SourceCode"/>
      </w:pPr>
      <w:r>
        <w:rPr>
          <w:rStyle w:val="VerbatimChar"/>
        </w:rPr>
        <w:t xml:space="preserve">## Note: As of version 1.0.0, cowplot does not change the</w:t>
      </w:r>
    </w:p>
    <w:p>
      <w:pPr>
        <w:pStyle w:val="SourceCode"/>
      </w:pPr>
      <w:r>
        <w:rPr>
          <w:rStyle w:val="VerbatimChar"/>
        </w:rPr>
        <w:t xml:space="preserve">##   default ggplot2 theme anymore. To recover the previous</w:t>
      </w:r>
    </w:p>
    <w:p>
      <w:pPr>
        <w:pStyle w:val="SourceCode"/>
      </w:pPr>
      <w:r>
        <w:rPr>
          <w:rStyle w:val="VerbatimChar"/>
        </w:rPr>
        <w:t xml:space="preserve">##   behavior, execute:</w:t>
      </w:r>
      <w:r>
        <w:br/>
      </w:r>
      <w:r>
        <w:rPr>
          <w:rStyle w:val="VerbatimChar"/>
        </w:rPr>
        <w:t xml:space="preserve">##   theme_set(theme_cowplot())</w:t>
      </w:r>
    </w:p>
    <w:p>
      <w:pPr>
        <w:pStyle w:val="SourceCode"/>
      </w:pPr>
      <w:r>
        <w:rPr>
          <w:rStyle w:val="VerbatimChar"/>
        </w:rPr>
        <w:t xml:space="preserve">## ********************************************************</w:t>
      </w:r>
    </w:p>
    <w:p>
      <w:pPr>
        <w:pStyle w:val="FirstParagraph"/>
      </w:pPr>
      <w:r>
        <w:drawing>
          <wp:inline>
            <wp:extent cx="5544151" cy="3696101"/>
            <wp:effectExtent b="0" l="0" r="0" t="0"/>
            <wp:docPr descr="" title="" id="1" name="Picture"/>
            <a:graphic>
              <a:graphicData uri="http://schemas.openxmlformats.org/drawingml/2006/picture">
                <pic:pic>
                  <pic:nvPicPr>
                    <pic:cNvPr descr="paper_files/figure-docx/unnamed-chunk-1-1.png" id="0" name="Picture"/>
                    <pic:cNvPicPr>
                      <a:picLocks noChangeArrowheads="1" noChangeAspect="1"/>
                    </pic:cNvPicPr>
                  </pic:nvPicPr>
                  <pic:blipFill>
                    <a:blip r:embed="rId24"/>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2"/>
      </w:pPr>
      <w:bookmarkStart w:id="25" w:name="parameterization"/>
      <w:r>
        <w:t xml:space="preserve">Parameterization</w:t>
      </w:r>
      <w:bookmarkEnd w:id="25"/>
    </w:p>
    <w:p>
      <w:pPr>
        <w:pStyle w:val="FirstParagraph"/>
      </w:pPr>
      <w:r>
        <w:t xml:space="preserve">Where is the data coming from?</w:t>
      </w:r>
      <w:r>
        <w:t xml:space="preserve"> </w:t>
      </w:r>
      <w:r>
        <w:t xml:space="preserve">What is a movement rate and how are we calculating it? Why are we using that (uneven time intervals)?</w:t>
      </w:r>
      <w:r>
        <w:t xml:space="preserve"> </w:t>
      </w:r>
      <w:r>
        <w:t xml:space="preserve">Why are we using an exponential distribution and what type of movement is this? It is an uncorrelated random walk, but the step size is different.</w:t>
      </w:r>
    </w:p>
    <w:p>
      <w:pPr>
        <w:pStyle w:val="BodyText"/>
      </w:pPr>
      <w:r>
        <w:t xml:space="preserve">We give randomly between 3-5 seeds, because that’s what’s observed in the field. We are simulating here the trajectory and fate of seeds after only one event of frugivory to make things simpler.</w:t>
      </w:r>
    </w:p>
    <w:p>
      <w:pPr>
        <w:pStyle w:val="BodyText"/>
      </w:pPr>
      <w:r>
        <w:t xml:space="preserve">We have a maximum landscape area, based on the home range size of the individuals, we chose a grid, and it’s modled as a torus so that there is no edge effect.? But do I want this if we want to explore long distance?</w:t>
      </w:r>
    </w:p>
    <w:p>
      <w:pPr>
        <w:pStyle w:val="BodyText"/>
      </w:pPr>
      <w:r>
        <w:t xml:space="preserve">Gut retention time based on data and using a gamma distribution from morales paper.</w:t>
      </w:r>
    </w:p>
    <w:p>
      <w:pPr>
        <w:pStyle w:val="Heading2"/>
      </w:pPr>
      <w:bookmarkStart w:id="26" w:name="X08bb584a24026458267ac8aa257ef35bc9be4e6"/>
      <w:r>
        <w:t xml:space="preserve">Seed dispersal distance and agregation metrics</w:t>
      </w:r>
      <w:bookmarkEnd w:id="26"/>
    </w:p>
    <w:p>
      <w:pPr>
        <w:pStyle w:val="FirstParagraph"/>
      </w:pPr>
      <w:r>
        <w:t xml:space="preserve">How we calculated these distances, the averages and SD, and then how we calculated the dispersion, long distance dispersal events.</w:t>
      </w:r>
    </w:p>
    <w:p>
      <w:pPr>
        <w:pStyle w:val="Heading2"/>
      </w:pPr>
      <w:bookmarkStart w:id="27" w:name="seed-dispersal-kernel-fitting"/>
      <w:r>
        <w:t xml:space="preserve">Seed dispersal kernel fitting</w:t>
      </w:r>
      <w:bookmarkEnd w:id="27"/>
    </w:p>
    <w:p>
      <w:pPr>
        <w:pStyle w:val="FirstParagraph"/>
      </w:pPr>
      <w:r>
        <w:t xml:space="preserve">Look into this, but probably use a Weibull distribution like morales and carlo, and then compare the parameters to describe them. An alternative approach would be to use an extreme distribution like the garcia paper to describe this.</w:t>
      </w:r>
    </w:p>
    <w:p>
      <w:pPr>
        <w:pStyle w:val="Heading1"/>
      </w:pPr>
      <w:bookmarkStart w:id="28" w:name="results"/>
      <w:r>
        <w:t xml:space="preserve">Results</w:t>
      </w:r>
      <w:bookmarkEnd w:id="28"/>
    </w:p>
    <w:p>
      <w:pPr>
        <w:pStyle w:val="Heading2"/>
      </w:pPr>
      <w:bookmarkStart w:id="29" w:name="X517745398f8e01222fa87a48972b438e45beeae"/>
      <w:r>
        <w:t xml:space="preserve">Seed dispersal distances and long distance dispersal</w:t>
      </w:r>
      <w:bookmarkEnd w:id="29"/>
    </w:p>
    <w:p>
      <w:pPr>
        <w:pStyle w:val="Heading2"/>
      </w:pPr>
      <w:bookmarkStart w:id="30" w:name="seed-dispersion-aggregation"/>
      <w:r>
        <w:t xml:space="preserve">Seed dispersion aggregation</w:t>
      </w:r>
      <w:bookmarkEnd w:id="30"/>
    </w:p>
    <w:p>
      <w:pPr>
        <w:pStyle w:val="Heading2"/>
      </w:pPr>
      <w:bookmarkStart w:id="31" w:name="extreme-distributions-to-fit-dispersal"/>
      <w:r>
        <w:t xml:space="preserve">Extreme distributions to fit dispersal</w:t>
      </w:r>
      <w:bookmarkEnd w:id="31"/>
    </w:p>
    <w:p>
      <w:pPr>
        <w:pStyle w:val="Heading1"/>
      </w:pPr>
      <w:bookmarkStart w:id="32" w:name="discussion"/>
      <w:r>
        <w:t xml:space="preserve">Discussion</w:t>
      </w:r>
      <w:bookmarkEnd w:id="32"/>
    </w:p>
    <w:p>
      <w:pPr>
        <w:pStyle w:val="Heading1"/>
      </w:pPr>
      <w:bookmarkStart w:id="33" w:name="conclusion"/>
      <w:r>
        <w:t xml:space="preserve">Conclusion</w:t>
      </w:r>
      <w:bookmarkEnd w:id="33"/>
    </w:p>
    <w:p>
      <w:pPr>
        <w:pStyle w:val="Heading1"/>
      </w:pPr>
      <w:bookmarkStart w:id="34" w:name="acknowledgements"/>
      <w:r>
        <w:t xml:space="preserve">Acknowledgements</w:t>
      </w:r>
      <w:bookmarkEnd w:id="34"/>
    </w:p>
    <w:p>
      <w:pPr>
        <w:pStyle w:val="Heading1"/>
      </w:pPr>
      <w:bookmarkStart w:id="35" w:name="references"/>
      <w:r>
        <w:t xml:space="preserve">References</w:t>
      </w:r>
      <w:bookmarkEnd w:id="35"/>
    </w:p>
    <w:bookmarkStart w:id="87" w:name="refs"/>
    <w:bookmarkStart w:id="37"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6">
        <w:r>
          <w:rPr>
            <w:rStyle w:val="Hyperlink"/>
          </w:rPr>
          <w:t xml:space="preserve">https://doi.org/10.1111/j.1461-0248.2011.01662.x</w:t>
        </w:r>
      </w:hyperlink>
      <w:r>
        <w:t xml:space="preserve">.</w:t>
      </w:r>
    </w:p>
    <w:bookmarkEnd w:id="37"/>
    <w:bookmarkStart w:id="39"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38">
        <w:r>
          <w:rPr>
            <w:rStyle w:val="Hyperlink"/>
          </w:rPr>
          <w:t xml:space="preserve">https://doi.org/10.1890/02-8011</w:t>
        </w:r>
      </w:hyperlink>
      <w:r>
        <w:t xml:space="preserve">.</w:t>
      </w:r>
    </w:p>
    <w:bookmarkEnd w:id="39"/>
    <w:bookmarkStart w:id="41"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40">
        <w:r>
          <w:rPr>
            <w:rStyle w:val="Hyperlink"/>
          </w:rPr>
          <w:t xml:space="preserve">https://doi.org/10.1016/j.tree.2011.01.009</w:t>
        </w:r>
      </w:hyperlink>
      <w:r>
        <w:t xml:space="preserve">.</w:t>
      </w:r>
    </w:p>
    <w:bookmarkEnd w:id="41"/>
    <w:bookmarkStart w:id="43"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2">
        <w:r>
          <w:rPr>
            <w:rStyle w:val="Hyperlink"/>
          </w:rPr>
          <w:t xml:space="preserve">https://doi.org/10.1098/rspb.2010.0018</w:t>
        </w:r>
      </w:hyperlink>
      <w:r>
        <w:t xml:space="preserve">.</w:t>
      </w:r>
    </w:p>
    <w:bookmarkEnd w:id="43"/>
    <w:bookmarkStart w:id="45"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4">
        <w:r>
          <w:rPr>
            <w:rStyle w:val="Hyperlink"/>
          </w:rPr>
          <w:t xml:space="preserve">https://doi.org/10.1086/343878</w:t>
        </w:r>
      </w:hyperlink>
      <w:r>
        <w:t xml:space="preserve">.</w:t>
      </w:r>
    </w:p>
    <w:bookmarkEnd w:id="45"/>
    <w:bookmarkStart w:id="46"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6"/>
    <w:bookmarkStart w:id="47"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7"/>
    <w:bookmarkStart w:id="49"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48">
        <w:r>
          <w:rPr>
            <w:rStyle w:val="Hyperlink"/>
          </w:rPr>
          <w:t xml:space="preserve">https://doi.org/10.1111/j.1469-185X.2012.00250.x</w:t>
        </w:r>
      </w:hyperlink>
      <w:r>
        <w:t xml:space="preserve">.</w:t>
      </w:r>
    </w:p>
    <w:bookmarkEnd w:id="49"/>
    <w:bookmarkStart w:id="50"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50"/>
    <w:bookmarkStart w:id="52"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51">
        <w:r>
          <w:rPr>
            <w:rStyle w:val="Hyperlink"/>
          </w:rPr>
          <w:t xml:space="preserve">https://doi.org/10.1111/ecog.01357</w:t>
        </w:r>
      </w:hyperlink>
      <w:r>
        <w:t xml:space="preserve">.</w:t>
      </w:r>
    </w:p>
    <w:bookmarkEnd w:id="52"/>
    <w:bookmarkStart w:id="54"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53">
        <w:r>
          <w:rPr>
            <w:rStyle w:val="Hyperlink"/>
          </w:rPr>
          <w:t xml:space="preserve">https://doi.org/10.1016/j.tree.2016.06.009</w:t>
        </w:r>
      </w:hyperlink>
      <w:r>
        <w:t xml:space="preserve">.</w:t>
      </w:r>
    </w:p>
    <w:bookmarkEnd w:id="54"/>
    <w:bookmarkStart w:id="56"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55">
        <w:r>
          <w:rPr>
            <w:rStyle w:val="Hyperlink"/>
          </w:rPr>
          <w:t xml:space="preserve">https://doi.org/10.1111/j.1744-7429.2010.00710.x</w:t>
        </w:r>
      </w:hyperlink>
      <w:r>
        <w:t xml:space="preserve">.</w:t>
      </w:r>
    </w:p>
    <w:bookmarkEnd w:id="56"/>
    <w:bookmarkStart w:id="57"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57"/>
    <w:bookmarkStart w:id="59"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58">
        <w:r>
          <w:rPr>
            <w:rStyle w:val="Hyperlink"/>
          </w:rPr>
          <w:t xml:space="preserve">https://doi.org/10.1890/08-1332.1</w:t>
        </w:r>
      </w:hyperlink>
      <w:r>
        <w:t xml:space="preserve">.</w:t>
      </w:r>
    </w:p>
    <w:bookmarkEnd w:id="59"/>
    <w:bookmarkStart w:id="60"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60"/>
    <w:bookmarkStart w:id="61"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61"/>
    <w:bookmarkStart w:id="62"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62"/>
    <w:bookmarkStart w:id="64"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63">
        <w:r>
          <w:rPr>
            <w:rStyle w:val="Hyperlink"/>
          </w:rPr>
          <w:t xml:space="preserve">https://www.jstor.org/stable/3451006</w:t>
        </w:r>
      </w:hyperlink>
      <w:r>
        <w:t xml:space="preserve">.</w:t>
      </w:r>
    </w:p>
    <w:bookmarkEnd w:id="64"/>
    <w:bookmarkStart w:id="66"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65">
        <w:r>
          <w:rPr>
            <w:rStyle w:val="Hyperlink"/>
          </w:rPr>
          <w:t xml:space="preserve">https://doi.org/10.1002/ece3.3113</w:t>
        </w:r>
      </w:hyperlink>
      <w:r>
        <w:t xml:space="preserve">.</w:t>
      </w:r>
    </w:p>
    <w:bookmarkEnd w:id="66"/>
    <w:bookmarkStart w:id="67"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67"/>
    <w:bookmarkStart w:id="68"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68"/>
    <w:bookmarkStart w:id="70"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69">
        <w:r>
          <w:rPr>
            <w:rStyle w:val="Hyperlink"/>
          </w:rPr>
          <w:t xml:space="preserve">https://doi.org/10.1890/0012-9658(2006)87[1489:TEOPDA]2.0.CO;2</w:t>
        </w:r>
      </w:hyperlink>
      <w:r>
        <w:t xml:space="preserve">.</w:t>
      </w:r>
    </w:p>
    <w:bookmarkEnd w:id="70"/>
    <w:bookmarkStart w:id="71"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71"/>
    <w:bookmarkStart w:id="73"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72">
        <w:r>
          <w:rPr>
            <w:rStyle w:val="Hyperlink"/>
          </w:rPr>
          <w:t xml:space="preserve">https://doi.org/10.1016/S0169-5347(00)01874-7</w:t>
        </w:r>
      </w:hyperlink>
      <w:r>
        <w:t xml:space="preserve">.</w:t>
      </w:r>
    </w:p>
    <w:bookmarkEnd w:id="73"/>
    <w:bookmarkStart w:id="75"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74">
        <w:r>
          <w:rPr>
            <w:rStyle w:val="Hyperlink"/>
          </w:rPr>
          <w:t xml:space="preserve">https://doi.org/10.1890/07-1216.1</w:t>
        </w:r>
      </w:hyperlink>
      <w:r>
        <w:t xml:space="preserve">.</w:t>
      </w:r>
    </w:p>
    <w:bookmarkEnd w:id="75"/>
    <w:bookmarkStart w:id="77"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76">
        <w:r>
          <w:rPr>
            <w:rStyle w:val="Hyperlink"/>
          </w:rPr>
          <w:t xml:space="preserve">https://doi.org/10.1890/0012-9658(2006)87[3160:IABISD]2.0.CO;2</w:t>
        </w:r>
      </w:hyperlink>
      <w:r>
        <w:t xml:space="preserve">.</w:t>
      </w:r>
    </w:p>
    <w:bookmarkEnd w:id="77"/>
    <w:bookmarkStart w:id="78"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78"/>
    <w:bookmarkStart w:id="80"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79">
        <w:r>
          <w:rPr>
            <w:rStyle w:val="Hyperlink"/>
          </w:rPr>
          <w:t xml:space="preserve">https://doi.org/10.1111/j.1469-8137.2010.03402.x</w:t>
        </w:r>
      </w:hyperlink>
      <w:r>
        <w:t xml:space="preserve">.</w:t>
      </w:r>
    </w:p>
    <w:bookmarkEnd w:id="80"/>
    <w:bookmarkStart w:id="82"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81">
        <w:r>
          <w:rPr>
            <w:rStyle w:val="Hyperlink"/>
          </w:rPr>
          <w:t xml:space="preserve">https://doi.org/10.1016/j.tree.2011.11.014</w:t>
        </w:r>
      </w:hyperlink>
      <w:r>
        <w:t xml:space="preserve">.</w:t>
      </w:r>
    </w:p>
    <w:bookmarkEnd w:id="82"/>
    <w:bookmarkStart w:id="84"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83">
        <w:r>
          <w:rPr>
            <w:rStyle w:val="Hyperlink"/>
          </w:rPr>
          <w:t xml:space="preserve">https://doi.org/10.1016/j.tree.2012.05.001</w:t>
        </w:r>
      </w:hyperlink>
      <w:r>
        <w:t xml:space="preserve">.</w:t>
      </w:r>
    </w:p>
    <w:bookmarkEnd w:id="84"/>
    <w:bookmarkStart w:id="86"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85">
        <w:r>
          <w:rPr>
            <w:rStyle w:val="Hyperlink"/>
          </w:rPr>
          <w:t xml:space="preserve">https://doi.org/10.1111/brv.12377</w:t>
        </w:r>
      </w:hyperlink>
      <w:r>
        <w:t xml:space="preserve">.</w:t>
      </w:r>
    </w:p>
    <w:bookmarkEnd w:id="86"/>
    <w:bookmarkEnd w:id="87"/>
    <w:sectPr w:rsidR="0045205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5" Target="https://doi.org/10.1002/ece3.3113" TargetMode="External" /><Relationship Type="http://schemas.openxmlformats.org/officeDocument/2006/relationships/hyperlink" Id="rId72" Target="https://doi.org/10.1016/S0169-5347(00)01874-7" TargetMode="External" /><Relationship Type="http://schemas.openxmlformats.org/officeDocument/2006/relationships/hyperlink" Id="rId40" Target="https://doi.org/10.1016/j.tree.2011.01.009" TargetMode="External" /><Relationship Type="http://schemas.openxmlformats.org/officeDocument/2006/relationships/hyperlink" Id="rId81" Target="https://doi.org/10.1016/j.tree.2011.11.014" TargetMode="External" /><Relationship Type="http://schemas.openxmlformats.org/officeDocument/2006/relationships/hyperlink" Id="rId83" Target="https://doi.org/10.1016/j.tree.2012.05.001" TargetMode="External" /><Relationship Type="http://schemas.openxmlformats.org/officeDocument/2006/relationships/hyperlink" Id="rId53" Target="https://doi.org/10.1016/j.tree.2016.06.009" TargetMode="External" /><Relationship Type="http://schemas.openxmlformats.org/officeDocument/2006/relationships/hyperlink" Id="rId44" Target="https://doi.org/10.1086/343878" TargetMode="External" /><Relationship Type="http://schemas.openxmlformats.org/officeDocument/2006/relationships/hyperlink" Id="rId42" Target="https://doi.org/10.1098/rspb.2010.0018" TargetMode="External" /><Relationship Type="http://schemas.openxmlformats.org/officeDocument/2006/relationships/hyperlink" Id="rId85" Target="https://doi.org/10.1111/brv.12377" TargetMode="External" /><Relationship Type="http://schemas.openxmlformats.org/officeDocument/2006/relationships/hyperlink" Id="rId51" Target="https://doi.org/10.1111/ecog.01357" TargetMode="External" /><Relationship Type="http://schemas.openxmlformats.org/officeDocument/2006/relationships/hyperlink" Id="rId36" Target="https://doi.org/10.1111/j.1461-0248.2011.01662.x" TargetMode="External" /><Relationship Type="http://schemas.openxmlformats.org/officeDocument/2006/relationships/hyperlink" Id="rId48" Target="https://doi.org/10.1111/j.1469-185X.2012.00250.x" TargetMode="External" /><Relationship Type="http://schemas.openxmlformats.org/officeDocument/2006/relationships/hyperlink" Id="rId79" Target="https://doi.org/10.1111/j.1469-8137.2010.03402.x" TargetMode="External" /><Relationship Type="http://schemas.openxmlformats.org/officeDocument/2006/relationships/hyperlink" Id="rId55" Target="https://doi.org/10.1111/j.1744-7429.2010.00710.x" TargetMode="External" /><Relationship Type="http://schemas.openxmlformats.org/officeDocument/2006/relationships/hyperlink" Id="rId69" Target="https://doi.org/10.1890/0012-9658(2006)87%5B1489:TEOPDA%5D2.0.CO;2" TargetMode="External" /><Relationship Type="http://schemas.openxmlformats.org/officeDocument/2006/relationships/hyperlink" Id="rId76" Target="https://doi.org/10.1890/0012-9658(2006)87%5B3160:IABISD%5D2.0.CO;2" TargetMode="External" /><Relationship Type="http://schemas.openxmlformats.org/officeDocument/2006/relationships/hyperlink" Id="rId38" Target="https://doi.org/10.1890/02-8011" TargetMode="External" /><Relationship Type="http://schemas.openxmlformats.org/officeDocument/2006/relationships/hyperlink" Id="rId74" Target="https://doi.org/10.1890/07-1216.1" TargetMode="External" /><Relationship Type="http://schemas.openxmlformats.org/officeDocument/2006/relationships/hyperlink" Id="rId58" Target="https://doi.org/10.1890/08-1332.1" TargetMode="External" /><Relationship Type="http://schemas.openxmlformats.org/officeDocument/2006/relationships/hyperlink" Id="rId63"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02/ece3.3113" TargetMode="External" /><Relationship Type="http://schemas.openxmlformats.org/officeDocument/2006/relationships/hyperlink" Id="rId72" Target="https://doi.org/10.1016/S0169-5347(00)01874-7" TargetMode="External" /><Relationship Type="http://schemas.openxmlformats.org/officeDocument/2006/relationships/hyperlink" Id="rId40" Target="https://doi.org/10.1016/j.tree.2011.01.009" TargetMode="External" /><Relationship Type="http://schemas.openxmlformats.org/officeDocument/2006/relationships/hyperlink" Id="rId81" Target="https://doi.org/10.1016/j.tree.2011.11.014" TargetMode="External" /><Relationship Type="http://schemas.openxmlformats.org/officeDocument/2006/relationships/hyperlink" Id="rId83" Target="https://doi.org/10.1016/j.tree.2012.05.001" TargetMode="External" /><Relationship Type="http://schemas.openxmlformats.org/officeDocument/2006/relationships/hyperlink" Id="rId53" Target="https://doi.org/10.1016/j.tree.2016.06.009" TargetMode="External" /><Relationship Type="http://schemas.openxmlformats.org/officeDocument/2006/relationships/hyperlink" Id="rId44" Target="https://doi.org/10.1086/343878" TargetMode="External" /><Relationship Type="http://schemas.openxmlformats.org/officeDocument/2006/relationships/hyperlink" Id="rId42" Target="https://doi.org/10.1098/rspb.2010.0018" TargetMode="External" /><Relationship Type="http://schemas.openxmlformats.org/officeDocument/2006/relationships/hyperlink" Id="rId85" Target="https://doi.org/10.1111/brv.12377" TargetMode="External" /><Relationship Type="http://schemas.openxmlformats.org/officeDocument/2006/relationships/hyperlink" Id="rId51" Target="https://doi.org/10.1111/ecog.01357" TargetMode="External" /><Relationship Type="http://schemas.openxmlformats.org/officeDocument/2006/relationships/hyperlink" Id="rId36" Target="https://doi.org/10.1111/j.1461-0248.2011.01662.x" TargetMode="External" /><Relationship Type="http://schemas.openxmlformats.org/officeDocument/2006/relationships/hyperlink" Id="rId48" Target="https://doi.org/10.1111/j.1469-185X.2012.00250.x" TargetMode="External" /><Relationship Type="http://schemas.openxmlformats.org/officeDocument/2006/relationships/hyperlink" Id="rId79" Target="https://doi.org/10.1111/j.1469-8137.2010.03402.x" TargetMode="External" /><Relationship Type="http://schemas.openxmlformats.org/officeDocument/2006/relationships/hyperlink" Id="rId55" Target="https://doi.org/10.1111/j.1744-7429.2010.00710.x" TargetMode="External" /><Relationship Type="http://schemas.openxmlformats.org/officeDocument/2006/relationships/hyperlink" Id="rId69" Target="https://doi.org/10.1890/0012-9658(2006)87%5B1489:TEOPDA%5D2.0.CO;2" TargetMode="External" /><Relationship Type="http://schemas.openxmlformats.org/officeDocument/2006/relationships/hyperlink" Id="rId76" Target="https://doi.org/10.1890/0012-9658(2006)87%5B3160:IABISD%5D2.0.CO;2" TargetMode="External" /><Relationship Type="http://schemas.openxmlformats.org/officeDocument/2006/relationships/hyperlink" Id="rId38" Target="https://doi.org/10.1890/02-8011" TargetMode="External" /><Relationship Type="http://schemas.openxmlformats.org/officeDocument/2006/relationships/hyperlink" Id="rId74" Target="https://doi.org/10.1890/07-1216.1" TargetMode="External" /><Relationship Type="http://schemas.openxmlformats.org/officeDocument/2006/relationships/hyperlink" Id="rId58" Target="https://doi.org/10.1890/08-1332.1" TargetMode="External" /><Relationship Type="http://schemas.openxmlformats.org/officeDocument/2006/relationships/hyperlink" Id="rId63"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2021-01-07T21:17:07Z</dcterms:created>
  <dcterms:modified xsi:type="dcterms:W3CDTF">2021-01-07T21:17:07Z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Pteroglossus pluricintus, one of the primary frugivores for the Amazonian canopy tree Virola flexuosa. We combine animal movement data and gut retention time to simulate Virola seed dispersal. This approach showed that there is significant variation in individual araçari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