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7poqycoqb01w" w:id="0"/>
      <w:bookmarkEnd w:id="0"/>
      <w:r w:rsidDel="00000000" w:rsidR="00000000" w:rsidRPr="00000000">
        <w:rPr>
          <w:rtl w:val="0"/>
        </w:rPr>
        <w:t xml:space="preserve">Cardiovascular diseases (CVD), defined as </w:t>
      </w:r>
      <w:r w:rsidDel="00000000" w:rsidR="00000000" w:rsidRPr="00000000">
        <w:rPr>
          <w:rtl w:val="0"/>
        </w:rPr>
        <w:t xml:space="preserve">a general term for conditions affecting the heart or blood vessels,  </w:t>
      </w:r>
      <w:r w:rsidDel="00000000" w:rsidR="00000000" w:rsidRPr="00000000">
        <w:rPr>
          <w:rtl w:val="0"/>
        </w:rPr>
        <w:t xml:space="preserve">is </w:t>
      </w:r>
      <w:r w:rsidDel="00000000" w:rsidR="00000000" w:rsidRPr="00000000">
        <w:rPr>
          <w:rtl w:val="0"/>
        </w:rPr>
        <w:t xml:space="preserve">one</w:t>
      </w:r>
      <w:r w:rsidDel="00000000" w:rsidR="00000000" w:rsidRPr="00000000">
        <w:rPr>
          <w:rtl w:val="0"/>
        </w:rPr>
        <w:t xml:space="preserve"> of the main </w:t>
      </w:r>
      <w:r w:rsidDel="00000000" w:rsidR="00000000" w:rsidRPr="00000000">
        <w:rPr>
          <w:rtl w:val="0"/>
        </w:rPr>
        <w:t xml:space="preserve">causes</w:t>
      </w:r>
      <w:r w:rsidDel="00000000" w:rsidR="00000000" w:rsidRPr="00000000">
        <w:rPr>
          <w:rtl w:val="0"/>
        </w:rPr>
        <w:t xml:space="preserve"> of mortality and morbidity as well as </w:t>
      </w:r>
      <w:r w:rsidDel="00000000" w:rsidR="00000000" w:rsidRPr="00000000">
        <w:rPr>
          <w:rtl w:val="0"/>
        </w:rPr>
        <w:t xml:space="preserve">healthcare costs</w:t>
      </w:r>
      <w:r w:rsidDel="00000000" w:rsidR="00000000" w:rsidRPr="00000000">
        <w:rPr>
          <w:rtl w:val="0"/>
        </w:rPr>
        <w:t xml:space="preserve">.</w:t>
      </w:r>
      <w:r w:rsidDel="00000000" w:rsidR="00000000" w:rsidRPr="00000000">
        <w:rPr>
          <w:rtl w:val="0"/>
        </w:rPr>
        <w:t xml:space="preserve"> There is evidence that age, high blood pressure, smoking, dyslipidemia and diabetes are the main factors that </w:t>
      </w:r>
      <w:r w:rsidDel="00000000" w:rsidR="00000000" w:rsidRPr="00000000">
        <w:rPr>
          <w:rtl w:val="0"/>
        </w:rPr>
        <w:t xml:space="preserve">improve</w:t>
      </w:r>
      <w:r w:rsidDel="00000000" w:rsidR="00000000" w:rsidRPr="00000000">
        <w:rPr>
          <w:rtl w:val="0"/>
        </w:rPr>
        <w:t xml:space="preserve"> risk of cardiovascular diseases.</w:t>
      </w:r>
    </w:p>
    <w:p w:rsidR="00000000" w:rsidDel="00000000" w:rsidP="00000000" w:rsidRDefault="00000000" w:rsidRPr="00000000" w14:paraId="00000002">
      <w:pPr>
        <w:rPr/>
      </w:pPr>
      <w:bookmarkStart w:colFirst="0" w:colLast="0" w:name="_heading=h.854zscwajkyd"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467100" cy="2295525"/>
                <wp:effectExtent b="0" l="0" r="0" t="0"/>
                <wp:wrapNone/>
                <wp:docPr id="5" name=""/>
                <a:graphic>
                  <a:graphicData uri="http://schemas.microsoft.com/office/word/2010/wordprocessingGroup">
                    <wpg:wgp>
                      <wpg:cNvGrpSpPr/>
                      <wpg:grpSpPr>
                        <a:xfrm>
                          <a:off x="3612450" y="2632238"/>
                          <a:ext cx="3467100" cy="2295525"/>
                          <a:chOff x="3612450" y="2632238"/>
                          <a:chExt cx="3467100" cy="2295525"/>
                        </a:xfrm>
                      </wpg:grpSpPr>
                      <wpg:grpSp>
                        <wpg:cNvGrpSpPr/>
                        <wpg:grpSpPr>
                          <a:xfrm>
                            <a:off x="3612450" y="2632238"/>
                            <a:ext cx="3467100" cy="2295525"/>
                            <a:chOff x="0" y="0"/>
                            <a:chExt cx="5205006" cy="3597321"/>
                          </a:xfrm>
                        </wpg:grpSpPr>
                        <wps:wsp>
                          <wps:cNvSpPr/>
                          <wps:cNvPr id="3" name="Shape 3"/>
                          <wps:spPr>
                            <a:xfrm>
                              <a:off x="0" y="0"/>
                              <a:ext cx="5205000" cy="35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7">
                              <a:alphaModFix/>
                            </a:blip>
                            <a:srcRect b="32986" l="53416" r="30282" t="26214"/>
                            <a:stretch/>
                          </pic:blipFill>
                          <pic:spPr>
                            <a:xfrm>
                              <a:off x="0" y="612821"/>
                              <a:ext cx="2120901" cy="2984500"/>
                            </a:xfrm>
                            <a:prstGeom prst="rect">
                              <a:avLst/>
                            </a:prstGeom>
                            <a:noFill/>
                            <a:ln>
                              <a:noFill/>
                            </a:ln>
                          </pic:spPr>
                        </pic:pic>
                        <pic:pic>
                          <pic:nvPicPr>
                            <pic:cNvPr id="5" name="Shape 5"/>
                            <pic:cNvPicPr preferRelativeResize="0"/>
                          </pic:nvPicPr>
                          <pic:blipFill rotWithShape="1">
                            <a:blip r:embed="rId7">
                              <a:alphaModFix/>
                            </a:blip>
                            <a:srcRect b="75000" l="29405" r="32333" t="18577"/>
                            <a:stretch/>
                          </pic:blipFill>
                          <pic:spPr>
                            <a:xfrm>
                              <a:off x="28575" y="0"/>
                              <a:ext cx="4978400" cy="469900"/>
                            </a:xfrm>
                            <a:prstGeom prst="rect">
                              <a:avLst/>
                            </a:prstGeom>
                            <a:noFill/>
                            <a:ln>
                              <a:noFill/>
                            </a:ln>
                          </pic:spPr>
                        </pic:pic>
                        <pic:pic>
                          <pic:nvPicPr>
                            <pic:cNvPr id="6" name="Shape 6"/>
                            <pic:cNvPicPr preferRelativeResize="0"/>
                          </pic:nvPicPr>
                          <pic:blipFill rotWithShape="1">
                            <a:blip r:embed="rId7">
                              <a:alphaModFix/>
                            </a:blip>
                            <a:srcRect b="26433" l="59271" r="22865" t="69271"/>
                            <a:stretch/>
                          </pic:blipFill>
                          <pic:spPr>
                            <a:xfrm>
                              <a:off x="2487206" y="2327204"/>
                              <a:ext cx="2324100" cy="314325"/>
                            </a:xfrm>
                            <a:prstGeom prst="rect">
                              <a:avLst/>
                            </a:prstGeom>
                            <a:noFill/>
                            <a:ln>
                              <a:noFill/>
                            </a:ln>
                          </pic:spPr>
                        </pic:pic>
                        <pic:pic>
                          <pic:nvPicPr>
                            <pic:cNvPr id="7" name="Shape 7"/>
                            <pic:cNvPicPr preferRelativeResize="0"/>
                          </pic:nvPicPr>
                          <pic:blipFill rotWithShape="1">
                            <a:blip r:embed="rId7">
                              <a:alphaModFix/>
                            </a:blip>
                            <a:srcRect b="26909" l="37702" r="41409" t="69271"/>
                            <a:stretch/>
                          </pic:blipFill>
                          <pic:spPr>
                            <a:xfrm>
                              <a:off x="2487206" y="2776351"/>
                              <a:ext cx="2717800" cy="279400"/>
                            </a:xfrm>
                            <a:prstGeom prst="rect">
                              <a:avLst/>
                            </a:prstGeom>
                            <a:noFill/>
                            <a:ln>
                              <a:noFill/>
                            </a:ln>
                          </pic:spPr>
                        </pic:pic>
                        <pic:pic>
                          <pic:nvPicPr>
                            <pic:cNvPr id="8" name="Shape 8"/>
                            <pic:cNvPicPr preferRelativeResize="0"/>
                          </pic:nvPicPr>
                          <pic:blipFill rotWithShape="1">
                            <a:blip r:embed="rId7">
                              <a:alphaModFix/>
                            </a:blip>
                            <a:srcRect b="27255" l="24915" r="62883" t="69271"/>
                            <a:stretch/>
                          </pic:blipFill>
                          <pic:spPr>
                            <a:xfrm>
                              <a:off x="2539184" y="1938382"/>
                              <a:ext cx="1587500" cy="25400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467100" cy="2295525"/>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467100" cy="2295525"/>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Helvetica Neue" w:cs="Helvetica Neue" w:eastAsia="Helvetica Neue" w:hAnsi="Helvetica Neue"/>
          <w:sz w:val="24"/>
          <w:szCs w:val="24"/>
          <w:highlight w:val="white"/>
        </w:rPr>
      </w:pPr>
      <w:r w:rsidDel="00000000" w:rsidR="00000000" w:rsidRPr="00000000">
        <w:rPr>
          <w:rtl w:val="0"/>
        </w:rPr>
        <w:t xml:space="preserve">Global Burden of Cardiovascular Diseases </w:t>
      </w:r>
      <w:r w:rsidDel="00000000" w:rsidR="00000000" w:rsidRPr="00000000">
        <w:rPr>
          <w:rtl w:val="0"/>
        </w:rPr>
        <w:t xml:space="preserve"> nearly doubled </w:t>
      </w:r>
      <w:r w:rsidDel="00000000" w:rsidR="00000000" w:rsidRPr="00000000">
        <w:rPr>
          <w:rtl w:val="0"/>
        </w:rPr>
        <w:t xml:space="preserve"> from 1990 (with 271 million) to 2019 (with 532 million). Likewise, the number of deaths increased from 12.1 million in 1990 to 18.6 million in 2019. </w:t>
      </w:r>
      <w:r w:rsidDel="00000000" w:rsidR="00000000" w:rsidRPr="00000000">
        <w:rPr>
          <w:rtl w:val="0"/>
        </w:rPr>
        <w:t xml:space="preserve">China, India, Russia, the United States and Indonesia have currently the highest number of deaths from CVD. Cardiovascular diseases were  estimated to cause about 32% of all deaths in Argentina in 2009.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drawing>
          <wp:inline distB="0" distT="0" distL="0" distR="0">
            <wp:extent cx="5612130" cy="2193925"/>
            <wp:effectExtent b="0" l="0" r="0" t="0"/>
            <wp:docPr id="6" name="image1.png"/>
            <a:graphic>
              <a:graphicData uri="http://schemas.openxmlformats.org/drawingml/2006/picture">
                <pic:pic>
                  <pic:nvPicPr>
                    <pic:cNvPr id="0" name="image1.png"/>
                    <pic:cNvPicPr preferRelativeResize="0"/>
                  </pic:nvPicPr>
                  <pic:blipFill>
                    <a:blip r:embed="rId9"/>
                    <a:srcRect b="26823" l="14567" r="19327" t="27212"/>
                    <a:stretch>
                      <a:fillRect/>
                    </a:stretch>
                  </pic:blipFill>
                  <pic:spPr>
                    <a:xfrm>
                      <a:off x="0" y="0"/>
                      <a:ext cx="5612130" cy="21939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Arial" w:cs="Arial" w:eastAsia="Arial" w:hAnsi="Arial"/>
          <w:b w:val="1"/>
          <w:color w:val="5f6368"/>
          <w:sz w:val="21"/>
          <w:szCs w:val="21"/>
          <w:highlight w:val="white"/>
        </w:rPr>
      </w:pPr>
      <w:r w:rsidDel="00000000" w:rsidR="00000000" w:rsidRPr="00000000">
        <w:rPr>
          <w:rtl w:val="0"/>
        </w:rPr>
        <w:t xml:space="preserve">Consistent</w:t>
      </w:r>
      <w:r w:rsidDel="00000000" w:rsidR="00000000" w:rsidRPr="00000000">
        <w:rPr>
          <w:rtl w:val="0"/>
        </w:rPr>
        <w:t xml:space="preserve">, comparable, and </w:t>
      </w:r>
      <w:r w:rsidDel="00000000" w:rsidR="00000000" w:rsidRPr="00000000">
        <w:rPr>
          <w:rtl w:val="0"/>
        </w:rPr>
        <w:t xml:space="preserve">systematic analysis</w:t>
      </w:r>
      <w:r w:rsidDel="00000000" w:rsidR="00000000" w:rsidRPr="00000000">
        <w:rPr>
          <w:rtl w:val="0"/>
        </w:rPr>
        <w:t xml:space="preserve"> of </w:t>
      </w:r>
      <w:r w:rsidDel="00000000" w:rsidR="00000000" w:rsidRPr="00000000">
        <w:rPr>
          <w:rtl w:val="0"/>
        </w:rPr>
        <w:t xml:space="preserve">long</w:t>
      </w:r>
      <w:r w:rsidDel="00000000" w:rsidR="00000000" w:rsidRPr="00000000">
        <w:rPr>
          <w:rtl w:val="0"/>
        </w:rPr>
        <w:t xml:space="preserve">-</w:t>
      </w:r>
      <w:r w:rsidDel="00000000" w:rsidR="00000000" w:rsidRPr="00000000">
        <w:rPr>
          <w:rtl w:val="0"/>
        </w:rPr>
        <w:t xml:space="preserve">term trends</w:t>
      </w:r>
      <w:r w:rsidDel="00000000" w:rsidR="00000000" w:rsidRPr="00000000">
        <w:rPr>
          <w:rtl w:val="0"/>
        </w:rPr>
        <w:t xml:space="preserve"> and patterns in global </w:t>
      </w:r>
      <w:r w:rsidDel="00000000" w:rsidR="00000000" w:rsidRPr="00000000">
        <w:rPr>
          <w:rtl w:val="0"/>
        </w:rPr>
        <w:t xml:space="preserve">CVD</w:t>
      </w:r>
      <w:r w:rsidDel="00000000" w:rsidR="00000000" w:rsidRPr="00000000">
        <w:rPr>
          <w:rtl w:val="0"/>
        </w:rPr>
        <w:t xml:space="preserve"> are essential to guide public policy </w:t>
      </w:r>
      <w:r w:rsidDel="00000000" w:rsidR="00000000" w:rsidRPr="00000000">
        <w:rPr>
          <w:rtl w:val="0"/>
        </w:rPr>
        <w:t xml:space="preserve">and provide benchmarks for decision makers</w:t>
      </w:r>
      <w:r w:rsidDel="00000000" w:rsidR="00000000" w:rsidRPr="00000000">
        <w:rPr>
          <w:rtl w:val="0"/>
        </w:rPr>
        <w:t xml:space="preserve">. </w:t>
      </w:r>
      <w:r w:rsidDel="00000000" w:rsidR="00000000" w:rsidRPr="00000000">
        <w:rPr>
          <w:rtl w:val="0"/>
        </w:rPr>
        <w:t xml:space="preserve">Countries should invest in existing cost-effective public health programs and clinical interventions to target modifiable risks, promote healthy aging across the lifespan, and reduce disability and premature death due to CVD. </w:t>
      </w:r>
      <w:r w:rsidDel="00000000" w:rsidR="00000000" w:rsidRPr="00000000">
        <w:rPr>
          <w:rtl w:val="0"/>
        </w:rPr>
        <w:t xml:space="preserve">The increase in healthcare costs entails a great burden, both for patients and for the general population. For example, </w:t>
      </w:r>
      <w:r w:rsidDel="00000000" w:rsidR="00000000" w:rsidRPr="00000000">
        <w:rPr>
          <w:rtl w:val="0"/>
        </w:rPr>
        <w:t xml:space="preserve">CVD was estimated to cost the EU Euro 169 billion annually,</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Since CVD are multifactorial, to estimate the risk of apparently healthy people experiencing a vascular event, it is necessary to monitor and act upon several different risk factors at the same time. </w:t>
      </w:r>
      <w:r w:rsidDel="00000000" w:rsidR="00000000" w:rsidRPr="00000000">
        <w:rPr>
          <w:rtl w:val="0"/>
        </w:rPr>
        <w:t xml:space="preserve"> Both the American Heart Association and Argentine Society of Cardiology recommend routinely evaluating cardiovascular risk factors and calculating the risk of CVD at 10 years (level of evidence IB), with the aim of identifying those people who should benefit most from preventive action.</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505050"/>
        </w:rPr>
      </w:pPr>
      <w:bookmarkStart w:colFirst="0" w:colLast="0" w:name="_heading=h.rubpu3wbpq4z" w:id="2"/>
      <w:bookmarkEnd w:id="2"/>
      <w:r w:rsidDel="00000000" w:rsidR="00000000" w:rsidRPr="00000000">
        <w:rPr>
          <w:b w:val="0"/>
          <w:sz w:val="22"/>
          <w:szCs w:val="22"/>
          <w:rtl w:val="0"/>
        </w:rPr>
        <w:t xml:space="preserve">References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Zylbersztejn H, Giorgi 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Evaluación global de los factores de riesgo cardiovascular. Cálculo del riesgo miembros.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Revista Argentina de Cardiología: Consenso de Prevención Cardiovascular. Vol 80; Supl 2; Año 2012.</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Arnett DK, Blumenthal RS, Albert MA, Buroker AB, Goldberger ZD, Hahn EJ et 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2019 ACC/AHA guideline on the primary prevention of cardiovascular disease: a report of the American College of Cardiology/American Heart Association Task Force on Clinical Practice Guidelines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2019;140:e596–e646.</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Roth G, Mensah G,  Johnson C, Addolorato G, Ammirati E, Baddour L et 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Global Burden of Cardiovascular Diseases and Risk Factors, 1990–2019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2020 Dec 22;76(25):2982-3021.</w:t>
      </w:r>
    </w:p>
    <w:p w:rsidR="00000000" w:rsidDel="00000000" w:rsidP="00000000" w:rsidRDefault="00000000" w:rsidRPr="00000000" w14:paraId="00000015">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5202D"/>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B5202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xG6hRj9HPQCFq6z/R3z7boqCw==">AMUW2mWXirlv/N0JTjQ0FnTR/j0KWTAt3OLTJs3Ar5RAz+5xFr5W7qfJfZSWkHmCqv5XYmeqMbLEG2Vfkr7joo36DUqPXBBAUcZtECWtcjaD4HUSkanrK/N2JCDVbDyva8nPqR/67RM7NzA5dSbBGxtmxUQl6mHHw/WgcmUgnImJDfnDGGyPYQ0=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2022-05-30T01:23:00Z</dcterms:created>
  <dc:creator>Usuario</dc:creator>
</cp:coreProperties>
</file>