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2"/>
        </w:numPr>
      </w:pPr>
      <w:r>
        <w:t xml:space="preserve">Primer paso</w:t>
      </w:r>
    </w:p>
    <w:p>
      <w:pPr>
        <w:numPr>
          <w:ilvl w:val="0"/>
          <w:numId w:val="2"/>
        </w:numPr>
      </w:pPr>
      <w:r>
        <w:t xml:space="preserve">Segundo paso</w:t>
      </w:r>
    </w:p>
    <w:p>
      <w:pPr/>
      <w:r>
        <w:t xml:space="preserve">Texto intermedio</w:t>
      </w:r>
    </w:p>
    <w:p>
      <w:pPr>
        <w:numPr>
          <w:ilvl w:val="0"/>
          <w:numId w:val="3"/>
        </w:numPr>
      </w:pPr>
      <w:r>
        <w:t xml:space="preserve">Nuevo primer paso</w:t>
      </w:r>
    </w:p>
    <w:p>
      <w:pPr>
        <w:numPr>
          <w:ilvl w:val="0"/>
          <w:numId w:val="1"/>
        </w:numPr>
      </w:pPr>
      <w:r>
        <w:t xml:space="preserve">Nota con viñeta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40"/>
    </w:rPr>
  </w:style>
  <w:style w:type="paragraph" w:styleId="Heading1">
    <w:name w:val="heading 1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