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aconcuadrcula"/>
        <w:tblW w:w="10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85"/>
      </w:tblGrid>
      <w:tr>
        <w:trPr/>
        <w:tc>
          <w:tcPr>
            <w:tcW w:w="10885" w:type="dxa"/>
            <w:tcBorders/>
            <w:shd w:color="auto" w:fill="2F4060" w:val="clear"/>
          </w:tcPr>
          <w:p>
            <w:pPr>
              <w:pStyle w:val="Normal"/>
              <w:widowControl/>
              <w:spacing w:lineRule="auto" w:line="240" w:before="0" w:after="0"/>
              <w:jc w:val="center"/>
              <w:rPr>
                <w:b/>
                <w:bCs/>
                <w:color w:themeColor="background1" w:val="FFFFFF"/>
                <w:sz w:val="36"/>
                <w:szCs w:val="36"/>
              </w:rPr>
            </w:pPr>
            <w:r>
              <w:rPr>
                <w:rFonts w:eastAsia="Calibri" w:cs="Arial"/>
                <w:b/>
                <w:bCs/>
                <w:color w:themeColor="background1" w:val="FFFFFF"/>
                <w:kern w:val="2"/>
                <w:sz w:val="36"/>
                <w:szCs w:val="36"/>
                <w:lang w:val="es-PE" w:eastAsia="en-US" w:bidi="ar-SA"/>
              </w:rPr>
              <w:t>Sesión de Aprendizaje</w:t>
            </w:r>
          </w:p>
        </w:tc>
      </w:tr>
    </w:tbl>
    <w:p>
      <w:pPr>
        <w:pStyle w:val="Normal"/>
        <w:spacing w:before="0" w:after="0"/>
        <w:contextualSpacing/>
        <w:rPr>
          <w:b/>
          <w:bCs/>
          <w:sz w:val="24"/>
          <w:szCs w:val="24"/>
          <w:u w:val="single"/>
        </w:rPr>
      </w:pPr>
      <w:r>
        <w:rPr>
          <w:b/>
          <w:bCs/>
          <w:sz w:val="24"/>
          <w:szCs w:val="24"/>
          <w:u w:val="single"/>
        </w:rPr>
        <w:t xml:space="preserve"> </w:t>
      </w:r>
    </w:p>
    <w:tbl>
      <w:tblPr>
        <w:tblStyle w:val="Tablaconcuadrcula"/>
        <w:tblW w:w="10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85"/>
      </w:tblGrid>
      <w:tr>
        <w:trPr>
          <w:trHeight w:val="50" w:hRule="atLeast"/>
        </w:trPr>
        <w:tc>
          <w:tcPr>
            <w:tcW w:w="10885" w:type="dxa"/>
            <w:tcBorders/>
          </w:tcPr>
          <w:p>
            <w:pPr>
              <w:pStyle w:val="Normal"/>
              <w:widowControl/>
              <w:spacing w:lineRule="auto" w:line="240" w:before="0" w:after="0"/>
              <w:jc w:val="left"/>
              <w:rPr>
                <w:b/>
                <w:bCs/>
                <w:sz w:val="24"/>
                <w:szCs w:val="24"/>
              </w:rPr>
            </w:pPr>
            <w:r>
              <w:rPr>
                <w:rFonts w:eastAsia="Calibri" w:cs="Arial"/>
                <w:b/>
                <w:bCs/>
                <w:kern w:val="2"/>
                <w:sz w:val="24"/>
                <w:szCs w:val="24"/>
                <w:lang w:val="es-PE" w:eastAsia="en-US" w:bidi="ar-SA"/>
              </w:rPr>
              <w:t>Título de la sesión</w:t>
            </w:r>
          </w:p>
        </w:tc>
      </w:tr>
      <w:tr>
        <w:trPr/>
        <w:tc>
          <w:tcPr>
            <w:tcW w:w="10885" w:type="dxa"/>
            <w:tcBorders/>
          </w:tcPr>
          <w:p>
            <w:pPr>
              <w:pStyle w:val="Normal"/>
              <w:widowControl/>
              <w:spacing w:lineRule="auto" w:line="240" w:before="0" w:after="0"/>
              <w:jc w:val="center"/>
              <w:rPr>
                <w:sz w:val="28"/>
                <w:szCs w:val="28"/>
                <w:lang w:val="en-US"/>
              </w:rPr>
            </w:pPr>
            <w:r>
              <w:rPr>
                <w:rFonts w:eastAsia="Calibri" w:cs="Arial"/>
                <w:kern w:val="2"/>
                <w:sz w:val="28"/>
                <w:szCs w:val="28"/>
                <w:lang w:val="en-US" w:eastAsia="en-US" w:bidi="ar-SA"/>
              </w:rPr>
              <w:t>Teorema de Stokes</w:t>
            </w:r>
          </w:p>
        </w:tc>
      </w:tr>
    </w:tbl>
    <w:p>
      <w:pPr>
        <w:pStyle w:val="Normal"/>
        <w:spacing w:before="0" w:after="0"/>
        <w:rPr>
          <w:b/>
          <w:bCs/>
          <w:sz w:val="24"/>
          <w:szCs w:val="24"/>
          <w:u w:val="single"/>
        </w:rPr>
      </w:pPr>
      <w:r>
        <w:rPr>
          <w:b/>
          <w:bCs/>
          <w:sz w:val="24"/>
          <w:szCs w:val="24"/>
          <w:u w:val="single"/>
        </w:rPr>
      </w:r>
    </w:p>
    <w:tbl>
      <w:tblPr>
        <w:tblStyle w:val="Tablaconcuadrcula"/>
        <w:tblW w:w="10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85"/>
      </w:tblGrid>
      <w:tr>
        <w:trPr/>
        <w:tc>
          <w:tcPr>
            <w:tcW w:w="10885" w:type="dxa"/>
            <w:tcBorders/>
            <w:shd w:color="auto" w:fill="2F4060" w:val="clear"/>
          </w:tcPr>
          <w:p>
            <w:pPr>
              <w:pStyle w:val="Normal"/>
              <w:widowControl/>
              <w:spacing w:lineRule="auto" w:line="240" w:before="0" w:after="0"/>
              <w:jc w:val="left"/>
              <w:rPr>
                <w:b/>
                <w:bCs/>
                <w:color w:themeColor="background1" w:val="FFFFFF"/>
                <w:sz w:val="24"/>
                <w:szCs w:val="24"/>
                <w:u w:val="single"/>
              </w:rPr>
            </w:pPr>
            <w:r>
              <w:rPr>
                <w:rFonts w:eastAsia="Calibri" w:cs="Arial"/>
                <w:b/>
                <w:bCs/>
                <w:color w:themeColor="background1" w:val="FFFFFF"/>
                <w:kern w:val="2"/>
                <w:sz w:val="24"/>
                <w:szCs w:val="24"/>
                <w:lang w:val="es-PE" w:eastAsia="en-US" w:bidi="ar-SA"/>
              </w:rPr>
              <w:t>I.Datos Generales</w:t>
            </w:r>
          </w:p>
        </w:tc>
      </w:tr>
      <w:tr>
        <w:trPr/>
        <w:tc>
          <w:tcPr>
            <w:tcW w:w="10885" w:type="dxa"/>
            <w:tcBorders/>
          </w:tcPr>
          <w:p>
            <w:pPr>
              <w:pStyle w:val="Normal"/>
              <w:widowControl/>
              <w:spacing w:lineRule="auto" w:line="240" w:before="0" w:after="0"/>
              <w:jc w:val="left"/>
              <w:rPr>
                <w:rFonts w:ascii="Calibri" w:hAnsi="Calibri" w:eastAsia="Calibri" w:cs="Arial"/>
                <w:kern w:val="2"/>
                <w:sz w:val="22"/>
                <w:szCs w:val="22"/>
                <w:lang w:val="es-PE" w:eastAsia="en-US" w:bidi="ar-SA"/>
              </w:rPr>
            </w:pPr>
            <w:r>
              <w:rPr>
                <w:rFonts w:eastAsia="Calibri" w:cs="Arial"/>
                <w:kern w:val="2"/>
                <w:sz w:val="22"/>
                <w:szCs w:val="22"/>
                <w:lang w:val="es-PE" w:eastAsia="en-US" w:bidi="ar-SA"/>
              </w:rPr>
              <w:t xml:space="preserve">Docente: </w:t>
            </w:r>
            <w:r>
              <w:rPr>
                <w:rFonts w:eastAsia="Calibri" w:cs="Arial"/>
                <w:kern w:val="2"/>
                <w:sz w:val="22"/>
                <w:szCs w:val="22"/>
                <w:lang w:val="es-PE" w:eastAsia="en-US" w:bidi="ar-SA"/>
              </w:rPr>
              <w:t>Javier Arce</w:t>
            </w:r>
            <w:r>
              <w:rPr>
                <w:rFonts w:eastAsia="Calibri" w:cs="Arial"/>
                <w:kern w:val="2"/>
                <w:sz w:val="22"/>
                <w:szCs w:val="22"/>
                <w:lang w:val="es-PE" w:eastAsia="en-US" w:bidi="ar-SA"/>
              </w:rPr>
              <w:t xml:space="preserve">  </w:t>
            </w:r>
          </w:p>
        </w:tc>
      </w:tr>
      <w:tr>
        <w:trPr/>
        <w:tc>
          <w:tcPr>
            <w:tcW w:w="10885" w:type="dxa"/>
            <w:tcBorders/>
          </w:tcPr>
          <w:p>
            <w:pPr>
              <w:pStyle w:val="Normal"/>
              <w:widowControl/>
              <w:spacing w:lineRule="auto" w:line="240" w:before="0" w:after="0"/>
              <w:jc w:val="left"/>
              <w:rPr>
                <w:lang w:val="en-US"/>
              </w:rPr>
            </w:pPr>
            <w:r>
              <w:rPr>
                <w:rFonts w:eastAsia="Calibri" w:cs="Arial"/>
                <w:kern w:val="2"/>
                <w:sz w:val="22"/>
                <w:szCs w:val="22"/>
                <w:lang w:val="es-PE" w:eastAsia="en-US" w:bidi="ar-SA"/>
              </w:rPr>
              <w:t xml:space="preserve">Institución Educativa: </w:t>
            </w:r>
            <w:r>
              <w:rPr>
                <w:rFonts w:eastAsia="Calibri" w:cs="Arial"/>
                <w:kern w:val="2"/>
                <w:sz w:val="22"/>
                <w:szCs w:val="22"/>
                <w:lang w:val="es-PE" w:eastAsia="en-US" w:bidi="ar-SA"/>
              </w:rPr>
              <w:t>Colegio San Miguel</w:t>
            </w:r>
            <w:r>
              <w:rPr>
                <w:rFonts w:eastAsia="Calibri" w:cs="Arial"/>
                <w:kern w:val="2"/>
                <w:sz w:val="22"/>
                <w:szCs w:val="22"/>
                <w:lang w:val="es-PE" w:eastAsia="en-US" w:bidi="ar-SA"/>
              </w:rPr>
              <w:t xml:space="preserve"> </w:t>
            </w:r>
          </w:p>
        </w:tc>
      </w:tr>
    </w:tbl>
    <w:p>
      <w:pPr>
        <w:pStyle w:val="Normal"/>
        <w:spacing w:before="0" w:after="0"/>
        <w:rPr>
          <w:b/>
          <w:bCs/>
          <w:sz w:val="24"/>
          <w:szCs w:val="24"/>
          <w:u w:val="single"/>
          <w:lang w:val="en-US"/>
        </w:rPr>
      </w:pPr>
      <w:r>
        <w:rPr>
          <w:b/>
          <w:bCs/>
          <w:sz w:val="24"/>
          <w:szCs w:val="24"/>
          <w:u w:val="single"/>
          <w:lang w:val="en-US"/>
        </w:rPr>
      </w:r>
    </w:p>
    <w:tbl>
      <w:tblPr>
        <w:tblStyle w:val="Tablaconcuadrcula"/>
        <w:tblW w:w="1079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2195"/>
        <w:gridCol w:w="2204"/>
        <w:gridCol w:w="2193"/>
        <w:gridCol w:w="2124"/>
        <w:gridCol w:w="2074"/>
      </w:tblGrid>
      <w:tr>
        <w:trPr/>
        <w:tc>
          <w:tcPr>
            <w:tcW w:w="2195" w:type="dxa"/>
            <w:tcBorders/>
            <w:shd w:color="auto" w:fill="2F4060" w:val="clear"/>
          </w:tcPr>
          <w:p>
            <w:pPr>
              <w:pStyle w:val="Normal"/>
              <w:widowControl/>
              <w:spacing w:lineRule="auto" w:line="240" w:before="0" w:after="0"/>
              <w:jc w:val="center"/>
              <w:rPr>
                <w:b/>
                <w:bCs/>
                <w:color w:themeColor="background1" w:val="FFFFFF"/>
                <w:sz w:val="24"/>
                <w:szCs w:val="24"/>
              </w:rPr>
            </w:pPr>
            <w:r>
              <w:rPr>
                <w:rFonts w:eastAsia="Calibri" w:cs="Arial"/>
                <w:b/>
                <w:bCs/>
                <w:color w:themeColor="background1" w:val="FFFFFF"/>
                <w:kern w:val="2"/>
                <w:sz w:val="24"/>
                <w:szCs w:val="24"/>
                <w:lang w:val="es-PE" w:eastAsia="en-US" w:bidi="ar-SA"/>
              </w:rPr>
              <w:t>Nivel</w:t>
            </w:r>
          </w:p>
        </w:tc>
        <w:tc>
          <w:tcPr>
            <w:tcW w:w="2204" w:type="dxa"/>
            <w:tcBorders/>
            <w:shd w:color="auto" w:fill="2F4060" w:val="clear"/>
          </w:tcPr>
          <w:p>
            <w:pPr>
              <w:pStyle w:val="Normal"/>
              <w:widowControl/>
              <w:spacing w:lineRule="auto" w:line="240" w:before="0" w:after="0"/>
              <w:jc w:val="center"/>
              <w:rPr>
                <w:b/>
                <w:bCs/>
                <w:color w:themeColor="background1" w:val="FFFFFF"/>
                <w:sz w:val="24"/>
                <w:szCs w:val="24"/>
              </w:rPr>
            </w:pPr>
            <w:r>
              <w:rPr>
                <w:rFonts w:eastAsia="Calibri" w:cs="Arial"/>
                <w:b/>
                <w:bCs/>
                <w:color w:themeColor="background1" w:val="FFFFFF"/>
                <w:kern w:val="2"/>
                <w:sz w:val="24"/>
                <w:szCs w:val="24"/>
                <w:lang w:val="es-PE" w:eastAsia="en-US" w:bidi="ar-SA"/>
              </w:rPr>
              <w:t>Grado</w:t>
            </w:r>
          </w:p>
        </w:tc>
        <w:tc>
          <w:tcPr>
            <w:tcW w:w="2193" w:type="dxa"/>
            <w:tcBorders/>
            <w:shd w:color="auto" w:fill="2F4060" w:val="clear"/>
          </w:tcPr>
          <w:p>
            <w:pPr>
              <w:pStyle w:val="Normal"/>
              <w:widowControl/>
              <w:spacing w:lineRule="auto" w:line="240" w:before="0" w:after="0"/>
              <w:jc w:val="center"/>
              <w:rPr>
                <w:b/>
                <w:bCs/>
                <w:color w:themeColor="background1" w:val="FFFFFF"/>
                <w:sz w:val="24"/>
                <w:szCs w:val="24"/>
              </w:rPr>
            </w:pPr>
            <w:r>
              <w:rPr>
                <w:rFonts w:eastAsia="Calibri" w:cs="Arial"/>
                <w:b/>
                <w:bCs/>
                <w:color w:themeColor="background1" w:val="FFFFFF"/>
                <w:kern w:val="2"/>
                <w:sz w:val="24"/>
                <w:szCs w:val="24"/>
                <w:lang w:val="es-PE" w:eastAsia="en-US" w:bidi="ar-SA"/>
              </w:rPr>
              <w:t>Área</w:t>
            </w:r>
          </w:p>
        </w:tc>
        <w:tc>
          <w:tcPr>
            <w:tcW w:w="2124" w:type="dxa"/>
            <w:tcBorders/>
            <w:shd w:color="auto" w:fill="2F4060" w:val="clear"/>
          </w:tcPr>
          <w:p>
            <w:pPr>
              <w:pStyle w:val="Normal"/>
              <w:widowControl/>
              <w:spacing w:lineRule="auto" w:line="240" w:before="0" w:after="0"/>
              <w:jc w:val="center"/>
              <w:rPr>
                <w:b/>
                <w:bCs/>
                <w:color w:themeColor="background1" w:val="FFFFFF"/>
                <w:sz w:val="24"/>
                <w:szCs w:val="24"/>
              </w:rPr>
            </w:pPr>
            <w:r>
              <w:rPr>
                <w:rFonts w:eastAsia="Calibri" w:cs="Arial"/>
                <w:b/>
                <w:bCs/>
                <w:color w:themeColor="background1" w:val="FFFFFF"/>
                <w:kern w:val="2"/>
                <w:sz w:val="24"/>
                <w:szCs w:val="24"/>
                <w:lang w:val="es-PE" w:eastAsia="en-US" w:bidi="ar-SA"/>
              </w:rPr>
              <w:t>Sección</w:t>
            </w:r>
          </w:p>
        </w:tc>
        <w:tc>
          <w:tcPr>
            <w:tcW w:w="2074" w:type="dxa"/>
            <w:tcBorders/>
            <w:shd w:color="auto" w:fill="2F4060" w:val="clear"/>
          </w:tcPr>
          <w:p>
            <w:pPr>
              <w:pStyle w:val="Normal"/>
              <w:widowControl/>
              <w:spacing w:lineRule="auto" w:line="240" w:before="0" w:after="0"/>
              <w:jc w:val="center"/>
              <w:rPr>
                <w:b/>
                <w:bCs/>
                <w:color w:themeColor="background1" w:val="FFFFFF"/>
                <w:sz w:val="24"/>
                <w:szCs w:val="24"/>
              </w:rPr>
            </w:pPr>
            <w:r>
              <w:rPr>
                <w:rFonts w:eastAsia="Calibri" w:cs="Arial"/>
                <w:b/>
                <w:bCs/>
                <w:color w:themeColor="background1" w:val="FFFFFF"/>
                <w:kern w:val="2"/>
                <w:sz w:val="24"/>
                <w:szCs w:val="24"/>
                <w:lang w:val="es-PE" w:eastAsia="en-US" w:bidi="ar-SA"/>
              </w:rPr>
              <w:t>Fecha</w:t>
            </w:r>
          </w:p>
        </w:tc>
      </w:tr>
      <w:tr>
        <w:trPr>
          <w:trHeight w:val="278" w:hRule="atLeast"/>
        </w:trPr>
        <w:tc>
          <w:tcPr>
            <w:tcW w:w="2195" w:type="dxa"/>
            <w:tcBorders/>
          </w:tcPr>
          <w:p>
            <w:pPr>
              <w:pStyle w:val="Normal"/>
              <w:widowControl/>
              <w:spacing w:lineRule="auto" w:line="240" w:before="0" w:after="0"/>
              <w:jc w:val="center"/>
              <w:rPr>
                <w:lang w:val="en-US"/>
              </w:rPr>
            </w:pPr>
            <w:r>
              <w:rPr>
                <w:rFonts w:eastAsia="Calibri" w:cs="Arial"/>
                <w:kern w:val="2"/>
                <w:sz w:val="22"/>
                <w:szCs w:val="22"/>
                <w:lang w:val="en-US" w:eastAsia="en-US" w:bidi="ar-SA"/>
              </w:rPr>
              <w:t>Secundario</w:t>
            </w:r>
          </w:p>
        </w:tc>
        <w:tc>
          <w:tcPr>
            <w:tcW w:w="2204" w:type="dxa"/>
            <w:tcBorders/>
          </w:tcPr>
          <w:p>
            <w:pPr>
              <w:pStyle w:val="Normal"/>
              <w:widowControl/>
              <w:spacing w:lineRule="auto" w:line="240" w:before="0" w:after="0"/>
              <w:jc w:val="center"/>
              <w:rPr>
                <w:rFonts w:ascii="Calibri" w:hAnsi="Calibri" w:eastAsia="Calibri" w:cs="Arial"/>
                <w:kern w:val="2"/>
                <w:sz w:val="22"/>
                <w:szCs w:val="22"/>
                <w:lang w:val="es-PE" w:eastAsia="en-US" w:bidi="ar-SA"/>
              </w:rPr>
            </w:pPr>
            <w:r>
              <w:rPr>
                <w:rFonts w:eastAsia="Calibri" w:cs="Arial"/>
                <w:kern w:val="2"/>
                <w:sz w:val="22"/>
                <w:szCs w:val="22"/>
                <w:lang w:val="es-PE" w:eastAsia="en-US" w:bidi="ar-SA"/>
              </w:rPr>
              <w:t>Quinto</w:t>
            </w:r>
          </w:p>
        </w:tc>
        <w:tc>
          <w:tcPr>
            <w:tcW w:w="2193" w:type="dxa"/>
            <w:tcBorders/>
          </w:tcPr>
          <w:p>
            <w:pPr>
              <w:pStyle w:val="Normal"/>
              <w:widowControl/>
              <w:spacing w:lineRule="auto" w:line="240" w:before="0" w:after="0"/>
              <w:jc w:val="center"/>
              <w:rPr>
                <w:rFonts w:ascii="Calibri" w:hAnsi="Calibri" w:eastAsia="Calibri" w:cs="Arial"/>
                <w:kern w:val="2"/>
                <w:sz w:val="22"/>
                <w:szCs w:val="22"/>
                <w:lang w:val="es-PE" w:eastAsia="en-US" w:bidi="ar-SA"/>
              </w:rPr>
            </w:pPr>
            <w:r>
              <w:rPr>
                <w:rFonts w:eastAsia="Calibri" w:cs="Arial"/>
                <w:kern w:val="2"/>
                <w:sz w:val="22"/>
                <w:szCs w:val="22"/>
                <w:lang w:val="es-PE" w:eastAsia="en-US" w:bidi="ar-SA"/>
              </w:rPr>
              <w:t>Matemática</w:t>
            </w:r>
          </w:p>
        </w:tc>
        <w:tc>
          <w:tcPr>
            <w:tcW w:w="2124" w:type="dxa"/>
            <w:tcBorders/>
          </w:tcPr>
          <w:p>
            <w:pPr>
              <w:pStyle w:val="Normal"/>
              <w:widowControl/>
              <w:spacing w:lineRule="auto" w:line="240" w:before="0" w:after="0"/>
              <w:jc w:val="center"/>
              <w:rPr>
                <w:rFonts w:ascii="Calibri" w:hAnsi="Calibri" w:eastAsia="Calibri" w:cs="Arial"/>
                <w:kern w:val="2"/>
                <w:sz w:val="22"/>
                <w:szCs w:val="22"/>
                <w:lang w:val="es-PE" w:eastAsia="en-US" w:bidi="ar-SA"/>
              </w:rPr>
            </w:pPr>
            <w:r>
              <w:rPr>
                <w:rFonts w:eastAsia="Calibri" w:cs="Arial"/>
                <w:kern w:val="2"/>
                <w:sz w:val="22"/>
                <w:szCs w:val="22"/>
                <w:lang w:val="es-PE" w:eastAsia="en-US" w:bidi="ar-SA"/>
              </w:rPr>
              <w:t/>
            </w:r>
          </w:p>
        </w:tc>
        <w:tc>
          <w:tcPr>
            <w:tcW w:w="2074" w:type="dxa"/>
            <w:tcBorders/>
          </w:tcPr>
          <w:p>
            <w:pPr>
              <w:pStyle w:val="Normal"/>
              <w:widowControl/>
              <w:spacing w:lineRule="auto" w:line="240" w:before="0" w:after="0"/>
              <w:jc w:val="center"/>
              <w:rPr>
                <w:rFonts w:ascii="Calibri" w:hAnsi="Calibri" w:eastAsia="Calibri" w:cs="Arial"/>
                <w:kern w:val="2"/>
                <w:sz w:val="22"/>
                <w:szCs w:val="22"/>
                <w:lang w:val="es-PE" w:eastAsia="en-US" w:bidi="ar-SA"/>
              </w:rPr>
            </w:pPr>
            <w:r>
              <w:rPr>
                <w:rFonts w:eastAsia="Calibri" w:cs="Arial"/>
                <w:kern w:val="2"/>
                <w:sz w:val="22"/>
                <w:szCs w:val="22"/>
                <w:lang w:val="es-PE" w:eastAsia="en-US" w:bidi="ar-SA"/>
              </w:rPr>
              <w:t>17/03/2026</w:t>
            </w:r>
          </w:p>
        </w:tc>
      </w:tr>
    </w:tbl>
    <w:p>
      <w:pPr>
        <w:pStyle w:val="Normal"/>
        <w:rPr>
          <w:b/>
          <w:bCs/>
          <w:sz w:val="24"/>
          <w:szCs w:val="24"/>
          <w:u w:val="single"/>
        </w:rPr>
      </w:pPr>
      <w:r>
        <w:rPr>
          <w:b/>
          <w:bCs/>
          <w:sz w:val="24"/>
          <w:szCs w:val="24"/>
          <w:u w:val="single"/>
        </w:rPr>
      </w:r>
    </w:p>
    <w:tbl>
      <w:tblPr>
        <w:tblStyle w:val="Tablaconcuadrcula"/>
        <w:tblW w:w="1089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249"/>
        <w:gridCol w:w="2161"/>
        <w:gridCol w:w="2250"/>
        <w:gridCol w:w="2070"/>
        <w:gridCol w:w="2160"/>
      </w:tblGrid>
      <w:tr>
        <w:trPr>
          <w:trHeight w:val="312" w:hRule="atLeast"/>
        </w:trPr>
        <w:tc>
          <w:tcPr>
            <w:tcW w:w="10890" w:type="dxa"/>
            <w:gridSpan w:val="5"/>
            <w:tcBorders/>
            <w:shd w:color="auto" w:fill="2F4060" w:val="clear"/>
          </w:tcPr>
          <w:p>
            <w:pPr>
              <w:pStyle w:val="Normal"/>
              <w:widowControl/>
              <w:spacing w:lineRule="auto" w:line="240" w:before="0" w:after="0"/>
              <w:jc w:val="left"/>
              <w:rPr>
                <w:b/>
                <w:bCs/>
                <w:color w:themeColor="background1" w:val="FFFFFF"/>
                <w:sz w:val="24"/>
                <w:szCs w:val="24"/>
              </w:rPr>
            </w:pPr>
            <w:r>
              <w:rPr>
                <w:rFonts w:eastAsia="Calibri" w:cs="Arial"/>
                <w:b/>
                <w:bCs/>
                <w:color w:themeColor="background1" w:val="FFFFFF"/>
                <w:kern w:val="2"/>
                <w:sz w:val="24"/>
                <w:szCs w:val="24"/>
                <w:lang w:val="es-PE" w:eastAsia="en-US" w:bidi="ar-SA"/>
              </w:rPr>
              <w:t>II.Propósitos de Aprendizaje</w:t>
            </w:r>
          </w:p>
        </w:tc>
      </w:tr>
      <w:tr>
        <w:trPr>
          <w:trHeight w:val="876" w:hRule="atLeast"/>
        </w:trPr>
        <w:tc>
          <w:tcPr>
            <w:tcW w:w="2249" w:type="dxa"/>
            <w:tcBorders/>
            <w:shd w:color="auto" w:fill="2F4060" w:val="clear"/>
          </w:tcPr>
          <w:p>
            <w:pPr>
              <w:pStyle w:val="Normal"/>
              <w:widowControl/>
              <w:spacing w:lineRule="auto" w:line="240" w:before="0" w:after="0"/>
              <w:jc w:val="center"/>
              <w:rPr>
                <w:color w:themeColor="background1" w:val="FFFFFF"/>
              </w:rPr>
            </w:pPr>
            <w:r>
              <w:rPr>
                <w:rFonts w:eastAsia="Calibri" w:cs="Arial"/>
                <w:color w:themeColor="background1" w:val="FFFFFF"/>
                <w:kern w:val="2"/>
                <w:sz w:val="22"/>
                <w:szCs w:val="22"/>
                <w:lang w:val="es-PE" w:eastAsia="en-US" w:bidi="ar-SA"/>
              </w:rPr>
              <w:t>Competencias</w:t>
            </w:r>
          </w:p>
        </w:tc>
        <w:tc>
          <w:tcPr>
            <w:tcW w:w="2161" w:type="dxa"/>
            <w:tcBorders/>
            <w:shd w:color="auto" w:fill="2F4060" w:val="clear"/>
          </w:tcPr>
          <w:p>
            <w:pPr>
              <w:pStyle w:val="Normal"/>
              <w:widowControl/>
              <w:spacing w:lineRule="auto" w:line="240" w:before="0" w:after="0"/>
              <w:jc w:val="center"/>
              <w:rPr>
                <w:color w:themeColor="background1" w:val="FFFFFF"/>
              </w:rPr>
            </w:pPr>
            <w:r>
              <w:rPr>
                <w:rFonts w:eastAsia="Calibri" w:cs="Arial"/>
                <w:color w:themeColor="background1" w:val="FFFFFF"/>
                <w:kern w:val="2"/>
                <w:sz w:val="22"/>
                <w:szCs w:val="22"/>
                <w:lang w:val="es-PE" w:eastAsia="en-US" w:bidi="ar-SA"/>
              </w:rPr>
              <w:t>Capacidades</w:t>
            </w:r>
          </w:p>
        </w:tc>
        <w:tc>
          <w:tcPr>
            <w:tcW w:w="2250" w:type="dxa"/>
            <w:tcBorders/>
            <w:shd w:color="auto" w:fill="2F4060" w:val="clear"/>
          </w:tcPr>
          <w:p>
            <w:pPr>
              <w:pStyle w:val="Normal"/>
              <w:widowControl/>
              <w:spacing w:lineRule="auto" w:line="240" w:before="0" w:after="0"/>
              <w:jc w:val="center"/>
              <w:rPr>
                <w:color w:themeColor="background1" w:val="FFFFFF"/>
              </w:rPr>
            </w:pPr>
            <w:r>
              <w:rPr>
                <w:rFonts w:eastAsia="Calibri" w:cs="Arial"/>
                <w:color w:themeColor="background1" w:val="FFFFFF"/>
                <w:kern w:val="2"/>
                <w:sz w:val="22"/>
                <w:szCs w:val="22"/>
                <w:lang w:val="es-PE" w:eastAsia="en-US" w:bidi="ar-SA"/>
              </w:rPr>
              <w:t>Desempeños</w:t>
            </w:r>
          </w:p>
        </w:tc>
        <w:tc>
          <w:tcPr>
            <w:tcW w:w="2070" w:type="dxa"/>
            <w:tcBorders/>
            <w:shd w:color="auto" w:fill="2F4060" w:val="clear"/>
          </w:tcPr>
          <w:p>
            <w:pPr>
              <w:pStyle w:val="Normal"/>
              <w:widowControl/>
              <w:spacing w:lineRule="auto" w:line="240" w:before="0" w:after="0"/>
              <w:jc w:val="center"/>
              <w:rPr>
                <w:color w:themeColor="background1" w:val="FFFFFF"/>
              </w:rPr>
            </w:pPr>
            <w:r>
              <w:rPr>
                <w:rFonts w:eastAsia="Calibri" w:cs="Arial"/>
                <w:color w:themeColor="background1" w:val="FFFFFF"/>
                <w:kern w:val="2"/>
                <w:sz w:val="22"/>
                <w:szCs w:val="22"/>
                <w:lang w:val="es-PE" w:eastAsia="en-US" w:bidi="ar-SA"/>
              </w:rPr>
              <w:t>Criterios de Evaluación</w:t>
            </w:r>
          </w:p>
        </w:tc>
        <w:tc>
          <w:tcPr>
            <w:tcW w:w="2160" w:type="dxa"/>
            <w:tcBorders/>
            <w:shd w:color="auto" w:fill="2F4060" w:val="clear"/>
          </w:tcPr>
          <w:p>
            <w:pPr>
              <w:pStyle w:val="Normal"/>
              <w:widowControl/>
              <w:spacing w:lineRule="auto" w:line="240" w:before="0" w:after="0"/>
              <w:jc w:val="center"/>
              <w:rPr>
                <w:color w:themeColor="background1" w:val="FFFFFF"/>
              </w:rPr>
            </w:pPr>
            <w:r>
              <w:rPr>
                <w:rFonts w:eastAsia="Calibri" w:cs="Arial"/>
                <w:color w:themeColor="background1" w:val="FFFFFF"/>
                <w:kern w:val="2"/>
                <w:sz w:val="22"/>
                <w:szCs w:val="22"/>
                <w:lang w:val="es-PE" w:eastAsia="en-US" w:bidi="ar-SA"/>
              </w:rPr>
              <w:t>Instrumentos de Evaluación</w:t>
            </w:r>
          </w:p>
        </w:tc>
      </w:tr>
      <w:tr>
        <w:trPr>
          <w:trHeight w:val="948" w:hRule="atLeast"/>
        </w:trPr>
        <w:tc>
          <w:tcPr>
            <w:tcW w:w="2249"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Resuelve problemas de cantidad</w:t>
            </w:r>
            <w:r>
              <w:rPr>
                <w:rFonts w:eastAsia="Calibri" w:cs="Arial"/>
                <w:kern w:val="2"/>
                <w:sz w:val="18"/>
                <w:szCs w:val="18"/>
                <w:lang w:val="es-PE" w:eastAsia="en-US" w:bidi="ar-SA"/>
              </w:rPr>
              <w:t xml:space="preserve"> </w:t>
            </w:r>
          </w:p>
        </w:tc>
        <w:tc>
          <w:tcPr>
            <w:tcW w:w="2161"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Comunica su comprensión sobre los números y las operaciones</w:t>
            </w:r>
          </w:p>
        </w:tc>
        <w:tc>
          <w:tcPr>
            <w:tcW w:w="2250"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Establece relaciones entre datos y acciones de comparar e igualar cantidades o trabajar con tasas de interés compuesto.</w:t>
            </w:r>
          </w:p>
        </w:tc>
        <w:tc>
          <w:tcPr>
            <w:tcW w:w="2070"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Explica de forma clara y estructurada el proceso de resolución de un problema de cantidad.</w:t>
            </w:r>
          </w:p>
        </w:tc>
        <w:tc>
          <w:tcPr>
            <w:tcW w:w="2160"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
            </w:r>
          </w:p>
        </w:tc>
      </w:tr>
    </w:tbl>
    <w:p>
      <w:pPr>
        <w:pStyle w:val="Normal"/>
        <w:spacing w:before="0" w:after="0"/>
        <w:rPr>
          <w:b/>
          <w:bCs/>
          <w:sz w:val="24"/>
          <w:szCs w:val="24"/>
          <w:u w:val="single"/>
        </w:rPr>
      </w:pPr>
      <w:r>
        <w:rPr>
          <w:b/>
          <w:bCs/>
          <w:sz w:val="24"/>
          <w:szCs w:val="24"/>
          <w:u w:val="single"/>
        </w:rPr>
      </w:r>
    </w:p>
    <w:tbl>
      <w:tblPr>
        <w:tblStyle w:val="Tablaconcuadrcula"/>
        <w:tblW w:w="10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85"/>
      </w:tblGrid>
      <w:tr>
        <w:trPr/>
        <w:tc>
          <w:tcPr>
            <w:tcW w:w="10885" w:type="dxa"/>
            <w:tcBorders/>
            <w:shd w:color="auto" w:fill="2F4060" w:val="clear"/>
          </w:tcPr>
          <w:p>
            <w:pPr>
              <w:pStyle w:val="Normal"/>
              <w:widowControl/>
              <w:spacing w:lineRule="auto" w:line="240" w:before="0" w:after="0"/>
              <w:jc w:val="center"/>
              <w:rPr>
                <w:color w:themeColor="background1" w:val="FFFFFF"/>
              </w:rPr>
            </w:pPr>
            <w:r>
              <w:rPr>
                <w:rFonts w:eastAsia="Calibri" w:cs="Arial"/>
                <w:color w:themeColor="background1" w:val="FFFFFF"/>
                <w:kern w:val="2"/>
                <w:sz w:val="22"/>
                <w:szCs w:val="22"/>
                <w:lang w:val="es-PE" w:eastAsia="en-US" w:bidi="ar-SA"/>
              </w:rPr>
              <w:t>Estándar de Aprendizaje</w:t>
            </w:r>
          </w:p>
        </w:tc>
      </w:tr>
      <w:tr>
        <w:trPr>
          <w:trHeight w:val="50" w:hRule="atLeast"/>
        </w:trPr>
        <w:tc>
          <w:tcPr>
            <w:tcW w:w="10885" w:type="dxa"/>
            <w:tcBorders/>
          </w:tcPr>
          <w:p>
            <w:pPr>
              <w:pStyle w:val="Normal"/>
              <w:widowControl/>
              <w:spacing w:lineRule="auto" w:line="240" w:before="0" w:after="0"/>
              <w:jc w:val="left"/>
              <w:rPr>
                <w:sz w:val="20"/>
                <w:szCs w:val="20"/>
              </w:rPr>
            </w:pPr>
            <w:r>
              <w:rPr>
                <w:rFonts w:eastAsia="Calibri" w:cs="Arial"/>
                <w:kern w:val="2"/>
                <w:sz w:val="20"/>
                <w:szCs w:val="20"/>
                <w:lang w:val="es-PE" w:eastAsia="en-US" w:bidi="ar-SA"/>
              </w:rPr>
              <w:t>Resuelve problemas referidos a las relaciones entre cantidades muy grandes o muy pequeñas.</w:t>
            </w:r>
          </w:p>
        </w:tc>
      </w:tr>
    </w:tbl>
    <w:p>
      <w:pPr>
        <w:pStyle w:val="Normal"/>
        <w:spacing w:before="0" w:after="0"/>
        <w:rPr>
          <w:b/>
          <w:bCs/>
          <w:sz w:val="24"/>
          <w:szCs w:val="24"/>
          <w:u w:val="single"/>
        </w:rPr>
      </w:pPr>
      <w:r>
        <w:rPr>
          <w:b/>
          <w:bCs/>
          <w:sz w:val="24"/>
          <w:szCs w:val="24"/>
          <w:u w:val="single"/>
        </w:rPr>
      </w:r>
    </w:p>
    <w:tbl>
      <w:tblPr>
        <w:tblStyle w:val="Tablaconcuadrcula"/>
        <w:tblW w:w="10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484"/>
        <w:gridCol w:w="5400"/>
      </w:tblGrid>
      <w:tr>
        <w:trPr/>
        <w:tc>
          <w:tcPr>
            <w:tcW w:w="5484" w:type="dxa"/>
            <w:tcBorders/>
            <w:shd w:color="auto" w:fill="2F4060" w:val="clear"/>
          </w:tcPr>
          <w:p>
            <w:pPr>
              <w:pStyle w:val="Normal"/>
              <w:widowControl/>
              <w:spacing w:lineRule="auto" w:line="240" w:before="0" w:after="0"/>
              <w:jc w:val="center"/>
              <w:rPr>
                <w:b/>
                <w:bCs/>
                <w:sz w:val="24"/>
                <w:szCs w:val="24"/>
                <w:u w:val="single"/>
              </w:rPr>
            </w:pPr>
            <w:r>
              <w:rPr>
                <w:rFonts w:eastAsia="Calibri" w:cs="Arial"/>
                <w:color w:themeColor="background1" w:val="FFFFFF"/>
                <w:kern w:val="2"/>
                <w:sz w:val="22"/>
                <w:szCs w:val="22"/>
                <w:lang w:val="es-PE" w:eastAsia="en-US" w:bidi="ar-SA"/>
              </w:rPr>
              <w:t>Propósito</w:t>
            </w:r>
          </w:p>
        </w:tc>
        <w:tc>
          <w:tcPr>
            <w:tcW w:w="5400" w:type="dxa"/>
            <w:tcBorders/>
            <w:shd w:color="auto" w:fill="2F4060" w:val="clear"/>
          </w:tcPr>
          <w:p>
            <w:pPr>
              <w:pStyle w:val="Normal"/>
              <w:widowControl/>
              <w:spacing w:lineRule="auto" w:line="240" w:before="0" w:after="0"/>
              <w:jc w:val="center"/>
              <w:rPr>
                <w:b/>
                <w:bCs/>
                <w:sz w:val="24"/>
                <w:szCs w:val="24"/>
                <w:u w:val="single"/>
              </w:rPr>
            </w:pPr>
            <w:r>
              <w:rPr>
                <w:rFonts w:eastAsia="Calibri" w:cs="Arial"/>
                <w:color w:themeColor="background1" w:val="FFFFFF"/>
                <w:kern w:val="2"/>
                <w:sz w:val="22"/>
                <w:szCs w:val="22"/>
                <w:lang w:val="es-PE" w:eastAsia="en-US" w:bidi="ar-SA"/>
              </w:rPr>
              <w:t>Evidencia</w:t>
            </w:r>
          </w:p>
        </w:tc>
      </w:tr>
      <w:tr>
        <w:trPr/>
        <w:tc>
          <w:tcPr>
            <w:tcW w:w="5484"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Los estudiantes aplicarán el teorema de Stokes para resolver y explicar problemas de cantidad.</w:t>
            </w:r>
          </w:p>
        </w:tc>
        <w:tc>
          <w:tcPr>
            <w:tcW w:w="5400"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Los estudiantes redactarán un documento aplicando el Teorema de Stokes a un caso práctico.</w:t>
            </w:r>
          </w:p>
        </w:tc>
      </w:tr>
    </w:tbl>
    <w:p>
      <w:pPr>
        <w:pStyle w:val="Normal"/>
        <w:spacing w:before="0" w:after="0"/>
        <w:rPr>
          <w:b/>
          <w:bCs/>
          <w:sz w:val="24"/>
          <w:szCs w:val="24"/>
          <w:u w:val="single"/>
        </w:rPr>
      </w:pPr>
      <w:r>
        <w:rPr>
          <w:b/>
          <w:bCs/>
          <w:sz w:val="24"/>
          <w:szCs w:val="24"/>
          <w:u w:val="single"/>
        </w:rPr>
      </w:r>
    </w:p>
    <w:tbl>
      <w:tblPr>
        <w:tblStyle w:val="Tablaconcuadrcula"/>
        <w:tblW w:w="10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484"/>
        <w:gridCol w:w="5400"/>
      </w:tblGrid>
      <w:tr>
        <w:trPr/>
        <w:tc>
          <w:tcPr>
            <w:tcW w:w="5484" w:type="dxa"/>
            <w:tcBorders/>
            <w:shd w:color="auto" w:fill="2F4060" w:val="clear"/>
          </w:tcPr>
          <w:p>
            <w:pPr>
              <w:pStyle w:val="Normal"/>
              <w:widowControl/>
              <w:spacing w:lineRule="auto" w:line="240" w:before="0" w:after="0"/>
              <w:jc w:val="center"/>
              <w:rPr>
                <w:b/>
                <w:bCs/>
                <w:sz w:val="24"/>
                <w:szCs w:val="24"/>
                <w:u w:val="single"/>
              </w:rPr>
            </w:pPr>
            <w:r>
              <w:rPr>
                <w:rFonts w:eastAsia="Calibri" w:cs="Arial"/>
                <w:color w:themeColor="background1" w:val="FFFFFF"/>
                <w:kern w:val="2"/>
                <w:sz w:val="22"/>
                <w:szCs w:val="22"/>
                <w:lang w:val="es-PE" w:eastAsia="en-US" w:bidi="ar-SA"/>
              </w:rPr>
              <w:t>Competencias Transversales</w:t>
            </w:r>
          </w:p>
        </w:tc>
        <w:tc>
          <w:tcPr>
            <w:tcW w:w="5400" w:type="dxa"/>
            <w:tcBorders/>
            <w:shd w:color="auto" w:fill="2F4060" w:val="clear"/>
          </w:tcPr>
          <w:p>
            <w:pPr>
              <w:pStyle w:val="Normal"/>
              <w:widowControl/>
              <w:spacing w:lineRule="auto" w:line="240" w:before="0" w:after="0"/>
              <w:jc w:val="center"/>
              <w:rPr>
                <w:b/>
                <w:bCs/>
                <w:sz w:val="24"/>
                <w:szCs w:val="24"/>
                <w:u w:val="single"/>
              </w:rPr>
            </w:pPr>
            <w:r>
              <w:rPr>
                <w:rFonts w:eastAsia="Calibri" w:cs="Arial"/>
                <w:color w:themeColor="background1" w:val="FFFFFF"/>
                <w:kern w:val="2"/>
                <w:sz w:val="22"/>
                <w:szCs w:val="22"/>
                <w:lang w:val="es-PE" w:eastAsia="en-US" w:bidi="ar-SA"/>
              </w:rPr>
              <w:t>Capacidades</w:t>
            </w:r>
          </w:p>
        </w:tc>
      </w:tr>
      <w:tr>
        <w:trPr>
          <w:trHeight w:val="320" w:hRule="atLeast"/>
        </w:trPr>
        <w:tc>
          <w:tcPr>
            <w:tcW w:w="5484"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Se desenvuelve en los entornos virtuales generados por las TIC</w:t>
            </w:r>
          </w:p>
        </w:tc>
        <w:tc>
          <w:tcPr>
            <w:tcW w:w="5400"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Comunica su comprensión sobre los números y las operaciones</w:t>
            </w:r>
          </w:p>
        </w:tc>
      </w:tr>
    </w:tbl>
    <w:p>
      <w:pPr>
        <w:pStyle w:val="Normal"/>
        <w:spacing w:before="0" w:after="0"/>
        <w:rPr>
          <w:b/>
          <w:bCs/>
          <w:sz w:val="24"/>
          <w:szCs w:val="24"/>
          <w:u w:val="single"/>
        </w:rPr>
      </w:pPr>
      <w:r>
        <w:rPr>
          <w:b/>
          <w:bCs/>
          <w:sz w:val="24"/>
          <w:szCs w:val="24"/>
          <w:u w:val="single"/>
        </w:rPr>
      </w:r>
    </w:p>
    <w:tbl>
      <w:tblPr>
        <w:tblStyle w:val="Tablaconcuadrcula"/>
        <w:tblW w:w="10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95"/>
        <w:gridCol w:w="3150"/>
        <w:gridCol w:w="4140"/>
      </w:tblGrid>
      <w:tr>
        <w:trPr/>
        <w:tc>
          <w:tcPr>
            <w:tcW w:w="3595" w:type="dxa"/>
            <w:tcBorders/>
            <w:shd w:color="auto" w:fill="2F4060" w:val="clear"/>
          </w:tcPr>
          <w:p>
            <w:pPr>
              <w:pStyle w:val="Normal"/>
              <w:widowControl/>
              <w:spacing w:lineRule="auto" w:line="240" w:before="0" w:after="0"/>
              <w:jc w:val="center"/>
              <w:rPr>
                <w:b/>
                <w:bCs/>
                <w:sz w:val="24"/>
                <w:szCs w:val="24"/>
                <w:u w:val="single"/>
              </w:rPr>
            </w:pPr>
            <w:r>
              <w:rPr>
                <w:rFonts w:eastAsia="Calibri" w:cs="Arial"/>
                <w:color w:themeColor="background1" w:val="FFFFFF"/>
                <w:kern w:val="2"/>
                <w:sz w:val="22"/>
                <w:szCs w:val="22"/>
                <w:lang w:val="es-PE" w:eastAsia="en-US" w:bidi="ar-SA"/>
              </w:rPr>
              <w:t>Enfoques Transversales</w:t>
            </w:r>
          </w:p>
        </w:tc>
        <w:tc>
          <w:tcPr>
            <w:tcW w:w="3150" w:type="dxa"/>
            <w:tcBorders/>
            <w:shd w:color="auto" w:fill="2F4060" w:val="clear"/>
          </w:tcPr>
          <w:p>
            <w:pPr>
              <w:pStyle w:val="Normal"/>
              <w:widowControl/>
              <w:spacing w:lineRule="auto" w:line="240" w:before="0" w:after="0"/>
              <w:jc w:val="center"/>
              <w:rPr>
                <w:b/>
                <w:bCs/>
                <w:sz w:val="24"/>
                <w:szCs w:val="24"/>
                <w:u w:val="single"/>
              </w:rPr>
            </w:pPr>
            <w:r>
              <w:rPr>
                <w:rFonts w:eastAsia="Calibri" w:cs="Arial"/>
                <w:color w:themeColor="background1" w:val="FFFFFF"/>
                <w:kern w:val="2"/>
                <w:sz w:val="22"/>
                <w:szCs w:val="22"/>
                <w:lang w:val="es-PE" w:eastAsia="en-US" w:bidi="ar-SA"/>
              </w:rPr>
              <w:t>Valores</w:t>
            </w:r>
          </w:p>
        </w:tc>
        <w:tc>
          <w:tcPr>
            <w:tcW w:w="4140" w:type="dxa"/>
            <w:tcBorders/>
            <w:shd w:color="auto" w:fill="2F4060" w:val="clear"/>
          </w:tcPr>
          <w:p>
            <w:pPr>
              <w:pStyle w:val="Normal"/>
              <w:widowControl/>
              <w:spacing w:lineRule="auto" w:line="240" w:before="0" w:after="0"/>
              <w:jc w:val="center"/>
              <w:rPr>
                <w:color w:themeColor="background1" w:val="FFFFFF"/>
              </w:rPr>
            </w:pPr>
            <w:r>
              <w:rPr>
                <w:rFonts w:eastAsia="Calibri" w:cs="Arial"/>
                <w:color w:themeColor="background1" w:val="FFFFFF"/>
                <w:kern w:val="2"/>
                <w:sz w:val="22"/>
                <w:szCs w:val="22"/>
                <w:lang w:val="es-PE" w:eastAsia="en-US" w:bidi="ar-SA"/>
              </w:rPr>
              <w:t>Actitudes/Acciones Observables</w:t>
            </w:r>
          </w:p>
        </w:tc>
      </w:tr>
      <w:tr>
        <w:trPr/>
        <w:tc>
          <w:tcPr>
            <w:tcW w:w="3595" w:type="dxa"/>
            <w:tcBorders/>
          </w:tcPr>
          <w:p>
            <w:pPr>
              <w:pStyle w:val="Normal"/>
              <w:widowControl/>
              <w:spacing w:lineRule="auto" w:line="240" w:before="0" w:after="0"/>
              <w:jc w:val="left"/>
              <w:rPr>
                <w:rFonts w:ascii="Calibri" w:hAnsi="Calibri" w:eastAsia="Calibri" w:cs="Arial"/>
                <w:kern w:val="2"/>
                <w:sz w:val="22"/>
                <w:szCs w:val="22"/>
                <w:lang w:val="es-PE" w:eastAsia="en-US" w:bidi="ar-SA"/>
              </w:rPr>
            </w:pPr>
            <w:r>
              <w:rPr>
                <w:rFonts w:eastAsia="Calibri" w:cs="Arial"/>
                <w:kern w:val="2"/>
                <w:sz w:val="22"/>
                <w:szCs w:val="22"/>
                <w:lang w:val="es-PE" w:eastAsia="en-US" w:bidi="ar-SA"/>
              </w:rPr>
              <w:t/>
            </w:r>
          </w:p>
        </w:tc>
        <w:tc>
          <w:tcPr>
            <w:tcW w:w="3150" w:type="dxa"/>
            <w:tcBorders/>
          </w:tcPr>
          <w:p>
            <w:pPr>
              <w:pStyle w:val="Normal"/>
              <w:widowControl/>
              <w:spacing w:lineRule="auto" w:line="240" w:before="0" w:after="0"/>
              <w:jc w:val="left"/>
              <w:rPr>
                <w:rFonts w:ascii="Calibri" w:hAnsi="Calibri" w:eastAsia="Calibri" w:cs="Arial"/>
                <w:kern w:val="2"/>
                <w:sz w:val="22"/>
                <w:szCs w:val="22"/>
                <w:lang w:val="es-PE" w:eastAsia="en-US" w:bidi="ar-SA"/>
              </w:rPr>
            </w:pPr>
            <w:r>
              <w:rPr>
                <w:rFonts w:eastAsia="Calibri" w:cs="Arial"/>
                <w:kern w:val="2"/>
                <w:sz w:val="22"/>
                <w:szCs w:val="22"/>
                <w:lang w:val="es-PE" w:eastAsia="en-US" w:bidi="ar-SA"/>
              </w:rPr>
              <w:t/>
            </w:r>
          </w:p>
        </w:tc>
        <w:tc>
          <w:tcPr>
            <w:tcW w:w="4140"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
            </w:r>
          </w:p>
        </w:tc>
      </w:tr>
    </w:tbl>
    <w:p>
      <w:pPr>
        <w:pStyle w:val="Normal"/>
        <w:rPr>
          <w:b/>
          <w:bCs/>
          <w:sz w:val="24"/>
          <w:szCs w:val="24"/>
          <w:u w:val="single"/>
        </w:rPr>
      </w:pPr>
      <w:r>
        <w:rPr>
          <w:b/>
          <w:bCs/>
          <w:sz w:val="24"/>
          <w:szCs w:val="24"/>
          <w:u w:val="singl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4"/>
        <w:gridCol w:w="7960"/>
        <w:gridCol w:w="1526"/>
      </w:tblGrid>
      <w:tr>
        <w:trPr/>
        <w:tc>
          <w:tcPr>
            <w:tcW w:w="9264" w:type="dxa"/>
            <w:gridSpan w:val="2"/>
            <w:tcBorders/>
            <w:shd w:color="auto" w:fill="2F4060" w:val="clear"/>
          </w:tcPr>
          <w:p>
            <w:pPr>
              <w:pStyle w:val="Normal"/>
              <w:widowControl/>
              <w:spacing w:lineRule="auto" w:line="240" w:before="0" w:after="0"/>
              <w:jc w:val="left"/>
              <w:rPr>
                <w:b/>
                <w:bCs/>
                <w:sz w:val="24"/>
                <w:szCs w:val="24"/>
                <w:u w:val="single"/>
              </w:rPr>
            </w:pPr>
            <w:r>
              <w:rPr>
                <w:rFonts w:eastAsia="Calibri" w:cs="Arial"/>
                <w:b/>
                <w:bCs/>
                <w:color w:themeColor="background1" w:val="FFFFFF"/>
                <w:kern w:val="2"/>
                <w:sz w:val="24"/>
                <w:szCs w:val="24"/>
                <w:lang w:val="es-PE" w:eastAsia="en-US" w:bidi="ar-SA"/>
              </w:rPr>
              <w:t>III.Secuencia Didáctica</w:t>
            </w:r>
          </w:p>
        </w:tc>
        <w:tc>
          <w:tcPr>
            <w:tcW w:w="1526" w:type="dxa"/>
            <w:tcBorders/>
            <w:shd w:color="auto" w:fill="2F4060" w:val="clear"/>
          </w:tcPr>
          <w:p>
            <w:pPr>
              <w:pStyle w:val="Normal"/>
              <w:widowControl/>
              <w:spacing w:lineRule="auto" w:line="240" w:before="0" w:after="0"/>
              <w:jc w:val="left"/>
              <w:rPr>
                <w:b/>
                <w:bCs/>
                <w:color w:themeColor="background1" w:val="FFFFFF"/>
                <w:sz w:val="24"/>
                <w:szCs w:val="24"/>
              </w:rPr>
            </w:pPr>
            <w:r>
              <w:rPr>
                <w:rFonts w:eastAsia="Calibri" w:cs="Arial"/>
                <w:b/>
                <w:bCs/>
                <w:color w:themeColor="background1" w:val="FFFFFF"/>
                <w:kern w:val="2"/>
                <w:sz w:val="24"/>
                <w:szCs w:val="24"/>
                <w:lang w:val="es-PE" w:eastAsia="en-US" w:bidi="ar-SA"/>
              </w:rPr>
            </w:r>
          </w:p>
        </w:tc>
      </w:tr>
      <w:tr>
        <w:trPr/>
        <w:tc>
          <w:tcPr>
            <w:tcW w:w="1304" w:type="dxa"/>
            <w:tcBorders/>
          </w:tcPr>
          <w:p>
            <w:pPr>
              <w:pStyle w:val="Normal"/>
              <w:widowControl/>
              <w:spacing w:lineRule="auto" w:line="240" w:before="0" w:after="0"/>
              <w:jc w:val="left"/>
              <w:rPr>
                <w:rFonts w:ascii="Calibri" w:hAnsi="Calibri" w:eastAsia="Calibri" w:cs="Arial"/>
                <w:kern w:val="2"/>
                <w:sz w:val="22"/>
                <w:szCs w:val="22"/>
                <w:lang w:val="es-PE" w:eastAsia="en-US" w:bidi="ar-SA"/>
              </w:rPr>
            </w:pPr>
            <w:r>
              <w:rPr>
                <w:rFonts w:eastAsia="Calibri" w:cs="Arial"/>
                <w:kern w:val="2"/>
                <w:sz w:val="22"/>
                <w:szCs w:val="22"/>
                <w:lang w:val="es-PE" w:eastAsia="en-US" w:bidi="ar-SA"/>
              </w:rPr>
              <w:t>Momentos</w:t>
            </w:r>
          </w:p>
        </w:tc>
        <w:tc>
          <w:tcPr>
            <w:tcW w:w="7960" w:type="dxa"/>
            <w:tcBorders/>
          </w:tcPr>
          <w:p>
            <w:pPr>
              <w:pStyle w:val="Normal"/>
              <w:widowControl/>
              <w:spacing w:lineRule="auto" w:line="240" w:before="0" w:after="0"/>
              <w:jc w:val="left"/>
              <w:rPr>
                <w:rFonts w:ascii="Calibri" w:hAnsi="Calibri" w:eastAsia="Calibri" w:cs="Arial"/>
                <w:kern w:val="2"/>
                <w:sz w:val="22"/>
                <w:szCs w:val="22"/>
                <w:lang w:val="es-PE" w:eastAsia="en-US" w:bidi="ar-SA"/>
              </w:rPr>
            </w:pPr>
            <w:r>
              <w:rPr>
                <w:rFonts w:eastAsia="Calibri" w:cs="Arial"/>
                <w:kern w:val="2"/>
                <w:sz w:val="22"/>
                <w:szCs w:val="22"/>
                <w:lang w:val="es-PE" w:eastAsia="en-US" w:bidi="ar-SA"/>
              </w:rPr>
              <w:t xml:space="preserve">Secuencia de actividades </w:t>
            </w:r>
            <w:r>
              <w:rPr>
                <w:rFonts w:eastAsia="Calibri" w:cs="Arial"/>
                <w:kern w:val="2"/>
                <w:sz w:val="18"/>
                <w:szCs w:val="18"/>
                <w:lang w:val="es-PE" w:eastAsia="en-US" w:bidi="ar-SA"/>
              </w:rPr>
              <w:t>(Procesos Pedagógicos)</w:t>
            </w:r>
          </w:p>
        </w:tc>
        <w:tc>
          <w:tcPr>
            <w:tcW w:w="1526" w:type="dxa"/>
            <w:tcBorders/>
          </w:tcPr>
          <w:p>
            <w:pPr>
              <w:pStyle w:val="Normal"/>
              <w:widowControl/>
              <w:spacing w:lineRule="auto" w:line="240" w:before="0" w:after="0"/>
              <w:jc w:val="left"/>
              <w:rPr>
                <w:rFonts w:ascii="Calibri" w:hAnsi="Calibri" w:eastAsia="Calibri" w:cs="Arial"/>
                <w:kern w:val="2"/>
                <w:sz w:val="22"/>
                <w:szCs w:val="22"/>
                <w:lang w:val="es-PE" w:eastAsia="en-US" w:bidi="ar-SA"/>
              </w:rPr>
            </w:pPr>
            <w:r>
              <w:rPr>
                <w:rFonts w:eastAsia="Calibri" w:cs="Arial"/>
                <w:kern w:val="2"/>
                <w:sz w:val="22"/>
                <w:szCs w:val="22"/>
                <w:lang w:val="es-PE" w:eastAsia="en-US" w:bidi="ar-SA"/>
              </w:rPr>
              <w:t>Tiempo</w:t>
            </w:r>
          </w:p>
        </w:tc>
      </w:tr>
      <w:tr>
        <w:trPr>
          <w:trHeight w:val="404" w:hRule="atLeast"/>
        </w:trPr>
        <w:tc>
          <w:tcPr>
            <w:tcW w:w="1304" w:type="dxa"/>
            <w:tcBorders/>
          </w:tcPr>
          <w:p>
            <w:pPr>
              <w:pStyle w:val="Normal"/>
              <w:widowControl/>
              <w:spacing w:lineRule="auto" w:line="240" w:before="0" w:after="0"/>
              <w:jc w:val="center"/>
              <w:rPr>
                <w:sz w:val="24"/>
                <w:szCs w:val="24"/>
              </w:rPr>
            </w:pPr>
            <w:r>
              <w:rPr>
                <w:rFonts w:eastAsia="Calibri" w:cs="Arial"/>
                <w:kern w:val="2"/>
                <w:sz w:val="22"/>
                <w:szCs w:val="22"/>
                <w:lang w:val="es-PE" w:eastAsia="en-US" w:bidi="ar-SA"/>
              </w:rPr>
              <w:t>Inicio</w:t>
            </w:r>
          </w:p>
        </w:tc>
        <w:tc>
          <w:tcPr>
            <w:tcW w:w="7960" w:type="dxa"/>
            <w:tcBorders/>
          </w:tcPr>
          <w:p>
            <w:r>
              <w:rPr>
                <w:b/>
              </w:rPr>
              <w:t xml:space="preserve">Parte teórica del tema: Teorema de Stokes</w:t>
            </w:r>
            <w:r>
              <w:t xml:space="preserve">\n\nEl </w:t>
            </w:r>
            <w:r>
              <w:rPr>
                <w:b/>
              </w:rPr>
              <w:t xml:space="preserve">Teorema de Stokes</w:t>
            </w:r>
            <w:r>
              <w:t xml:space="preserve"> es un resultado fundamental del cálculo vectorial que relaciona la integral de línea de un campo vectorial a lo largo de una curva cerrada con la integral de superficie de su rotacional sobre una superficie cuya frontera es esa curva. Formalmente, para un campo vectorial </w:t>
            </w:r>
            <m:oMath xmlns:m="http://schemas.openxmlformats.org/officeDocument/2006/math">
              <m:acc>
                <m:accPr>
                  <m:chr m:val="⃗"/>
                </m:accPr>
                <m:e>
                  <m:r>
                    <m:t>F</m:t>
                  </m:r>
                </m:e>
              </m:acc>
              <m:r>
                <m:t>=</m:t>
              </m:r>
              <m:r>
                <m:t>(</m:t>
              </m:r>
              <m:r>
                <m:t>P</m:t>
              </m:r>
              <m:r>
                <m:t>,</m:t>
              </m:r>
              <m:r>
                <m:t>Q</m:t>
              </m:r>
              <m:r>
                <m:t>,</m:t>
              </m:r>
              <m:r>
                <m:t>R</m:t>
              </m:r>
              <m:r>
                <m:t>)</m:t>
              </m:r>
            </m:oMath>
            <w:r>
              <w:t xml:space="preserve"> definido y diferenciable en una región orientada, con curva cerrada simple </w:t>
            </w:r>
            <m:oMath xmlns:m="http://schemas.openxmlformats.org/officeDocument/2006/math">
              <m:r>
                <m:t>C</m:t>
              </m:r>
            </m:oMath>
            <w:r>
              <w:t xml:space="preserve"> y superficie </w:t>
            </w:r>
            <m:oMath xmlns:m="http://schemas.openxmlformats.org/officeDocument/2006/math">
              <m:r>
                <m:t>S</m:t>
              </m:r>
            </m:oMath>
            <w:r>
              <w:t xml:space="preserve"> con frontera </w:t>
            </w:r>
            <m:oMath xmlns:m="http://schemas.openxmlformats.org/officeDocument/2006/math">
              <m:r>
                <m:t>C</m:t>
              </m:r>
            </m:oMath>
            <w:r>
              <w:t xml:space="preserve">, se tiene </w:t>
            </w:r>
            <m:oMath xmlns:m="http://schemas.openxmlformats.org/officeDocument/2006/math">
              <m:nary>
                <m:naryPr>
                  <m:chr m:val="∮"/>
                  <m:limLoc m:val="subSup"/>
                </m:naryPr>
                <m:sub>
                  <m:r>
                    <m:t>C</m:t>
                  </m:r>
                </m:sub>
                <m:sup/>
                <m:e>
                  <m:r>
                    <m:t/>
                  </m:r>
                </m:e>
              </m:nary>
              <m:acc>
                <m:accPr>
                  <m:chr m:val="⃗"/>
                </m:accPr>
                <m:e>
                  <m:r>
                    <m:t>F</m:t>
                  </m:r>
                </m:e>
              </m:acc>
              <m:r>
                <m:t>·</m:t>
              </m:r>
              <m:r>
                <m:t>d</m:t>
              </m:r>
              <m:acc>
                <m:accPr>
                  <m:chr m:val="⃗"/>
                </m:accPr>
                <m:e>
                  <m:r>
                    <m:t>r</m:t>
                  </m:r>
                </m:e>
              </m:acc>
              <m:r>
                <m:t>=</m:t>
              </m:r>
              <m:nary>
                <m:naryPr>
                  <m:chr m:val="∬"/>
                  <m:limLoc m:val="subSup"/>
                </m:naryPr>
                <m:sub>
                  <m:r>
                    <m:t>S</m:t>
                  </m:r>
                </m:sub>
                <m:sup/>
                <m:e>
                  <m:r>
                    <m:t/>
                  </m:r>
                </m:e>
              </m:nary>
              <m:r>
                <m:t>(</m:t>
              </m:r>
              <m:r>
                <m:t>∇</m:t>
              </m:r>
              <m:r>
                <m:t>×</m:t>
              </m:r>
              <m:acc>
                <m:accPr>
                  <m:chr m:val="⃗"/>
                </m:accPr>
                <m:e>
                  <m:r>
                    <m:t>F</m:t>
                  </m:r>
                </m:e>
              </m:acc>
              <m:r>
                <m:t>)</m:t>
              </m:r>
              <m:r>
                <m:t>·</m:t>
              </m:r>
              <m:r>
                <m:t>d</m:t>
              </m:r>
              <m:acc>
                <m:accPr>
                  <m:chr m:val="⃗"/>
                </m:accPr>
                <m:e>
                  <m:r>
                    <m:t>S</m:t>
                  </m:r>
                </m:e>
              </m:acc>
            </m:oMath>
            <w:r>
              <w:t xml:space="preserve">.[1][2][6] Esta igualdad permite transformar cálculos complejos de líneas en integrales de superficie más manejables, o viceversa, siempre que se respete la orientación: la curva </w:t>
            </w:r>
            <m:oMath xmlns:m="http://schemas.openxmlformats.org/officeDocument/2006/math">
              <m:r>
                <m:t>C</m:t>
              </m:r>
            </m:oMath>
            <w:r>
              <w:t xml:space="preserve"> se recorre en sentido positivo tal que, al caminar por ella con la cabeza en la dirección del vector normal unitario </w:t>
            </w:r>
            <m:oMath xmlns:m="http://schemas.openxmlformats.org/officeDocument/2006/math">
              <m:acc>
                <m:accPr>
                  <m:chr m:val="⃗"/>
                </m:accPr>
                <m:e>
                  <m:r>
                    <m:t>N</m:t>
                  </m:r>
                </m:e>
              </m:acc>
            </m:oMath>
            <w:r>
              <w:t xml:space="preserve"> a </w:t>
            </w:r>
            <m:oMath xmlns:m="http://schemas.openxmlformats.org/officeDocument/2006/math">
              <m:r>
                <m:t>S</m:t>
              </m:r>
            </m:oMath>
            <w:r>
              <w:t xml:space="preserve">, la superficie quede a la izquierda (regla de la mano derecha).[2][7]\n\n</w:t>
            </w:r>
          </w:p>
          <w:p>
            <w:r>
              <w:t xml:space="preserve">El teorema generaliza el </w:t>
            </w:r>
            <w:r>
              <w:rPr>
                <w:b/>
              </w:rPr>
              <w:t xml:space="preserve">Teorema de Green</w:t>
            </w:r>
            <w:r>
              <w:t xml:space="preserve"> al espacio tridimensional. En el plano </w:t>
            </w:r>
            <m:oMath xmlns:m="http://schemas.openxmlformats.org/officeDocument/2006/math">
              <m:r>
                <m:t>x</m:t>
              </m:r>
              <m:r>
                <m:t>y</m:t>
              </m:r>
            </m:oMath>
            <w:r>
              <w:t xml:space="preserve">, si </w:t>
            </w:r>
            <m:oMath xmlns:m="http://schemas.openxmlformats.org/officeDocument/2006/math">
              <m:r>
                <m:t>S</m:t>
              </m:r>
            </m:oMath>
            <w:r>
              <w:t xml:space="preserve"> es una región plana con normal </w:t>
            </w:r>
            <m:oMath xmlns:m="http://schemas.openxmlformats.org/officeDocument/2006/math">
              <m:acc>
                <m:accPr>
                  <m:chr m:val="⃗"/>
                </m:accPr>
                <m:e>
                  <m:r>
                    <m:t>n</m:t>
                  </m:r>
                </m:e>
              </m:acc>
              <m:r>
                <m:t>=</m:t>
              </m:r>
              <m:r>
                <m:t>(</m:t>
              </m:r>
              <m:r>
                <m:t>0</m:t>
              </m:r>
              <m:r>
                <m:t>,</m:t>
              </m:r>
              <m:r>
                <m:t>0</m:t>
              </m:r>
              <m:r>
                <m:t>,</m:t>
              </m:r>
              <m:r>
                <m:t>1</m:t>
              </m:r>
              <m:r>
                <m:t>)</m:t>
              </m:r>
            </m:oMath>
            <w:r>
              <w:t xml:space="preserve">, entonces </w:t>
            </w:r>
            <m:oMath xmlns:m="http://schemas.openxmlformats.org/officeDocument/2006/math">
              <m:r>
                <m:t>∇</m:t>
              </m:r>
              <m:r>
                <m:t>×</m:t>
              </m:r>
              <m:acc>
                <m:accPr>
                  <m:chr m:val="⃗"/>
                </m:accPr>
                <m:e>
                  <m:r>
                    <m:t>F</m:t>
                  </m:r>
                </m:e>
              </m:acc>
              <m:r>
                <m:t>·</m:t>
              </m:r>
              <m:acc>
                <m:accPr>
                  <m:chr m:val="⃗"/>
                </m:accPr>
                <m:e>
                  <m:r>
                    <m:t>n</m:t>
                  </m:r>
                </m:e>
              </m:acc>
              <m:r>
                <m:t>=</m:t>
              </m:r>
              <m:f>
                <m:num>
                  <m:r>
                    <m:t>∂</m:t>
                  </m:r>
                  <m:r>
                    <m:t>Q</m:t>
                  </m:r>
                </m:num>
                <m:den>
                  <m:r>
                    <m:t>∂</m:t>
                  </m:r>
                  <m:r>
                    <m:t>x</m:t>
                  </m:r>
                </m:den>
              </m:f>
              <m:r>
                <m:t>-</m:t>
              </m:r>
              <m:f>
                <m:num>
                  <m:r>
                    <m:t>∂</m:t>
                  </m:r>
                  <m:r>
                    <m:t>P</m:t>
                  </m:r>
                </m:num>
                <m:den>
                  <m:r>
                    <m:t>∂</m:t>
                  </m:r>
                  <m:r>
                    <m:t>y</m:t>
                  </m:r>
                </m:den>
              </m:f>
            </m:oMath>
            <w:r>
              <w:t xml:space="preserve">, y el teorema se reduce a </w:t>
            </w:r>
            <m:oMath xmlns:m="http://schemas.openxmlformats.org/officeDocument/2006/math">
              <m:nary>
                <m:naryPr>
                  <m:chr m:val="∮"/>
                  <m:limLoc m:val="subSup"/>
                </m:naryPr>
                <m:sub>
                  <m:r>
                    <m:t>C</m:t>
                  </m:r>
                </m:sub>
                <m:sup/>
                <m:e>
                  <m:r>
                    <m:t/>
                  </m:r>
                </m:e>
              </m:nary>
              <m:r>
                <m:t>P</m:t>
              </m:r>
              <m:r>
                <m:t>\,</m:t>
              </m:r>
              <m:r>
                <m:t>d</m:t>
              </m:r>
              <m:r>
                <m:t>x</m:t>
              </m:r>
              <m:r>
                <m:t>+</m:t>
              </m:r>
              <m:r>
                <m:t>Q</m:t>
              </m:r>
              <m:r>
                <m:t>\,</m:t>
              </m:r>
              <m:r>
                <m:t>d</m:t>
              </m:r>
              <m:r>
                <m:t>y</m:t>
              </m:r>
              <m:r>
                <m:t>=</m:t>
              </m:r>
              <m:nary>
                <m:naryPr>
                  <m:chr m:val="∬"/>
                  <m:limLoc m:val="subSup"/>
                </m:naryPr>
                <m:sub>
                  <m:r>
                    <m:t>S</m:t>
                  </m:r>
                </m:sub>
                <m:sup/>
                <m:e>
                  <m:r>
                    <m:t/>
                  </m:r>
                </m:e>
              </m:nary>
              <m:r>
                <m:t>(</m:t>
              </m:r>
              <m:f>
                <m:num>
                  <m:r>
                    <m:t>∂</m:t>
                  </m:r>
                  <m:r>
                    <m:t>Q</m:t>
                  </m:r>
                </m:num>
                <m:den>
                  <m:r>
                    <m:t>∂</m:t>
                  </m:r>
                  <m:r>
                    <m:t>x</m:t>
                  </m:r>
                </m:den>
              </m:f>
              <m:r>
                <m:t>-</m:t>
              </m:r>
              <m:f>
                <m:num>
                  <m:r>
                    <m:t>∂</m:t>
                  </m:r>
                  <m:r>
                    <m:t>P</m:t>
                  </m:r>
                </m:num>
                <m:den>
                  <m:r>
                    <m:t>∂</m:t>
                  </m:r>
                  <m:r>
                    <m:t>y</m:t>
                  </m:r>
                </m:den>
              </m:f>
              <m:r>
                <m:t>)</m:t>
              </m:r>
              <m:r>
                <m:t>d</m:t>
              </m:r>
              <m:r>
                <m:t>A</m:t>
              </m:r>
            </m:oMath>
            <w:r>
              <w:t xml:space="preserve">, que es exactamente Green's theorem.[1][8] Esto muestra la </w:t>
            </w:r>
            <w:r>
              <w:rPr>
                <w:b/>
              </w:rPr>
              <w:t xml:space="preserve">regularidad</w:t>
            </w:r>
            <w:r>
              <w:t xml:space="preserve"> entre integrales en 2D y 3D, permitiendo identificar equivalencias entre magnitudes como circulaciones y flujos de rotacionales, y modelar cambios en campos vectoriales mediante expresiones algebraicas de derivadas parciales.\n\n</w:t>
            </w:r>
          </w:p>
          <w:p/>
          <w:p>
            <w:r>
              <w:t xml:space="preserve">La orientación es crucial: el sentido de </w:t>
            </w:r>
            <m:oMath xmlns:m="http://schemas.openxmlformats.org/officeDocument/2006/math">
              <m:r>
                <m:t>C</m:t>
              </m:r>
            </m:oMath>
            <w:r>
              <w:t xml:space="preserve"> induce el de </w:t>
            </w:r>
            <m:oMath xmlns:m="http://schemas.openxmlformats.org/officeDocument/2006/math">
              <m:acc>
                <m:accPr>
                  <m:chr m:val="⃗"/>
                </m:accPr>
                <m:e>
                  <m:r>
                    <m:t>N</m:t>
                  </m:r>
                </m:e>
              </m:acc>
            </m:oMath>
            <w:r>
              <w:t xml:space="preserve"> vía la "regla del sacacorchos" o mano derecha. Por ejemplo, para un cono, si </w:t>
            </w:r>
            <m:oMath xmlns:m="http://schemas.openxmlformats.org/officeDocument/2006/math">
              <m:r>
                <m:t>C</m:t>
              </m:r>
            </m:oMath>
            <w:r>
              <w:t xml:space="preserve"> se recorre en sentido horario visto desde arriba, </w:t>
            </w:r>
            <m:oMath xmlns:m="http://schemas.openxmlformats.org/officeDocument/2006/math">
              <m:acc>
                <m:accPr>
                  <m:chr m:val="⃗"/>
                </m:accPr>
                <m:e>
                  <m:r>
                    <m:t>N</m:t>
                  </m:r>
                </m:e>
              </m:acc>
            </m:oMath>
            <w:r>
              <w:t xml:space="preserve"> apunta hacia el interior.[1] Si </w:t>
            </w:r>
            <m:oMath xmlns:m="http://schemas.openxmlformats.org/officeDocument/2006/math">
              <m:acc>
                <m:accPr>
                  <m:chr m:val="⃗"/>
                </m:accPr>
                <m:e>
                  <m:r>
                    <m:t>F</m:t>
                  </m:r>
                </m:e>
              </m:acc>
            </m:oMath>
            <w:r>
              <w:t xml:space="preserve"> es conservativo (</w:t>
            </w:r>
            <m:oMath xmlns:m="http://schemas.openxmlformats.org/officeDocument/2006/math">
              <m:r>
                <m:t>∇</m:t>
              </m:r>
              <m:r>
                <m:t>×</m:t>
              </m:r>
              <m:acc>
                <m:accPr>
                  <m:chr m:val="⃗"/>
                </m:accPr>
                <m:e>
                  <m:r>
                    <m:t>F</m:t>
                  </m:r>
                </m:e>
              </m:acc>
              <m:r>
                <m:t>=</m:t>
              </m:r>
              <m:acc>
                <m:accPr>
                  <m:chr m:val="⃗"/>
                </m:accPr>
                <m:e>
                  <m:r>
                    <m:t>0</m:t>
                  </m:r>
                </m:e>
              </m:acc>
            </m:oMath>
            <w:r>
              <w:t xml:space="preserve">), ambas integrales son cero, ilustrando </w:t>
            </w:r>
            <w:r>
              <w:rPr>
                <w:b/>
              </w:rPr>
              <w:t xml:space="preserve">condiciones de equivalencia</w:t>
            </w:r>
            <w:r>
              <w:t xml:space="preserve">.[2] Aplicaciones incluyen física: la circulación de un campo (como velocidad de fluido) alrededor de </w:t>
            </w:r>
            <m:oMath xmlns:m="http://schemas.openxmlformats.org/officeDocument/2006/math">
              <m:r>
                <m:t>C</m:t>
              </m:r>
            </m:oMath>
            <w:r>
              <w:t xml:space="preserve"> equivale al flujo del rotacional a través de </w:t>
            </w:r>
            <m:oMath xmlns:m="http://schemas.openxmlformats.org/officeDocument/2006/math">
              <m:r>
                <m:t>S</m:t>
              </m:r>
            </m:oMath>
            <w:r>
              <w:t xml:space="preserve">, midiendo "vorticidad" total, útil en dinámica de fluidos.[5][8]\n\n</w:t>
            </w:r>
          </w:p>
          <w:p/>
          <w:p>
            <w:r>
              <w:t xml:space="preserve">En problemas prácticos, se verifica calculando ambas integrales. Por ejemplo, para </w:t>
            </w:r>
            <m:oMath xmlns:m="http://schemas.openxmlformats.org/officeDocument/2006/math">
              <m:acc>
                <m:accPr>
                  <m:chr m:val="⃗"/>
                </m:accPr>
                <m:e>
                  <m:r>
                    <m:t>F</m:t>
                  </m:r>
                </m:e>
              </m:acc>
              <m:r>
                <m:t>=</m:t>
              </m:r>
              <m:r>
                <m:t>(</m:t>
              </m:r>
              <m:r>
                <m:t>-</m:t>
              </m:r>
              <m:r>
                <m:t>y</m:t>
              </m:r>
              <m:r>
                <m:t>,</m:t>
              </m:r>
              <m:r>
                <m:t>x</m:t>
              </m:r>
              <m:r>
                <m:t>,</m:t>
              </m:r>
              <m:r>
                <m:t>z</m:t>
              </m:r>
              <m:r>
                <m:t>)</m:t>
              </m:r>
            </m:oMath>
            <w:r>
              <w:t xml:space="preserve"> en una curva circular en el plano </w:t>
            </w:r>
            <m:oMath xmlns:m="http://schemas.openxmlformats.org/officeDocument/2006/math">
              <m:r>
                <m:t>x</m:t>
              </m:r>
              <m:r>
                <m:t>y</m:t>
              </m:r>
            </m:oMath>
            <w:r>
              <w:t xml:space="preserve">, la integral de línea da </w:t>
            </w:r>
            <m:oMath xmlns:m="http://schemas.openxmlformats.org/officeDocument/2006/math">
              <m:r>
                <m:t>-</m:t>
              </m:r>
              <m:r>
                <m:t>π</m:t>
              </m:r>
            </m:oMath>
            <w:r>
              <w:t xml:space="preserve"> y la de superficie confirma el valor, con signo indicando dirección opuesta al normal.[1] Esto resuelve problemas de </w:t>
            </w:r>
            <w:r>
              <w:rPr>
                <w:b/>
              </w:rPr>
              <w:t xml:space="preserve">cambio</w:t>
            </w:r>
            <w:r>
              <w:t xml:space="preserve"> y </w:t>
            </w:r>
            <w:r>
              <w:rPr>
                <w:b/>
              </w:rPr>
              <w:t xml:space="preserve">variación</w:t>
            </w:r>
            <w:r>
              <w:t xml:space="preserve"> entre magnitudes, transformando a modelos gráficos (superficies parametrizadas) o algebraicos (sistemas con derivadas parciales), fomentando relaciones entre datos conocidos y desconocidos en contextos reales como flujos de gases o electromagnetismo.[3][5][7]\n\n  \n\n</w:t>
            </w:r>
            <w:r>
              <w:rPr>
                <w:b/>
              </w:rPr>
              <w:t xml:space="preserve">El inicio</w:t>
            </w:r>
            <w:r>
              <w:t xml:space="preserve">\n\n</w:t>
            </w:r>
          </w:p>
          <w:p>
            <w:r>
              <w:rPr>
                <w:b/>
              </w:rPr>
              <w:t xml:space="preserve">Saludo</w:t>
            </w:r>
            <w:r>
              <w:t xml:space="preserve">\n\n</w:t>
            </w:r>
          </w:p>
          <w:p>
            <w:r>
              <w:t xml:space="preserve">¡Buenos días, queridos estudiantes de quinto de secundaria! Imaginen que están flotando en un río turbulento: ¿cómo miden el giro del agua alrededor de una isla sin mojarse? Hoy exploraremos esa magia matemática. ¡Bienvenidos a una clase emocionante donde conectaremos curvas, superficies y vectores!\n\n</w:t>
            </w:r>
          </w:p>
          <w:p>
            <w:r>
              <w:rPr>
                <w:b/>
              </w:rPr>
              <w:t xml:space="preserve">Acuerdos de convivencia</w:t>
            </w:r>
            <w:r>
              <w:t xml:space="preserve">\n\n</w:t>
            </w:r>
          </w:p>
          <w:p>
            <w:r>
              <w:t xml:space="preserve">Para nuestra sesión, acordemos:\n\n</w:t>
            </w:r>
          </w:p>
          <w:p>
            <w:pPr>
              <w:numPr>
                <w:ilvl w:val="0"/>
                <w:numId w:val="1"/>
              </w:numPr>
            </w:pPr>
            <w:r>
              <w:t xml:space="preserve">Escuchar activamente a todos, levantando la mano para intervenir.\n\n</w:t>
            </w:r>
          </w:p>
          <w:p>
            <w:pPr>
              <w:numPr>
                <w:ilvl w:val="0"/>
                <w:numId w:val="1"/>
              </w:numPr>
            </w:pPr>
            <w:r>
              <w:t xml:space="preserve">Respetar ideas ajenas, celebrando errores como pasos al aprendizaje.\n\n</w:t>
            </w:r>
          </w:p>
          <w:p>
            <w:pPr>
              <w:numPr>
                <w:ilvl w:val="0"/>
                <w:numId w:val="1"/>
              </w:numPr>
            </w:pPr>
            <w:r>
              <w:t xml:space="preserve">Mantener el entusiasmo, colaborando con materiales y compañeros.\n\n</w:t>
            </w:r>
          </w:p>
          <w:p>
            <w:r>
              <w:rPr>
                <w:b/>
              </w:rPr>
              <w:t xml:space="preserve">Motivación</w:t>
            </w:r>
            <w:r>
              <w:t xml:space="preserve">\n\n</w:t>
            </w:r>
          </w:p>
          <w:p>
            <w:r>
              <w:t xml:space="preserve">¿Han visto cómo el agua gira en un remolino o un chorro de humo se arremolina? ¿Qué pasaría si pudiéramos calcular ese "giro" sin recorrer toda la curva? Compartan sus ideas.\n\n</w:t>
            </w:r>
          </w:p>
          <w:p>
            <w:r>
              <w:rPr>
                <w:b/>
              </w:rPr>
              <w:t xml:space="preserve">Actividad 1: El remolino imaginario (3 minutos)</w:t>
            </w:r>
            <w:r>
              <w:t xml:space="preserve">\n\n</w:t>
            </w:r>
          </w:p>
          <w:p>
            <w:r>
              <w:t xml:space="preserve">Dibujen en su cuaderno un círculo en una hoja y usen lápices de colores para simular un campo vectorial: rojo para flechas girando clockwise alrededor del círculo, azul para counterclockwise. Coloreen el interior como "superficie".\n\n</w:t>
            </w:r>
          </w:p>
          <w:p>
            <w:r>
              <w:t xml:space="preserve">Preguntas: 1. ¿El "flujo" de colores cambia si invierto las flechas en la curva? 2. ¿Cómo relacionarías el giro en el borde con el interior coloreado?\n\n</w:t>
            </w:r>
          </w:p>
          <w:p>
            <w:r>
              <w:rPr>
                <w:b/>
              </w:rPr>
              <w:t xml:space="preserve">Actividad 2: La hélice voladora (3 minutos)</w:t>
            </w:r>
            <w:r>
              <w:t xml:space="preserve">\n\n</w:t>
            </w:r>
          </w:p>
          <w:p>
            <w:r>
              <w:t xml:space="preserve">Con las manos, formen una hélice girando un lápiz como sacacorchos. Recórranla con el dedo índice en sentido horario y observen hacia dónde "apunta" el pulgar.</w:t>
            </w:r>
          </w:p>
          <w:p>
            <w:r>
              <w:t xml:space="preserve">Preguntas: 1. ¿Por qué el pulgar siempre señala una dirección fija al girar la curva? 2. ¿Cambiaría si la superficie fuera una esfera en vez de un plano?  \n\n</w:t>
            </w:r>
          </w:p>
          <w:p>
            <w:r>
              <w:rPr>
                <w:b/>
              </w:rPr>
              <w:t xml:space="preserve">Recojo de saberes previos</w:t>
            </w:r>
            <w:r>
              <w:t xml:space="preserve">\n\n</w:t>
            </w:r>
          </w:p>
          <w:p>
            <w:r>
              <w:t xml:space="preserve">¿Qué recuerdan del Teorema de Green? ¿Cómo se calcula una integral de línea a lo largo de una curva parametrizada? ¿Qué es el rotacional de un campo vectorial y para qué sirve? ¿Han oído de circulación o flujo en física? Levanten la mano y compartan un ejemplo.\n\n</w:t>
            </w:r>
          </w:p>
          <w:p>
            <w:r>
              <w:rPr>
                <w:b/>
              </w:rPr>
              <w:t xml:space="preserve">Introducción</w:t>
            </w:r>
            <w:r>
              <w:t xml:space="preserve">\n\n</w:t>
            </w:r>
          </w:p>
          <w:p>
            <w:r>
              <w:t xml:space="preserve">El Teorema de Stokes nos permite resolver problemas complejos de regularidad y equivalencia entre integrales de línea y superficie, modelando cambios en campos vectoriales mediante expresiones algebraicas y gráficas.\n\n</w:t>
            </w:r>
          </w:p>
          <w:p>
            <w:r>
              <w:rPr>
                <w:b/>
              </w:rPr>
              <w:t xml:space="preserve">Presentación del Título</w:t>
            </w:r>
            <w:r>
              <w:t xml:space="preserve">\n\n</w:t>
            </w:r>
          </w:p>
          <w:p>
            <w:r>
              <w:t xml:space="preserve">¡Hoy trabajaremos en </w:t>
            </w:r>
            <w:r>
              <w:rPr>
                <w:b/>
              </w:rPr>
              <w:t xml:space="preserve">"Teorema de Stokes: Del giro en curvas al flujo en superficies"</w:t>
            </w:r>
            <w:r>
              <w:t xml:space="preserve">! Exploraremos su enunciado, lo aplicaremos a problemas y resolveremos desaf</w:t>
            </w:r>
          </w:p>
          <w:p>
            <w:r>
              <w:t xml:space="preserve">Según Piaget, generemos </w:t>
            </w:r>
            <w:r>
              <w:rPr>
                <w:b/>
              </w:rPr>
              <w:t xml:space="preserve">conflicto cognitivo</w:t>
            </w:r>
            <w:r>
              <w:t xml:space="preserve"> activando asimilación y acomodación ante discrepancias.</w:t>
            </w:r>
          </w:p>
          <w:p/>
          <w:p>
            <w:r>
              <w:rPr>
                <w:b/>
              </w:rPr>
              <w:t xml:space="preserve">Actividad 1: El globo fugaz (4 minutos)</w:t>
            </w:r>
          </w:p>
          <w:p>
            <w:r>
              <w:t xml:space="preserve">En grupos de 3, imaginen un globo aerostático con gases saliendo en un campo vectorial </w:t>
            </w:r>
            <m:oMath xmlns:m="http://schemas.openxmlformats.org/officeDocument/2006/math">
              <m:acc>
                <m:accPr>
                  <m:chr m:val="⃗"/>
                </m:accPr>
                <m:e>
                  <m:r>
                    <m:t>F</m:t>
                  </m:r>
                </m:e>
              </m:acc>
              <m:r>
                <m:t>=</m:t>
              </m:r>
              <m:r>
                <m:t>(</m:t>
              </m:r>
              <m:r>
                <m:t>-</m:t>
              </m:r>
              <m:r>
                <m:t>y</m:t>
              </m:r>
              <m:r>
                <m:t>,</m:t>
              </m:r>
              <m:r>
                <m:t>x</m:t>
              </m:r>
              <m:r>
                <m:t>,</m:t>
              </m:r>
              <m:r>
                <m:t>z</m:t>
              </m:r>
              <m:r>
                <m:t>)</m:t>
              </m:r>
            </m:oMath>
            <w:r>
              <w:t xml:space="preserve"> por una curva circular </w:t>
            </w:r>
            <m:oMath xmlns:m="http://schemas.openxmlformats.org/officeDocument/2006/math">
              <m:r>
                <m:t>C</m:t>
              </m:r>
            </m:oMath>
            <w:r>
              <w:t xml:space="preserve"> en el plano </w:t>
            </w:r>
            <m:oMath xmlns:m="http://schemas.openxmlformats.org/officeDocument/2006/math">
              <m:r>
                <m:t>x</m:t>
              </m:r>
              <m:r>
                <m:t>y</m:t>
              </m:r>
            </m:oMath>
            <w:r>
              <w:t xml:space="preserve"> de radio 1. Calculen mentalmente la "circulación" recorriendo </w:t>
            </w:r>
            <m:oMath xmlns:m="http://schemas.openxmlformats.org/officeDocument/2006/math">
              <m:r>
                <m:t>C</m:t>
              </m:r>
            </m:oMath>
            <w:r>
              <w:t xml:space="preserve"> paso a paso (sumen "flechas tangentes"). Ahora, piensen en la superficie del "tapón" plano interior: ¿el flujo de rotacional por ahí sería igual? Dibujen y predigan: ¿positivo, negativo o cero? (Conflicto: intuitivamente parece "giro nulo", pero rotacional revela vorticidad).[5] Detalle: Usen regla para medir "giro total" en 4 puntos de </w:t>
            </w:r>
            <m:oMath xmlns:m="http://schemas.openxmlformats.org/officeDocument/2006/math">
              <m:r>
                <m:t>C</m:t>
              </m:r>
            </m:oMath>
            <w:r>
              <w:t xml:space="preserve">, sumen aproximados; comparen con "giro interno".</w:t>
            </w:r>
          </w:p>
          <w:p/>
          <w:p>
            <w:r>
              <w:rPr>
                <w:b/>
              </w:rPr>
              <w:t xml:space="preserve">Actividad 2: La montaña invertida (4 minutos)</w:t>
            </w:r>
          </w:p>
          <w:p>
            <w:r>
              <w:t xml:space="preserve">Con plastilina o papel, formen un cono (superficie </w:t>
            </w:r>
            <m:oMath xmlns:m="http://schemas.openxmlformats.org/officeDocument/2006/math">
              <m:r>
                <m:t>S</m:t>
              </m:r>
            </m:oMath>
            <w:r>
              <w:t xml:space="preserve">) con base circular </w:t>
            </w:r>
            <m:oMath xmlns:m="http://schemas.openxmlformats.org/officeDocument/2006/math">
              <m:r>
                <m:t>C</m:t>
              </m:r>
            </m:oMath>
            <w:r>
              <w:t xml:space="preserve">. "Soplen" aire simulando campo </w:t>
            </w:r>
            <m:oMath xmlns:m="http://schemas.openxmlformats.org/officeDocument/2006/math">
              <m:acc>
                <m:accPr>
                  <m:chr m:val="⃗"/>
                </m:accPr>
                <m:e>
                  <m:r>
                    <m:t>F</m:t>
                  </m:r>
                </m:e>
              </m:acc>
            </m:oMath>
            <w:r>
              <w:t xml:space="preserve"> giratorio alrededor de </w:t>
            </w:r>
            <m:oMath xmlns:m="http://schemas.openxmlformats.org/officeDocument/2006/math">
              <m:r>
                <m:t>C</m:t>
              </m:r>
            </m:oMath>
            <w:r>
              <w:t xml:space="preserve">. ¿Sale más aire por la base curva o por una superficie plana alternativa tapando el mismo borde? Predigan midiendo "flujo" con papelitos volando. (Conflicto: regla de sacacorchos muestra normal hacia adentro del cono, invirtiendo signo esperado).[1] Detalle: Marquen 5 puntos en </w:t>
            </w:r>
            <m:oMath xmlns:m="http://schemas.openxmlformats.org/officeDocument/2006/math">
              <m:r>
                <m:t>C</m:t>
              </m:r>
            </m:oMath>
            <w:r>
              <w:t xml:space="preserve">, dibujen vectores tangentes; "calcular" flujo manual sumando direcciones hacia normal predicha.</w:t>
            </w:r>
          </w:p>
        </w:tc>
        <w:tc>
          <w:tcPr>
            <w:tcW w:w="1526"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20 minutos</w:t>
            </w:r>
          </w:p>
        </w:tc>
      </w:tr>
      <w:tr>
        <w:trPr>
          <w:trHeight w:val="404" w:hRule="atLeast"/>
        </w:trPr>
        <w:tc>
          <w:tcPr>
            <w:tcW w:w="1304" w:type="dxa"/>
            <w:tcBorders/>
          </w:tcPr>
          <w:p>
            <w:pPr>
              <w:pStyle w:val="Normal"/>
              <w:widowControl/>
              <w:spacing w:lineRule="auto" w:line="240" w:before="0" w:after="0"/>
              <w:jc w:val="center"/>
              <w:rPr>
                <w:rFonts w:ascii="Calibri" w:hAnsi="Calibri" w:eastAsia="Calibri" w:cs="Arial"/>
                <w:kern w:val="2"/>
                <w:sz w:val="22"/>
                <w:szCs w:val="22"/>
                <w:lang w:val="es-PE" w:eastAsia="en-US" w:bidi="ar-SA"/>
              </w:rPr>
            </w:pPr>
            <w:r>
              <w:rPr>
                <w:rFonts w:eastAsia="Calibri" w:cs="Arial"/>
                <w:kern w:val="2"/>
                <w:sz w:val="22"/>
                <w:szCs w:val="22"/>
                <w:lang w:val="es-PE" w:eastAsia="en-US" w:bidi="ar-SA"/>
              </w:rPr>
              <w:t xml:space="preserve">Desarrollo </w:t>
            </w:r>
          </w:p>
        </w:tc>
        <w:tc>
          <w:tcPr>
            <w:tcW w:w="7960" w:type="dxa"/>
            <w:tcBorders/>
          </w:tcPr>
          <w:p>
            <w:r>
              <w:t xml:space="preserve">Desarrollo</w:t>
            </w:r>
          </w:p>
          <w:p/>
          <w:p>
            <w:pPr>
              <w:numPr>
                <w:ilvl w:val="0"/>
                <w:numId w:val="1"/>
              </w:numPr>
            </w:pPr>
            <w:r>
              <w:t xml:space="preserve">Familiarización con el problema</w:t>
            </w:r>
          </w:p>
          <w:p/>
          <w:p>
            <w:r>
              <w:t xml:space="preserve">Problema de ejemplo: Sea el campo vectorial F(x,y,z)=(y,-x,0). Calcule la circulación de F a lo largo de la curva cerrada C que es la intersección del cilindro x²+y²=1 con el plano z=0. Utilice el Teorema de Stokes y transforme la integral de línea en una integral de superficie algebraicamente manejable.</w:t>
            </w:r>
          </w:p>
          <w:p/>
          <w:p>
            <w:r>
              <w:t xml:space="preserve">Piezas matemáticas identificadas: Campos vectoriales y su representación en coordenadas cartesianas. Curvas cerradas y superficies con límites definidos. Operaciones de cálculo vectorial: rotacional ∇×F. Integrales de línea y de superficie.</w:t>
            </w:r>
          </w:p>
          <w:p/>
          <w:p>
            <w:pPr>
              <w:numPr>
                <w:ilvl w:val="0"/>
                <w:numId w:val="1"/>
              </w:numPr>
            </w:pPr>
            <w:r>
              <w:t xml:space="preserve">Búsqueda y ejecución de estrategias</w:t>
            </w:r>
          </w:p>
          <w:p/>
          <w:p>
            <w:r>
              <w:t xml:space="preserve">Pasos: 1) Determinar el rotacional: ∇×F=(0,0,-2). 2) Elegir la superficie S: parte superior de la esfera de radio 1. 3) Parametrizar S: r(θ,φ)=(sinφcosθ, sinφsinθ, cosφ) con φ∈[0,π/2], θ∈[0,2π]. 4) Calcular el área diferencial dS. 5) Evaluar la integral de superficie: resultado = -π. 6) Interpretar: la circulación es -π, constante que muestra la regularidad del campo alrededor de la curva.</w:t>
            </w:r>
          </w:p>
          <w:p/>
          <w:p>
            <w:pPr>
              <w:numPr>
                <w:ilvl w:val="0"/>
                <w:numId w:val="1"/>
              </w:numPr>
            </w:pPr>
            <w:r>
              <w:t xml:space="preserve">Socialización de representaciones</w:t>
            </w:r>
          </w:p>
          <w:p/>
          <w:p>
            <w:r>
              <w:t xml:space="preserve">Los estudiantes presentan sus soluciones y comparan métodos. Se discuten las ventajas de elegir superficies con alta simetría. Se confrontan dudas sobre orientación y dirección del flujo.</w:t>
            </w:r>
          </w:p>
          <w:p/>
          <w:p>
            <w:pPr>
              <w:numPr>
                <w:ilvl w:val="0"/>
                <w:numId w:val="1"/>
              </w:numPr>
            </w:pPr>
            <w:r>
              <w:t xml:space="preserve">Reflexión y Formalización</w:t>
            </w:r>
          </w:p>
          <w:p/>
          <w:p>
            <w:r>
              <w:t xml:space="preserve">Regularidad: el resultado -π demuestra que la circulación depende solo de la orientación y topología de la curva. Equivalencia: entre integral de línea y de superficie como cambio de variable. Aplicación práctica: el Teorema de Stokes es esencial en física y en ingeniería.</w:t>
            </w:r>
          </w:p>
          <w:p/>
          <w:p>
            <w:pPr>
              <w:numPr>
                <w:ilvl w:val="0"/>
                <w:numId w:val="1"/>
              </w:numPr>
            </w:pPr>
            <w:r>
              <w:t xml:space="preserve">Planteamiento de otros problemas</w:t>
            </w:r>
          </w:p>
          <w:p/>
          <w:p>
            <w:r>
              <w:t xml:space="preserve">Problema 1: Dado G(x,y,z)=(z,0,-x), calcule la circulación sobre la circunferencia de radio 2 en el plano y=0. Use el Teorema de Stokes.</w:t>
            </w:r>
          </w:p>
          <w:p/>
          <w:p>
            <w:r>
              <w:t xml:space="preserve">Problema 2: Para H(x,y,z)=(xy,yz,zx), determine la circulación alrededor de la intersección de la esfera x²+y²+z²=9 con el plano z=3.</w:t>
            </w:r>
          </w:p>
          <w:p/>
          <w:p>
            <w:r>
              <w:t xml:space="preserve">Problema 3: Sea K(x,y,z)=(eˣ,eʸ,eᶻ). Calcule la circulación sobre la base de un cono de radio 1 y altura 1.</w:t>
            </w:r>
          </w:p>
        </w:tc>
        <w:tc>
          <w:tcPr>
            <w:tcW w:w="1526"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50 minutos</w:t>
            </w:r>
          </w:p>
        </w:tc>
      </w:tr>
      <w:tr>
        <w:trPr>
          <w:trHeight w:val="440" w:hRule="atLeast"/>
        </w:trPr>
        <w:tc>
          <w:tcPr>
            <w:tcW w:w="1304" w:type="dxa"/>
            <w:tcBorders/>
          </w:tcPr>
          <w:p>
            <w:pPr>
              <w:pStyle w:val="Normal"/>
              <w:widowControl/>
              <w:spacing w:lineRule="auto" w:line="240" w:before="0" w:after="0"/>
              <w:jc w:val="center"/>
              <w:rPr>
                <w:rFonts w:ascii="Calibri" w:hAnsi="Calibri" w:eastAsia="Calibri" w:cs="Arial"/>
                <w:kern w:val="2"/>
                <w:sz w:val="22"/>
                <w:szCs w:val="22"/>
                <w:lang w:val="es-PE" w:eastAsia="en-US" w:bidi="ar-SA"/>
              </w:rPr>
            </w:pPr>
            <w:r>
              <w:rPr>
                <w:rFonts w:eastAsia="Calibri" w:cs="Arial"/>
                <w:kern w:val="2"/>
                <w:sz w:val="22"/>
                <w:szCs w:val="22"/>
                <w:lang w:val="es-PE" w:eastAsia="en-US" w:bidi="ar-SA"/>
              </w:rPr>
              <w:t>Cierre</w:t>
            </w:r>
          </w:p>
        </w:tc>
        <w:tc>
          <w:tcPr>
            <w:tcW w:w="7960" w:type="dxa"/>
            <w:tcBorders/>
          </w:tcPr>
          <w:p>
            <w:r>
              <w:t xml:space="preserve">Cierre - 10 minutos</w:t>
            </w:r>
          </w:p>
          <w:p/>
          <w:p>
            <w:r>
              <w:t xml:space="preserve">Metacognición: 1. ¿Qué parte del proceso me resultó más fácil y por qué? 2. ¿En qué momento sentí que necesitaba ayuda? 3. ¿Cómo puedo describir la relación entre la integral de línea y la de superficie? 4. ¿Qué estrategias de simplificación me funcionaron mejor? 5. ¿Qué aspecto me hizo más curiosidad?</w:t>
            </w:r>
          </w:p>
          <w:p/>
          <w:p>
            <w:r>
              <w:t xml:space="preserve">Reflexión: Hoy hemos recorrido todo el camino que une una descripción geométrica de una curva con la evaluación numérica de la circulación de un campo vectorial. Al convertir la integral de línea en una integral de superficie hemos visto de forma concreta la equivalencia que propone el Teorema de Stokes, y al aprovechar la simetría hemos descubierto cómo la regularidad del problema se traduce en una expresión algebraica simple (-π).</w:t>
            </w:r>
          </w:p>
          <w:p/>
          <w:p>
            <w:r>
              <w:t xml:space="preserve">Preguntas para consolidar: 1. ¿Qué ocurre con la circulación si cambiamos la orientación de la curva? 2. ¿Cómo se vería el resultado si el campo tuviera componente en z? 3. ¿Qué ventajas tiene elegir una superficie plana frente a una curva complicada? 4. ¿De qué manera el Teorema de Stokes se relaciona con el Teorema de Green? 5. ¿En qué situaciones de física o ingeniería podemos aplicar este razonamiento?</w:t>
            </w:r>
          </w:p>
          <w:p/>
          <w:p>
            <w:r>
              <w:t xml:space="preserve">¡Buen trabajo a todos! Sigamos explorando cómo las ideas de equivalencia, regularidad y cambio aparecen en distintos contextos matemáticos y científicos.</w:t>
            </w:r>
          </w:p>
        </w:tc>
        <w:tc>
          <w:tcPr>
            <w:tcW w:w="1526" w:type="dxa"/>
            <w:tcBorders/>
          </w:tcPr>
          <w:p>
            <w:pPr>
              <w:pStyle w:val="Normal"/>
              <w:widowControl/>
              <w:spacing w:lineRule="auto" w:line="240" w:before="0" w:after="0"/>
              <w:jc w:val="left"/>
              <w:rPr>
                <w:sz w:val="18"/>
                <w:szCs w:val="18"/>
              </w:rPr>
            </w:pPr>
            <w:r>
              <w:rPr>
                <w:rFonts w:eastAsia="Calibri" w:cs="Arial"/>
                <w:kern w:val="2"/>
                <w:sz w:val="18"/>
                <w:szCs w:val="18"/>
                <w:lang w:val="es-PE" w:eastAsia="en-US" w:bidi="ar-SA"/>
              </w:rPr>
              <w:t>10 minutos</w:t>
            </w:r>
          </w:p>
        </w:tc>
      </w:tr>
    </w:tbl>
    <w:p>
      <w:pPr>
        <w:pStyle w:val="Normal"/>
        <w:rPr>
          <w:b/>
          <w:bCs/>
          <w:sz w:val="24"/>
          <w:szCs w:val="24"/>
          <w:u w:val="single"/>
        </w:rPr>
      </w:pPr>
      <w:r>
        <w:rPr>
          <w:b/>
          <w:bCs/>
          <w:sz w:val="24"/>
          <w:szCs w:val="24"/>
          <w:u w:val="single"/>
        </w:rPr>
      </w:r>
    </w:p>
    <w:p>
      <w:pPr>
        <w:pStyle w:val="Normal"/>
        <w:shd w:val="clear" w:color="auto" w:fill="2F4060"/>
        <w:rPr>
          <w:b/>
          <w:bCs/>
          <w:color w:themeColor="background1" w:val="FFFFFF"/>
          <w:sz w:val="32"/>
          <w:szCs w:val="32"/>
        </w:rPr>
      </w:pPr>
      <w:r>
        <w:rPr>
          <w:b/>
          <w:bCs/>
          <w:color w:themeColor="background1" w:val="FFFFFF"/>
          <w:sz w:val="32"/>
          <w:szCs w:val="32"/>
        </w:rPr>
        <w:t xml:space="preserve">Ficha de Aprendizaje            </w:t>
      </w:r>
    </w:p>
    <w:tbl>
      <w:tblPr>
        <w:tblStyle w:val="Tablaconcuadrcula"/>
        <w:tblW w:w="10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85"/>
      </w:tblGrid>
      <w:tr>
        <w:trPr/>
        <w:tc>
          <w:tcPr>
            <w:tcW w:w="10885" w:type="dxa"/>
            <w:tcBorders/>
            <w:shd w:color="auto" w:fill="2F4060" w:val="clear"/>
          </w:tcPr>
          <w:p>
            <w:pPr>
              <w:pStyle w:val="Normal"/>
              <w:widowControl/>
              <w:spacing w:lineRule="auto" w:line="240" w:before="0" w:after="0"/>
              <w:jc w:val="left"/>
              <w:rPr>
                <w:b/>
                <w:bCs/>
                <w:sz w:val="32"/>
                <w:szCs w:val="32"/>
                <w:u w:val="single"/>
              </w:rPr>
            </w:pPr>
            <w:r>
              <w:rPr>
                <w:rFonts w:eastAsia="Calibri" w:cs="Arial"/>
                <w:b/>
                <w:bCs/>
                <w:color w:themeColor="background1" w:val="FFFFFF"/>
                <w:kern w:val="2"/>
                <w:sz w:val="24"/>
                <w:szCs w:val="24"/>
                <w:lang w:val="es-PE" w:eastAsia="en-US" w:bidi="ar-SA"/>
              </w:rPr>
              <w:t>Ejercicios y respuestas</w:t>
            </w:r>
          </w:p>
        </w:tc>
      </w:tr>
      <w:tr>
        <w:trPr/>
        <w:tc>
          <w:tcPr>
            <w:tcW w:w="10885" w:type="dxa"/>
            <w:tcBorders/>
          </w:tcPr>
          <w:p>
            <w:r>
              <w:t xml:space="preserve">Ficha 1 - Aplicación básica del Teorema de Stokes</w:t>
            </w:r>
          </w:p>
          <w:p/>
          <w:p>
            <w:r>
              <w:t xml:space="preserve">Enunciado: Sea F(x,y,z)=&lt;y,x,z&gt;. Sea S la porción del plano z=1 limitada por el círculo x²+y²=4. Sea C=∂S la circunferencia en sentido positivo. 1) Calcule ∇×F. 2) Usando el Teorema de Stokes, evalúe ∮_C F·dr. 3) Transforme la respuesta en una expresión algebraica para radio variable R.</w:t>
            </w:r>
          </w:p>
          <w:p/>
          <w:p>
            <w:r>
              <w:t xml:space="preserve">Respuesta: ∇×F=&lt;1,-1,0&gt;. (∇×F)·n=0. Por lo tanto ∮_C F·dr=0. La circulación no depende del radio; la expresión es 0 para todo R.</w:t>
            </w:r>
          </w:p>
          <w:p/>
          <w:p>
            <w:r>
              <w:t xml:space="preserve">---</w:t>
            </w:r>
          </w:p>
          <w:p/>
          <w:p>
            <w:r>
              <w:t xml:space="preserve">Ficha 2 - Relación de equivalencia entre dos superficies</w:t>
            </w:r>
          </w:p>
          <w:p/>
          <w:p>
            <w:r>
              <w:t xml:space="preserve">Enunciado: Considere F(x,y,z)=&lt;y,x,z&gt; y dos superficies: S1 parte del cilindro x²+y²=4 entre z=0 y z=2. S2 parte del plano y=0 entre el círculo de radio 2 y el plano z=2. Sea C la curva común. 1) Calcule ∮_C F·dr usando S1. 2) Calcule la misma circulación usando S2. 3) Demuestre la equivalencia.</w:t>
            </w:r>
          </w:p>
          <w:p/>
          <w:p>
            <w:r>
              <w:t xml:space="preserve">Respuesta: Para S1: (∇×F)·n=cosθ-sinθ. Integrando: ∮_C F·dr=0. Para S2: (∇×F)·n=1. Área=4π. La orientación correcta ajusta el signo a 0. La equivalencia muestra que la circulación depende solo de la curva, no de la superficie.</w:t>
            </w:r>
          </w:p>
          <w:p/>
          <w:p>
            <w:r>
              <w:t xml:space="preserve">---</w:t>
            </w:r>
          </w:p>
          <w:p/>
          <w:p>
            <w:r>
              <w:t xml:space="preserve">Ficha 3 - Transformación de datos en expresión algebraica</w:t>
            </w:r>
          </w:p>
          <w:p/>
          <w:p>
            <w:r>
              <w:t xml:space="preserve">Enunciado: Sea F(x,y,z)=&lt;2x,3y,z²&gt;. S es la porción del plano y=0 limitada por x²+z²=9. Sea C la curva límite con orientación positiva. 1) Calcule ∇×F. 2) Exprese ∮_C F·dr como función del radio R. 3) Identifique la sucesión cuando R varíe entre 1 y 5.</w:t>
            </w:r>
          </w:p>
          <w:p/>
          <w:p>
            <w:r>
              <w:t xml:space="preserve">Respuesta: ∇×F=&lt;0,0,1&gt;. (∇×F)·n=&lt;0,0,1&gt;·&lt;0,1,0&gt;=0. Por lo tanto ∮_C F·dr=0 para todo R.</w:t>
            </w:r>
          </w:p>
        </w:tc>
      </w:tr>
    </w:tbl>
    <w:p>
      <w:pPr>
        <w:pStyle w:val="Normal"/>
        <w:rPr>
          <w:b/>
          <w:bCs/>
          <w:sz w:val="32"/>
          <w:szCs w:val="32"/>
          <w:u w:val="single"/>
        </w:rPr>
      </w:pPr>
      <w:r>
        <w:rPr>
          <w:b/>
          <w:bCs/>
          <w:sz w:val="32"/>
          <w:szCs w:val="32"/>
          <w:u w:val="single"/>
        </w:rPr>
      </w:r>
    </w:p>
    <w:p>
      <w:pPr>
        <w:pStyle w:val="Normal"/>
        <w:rPr/>
      </w:pPr>
      <w:r>
        <w:rPr>
          <w:sz w:val="32"/>
          <w:szCs w:val="32"/>
        </w:rPr>
        <w:t xml:space="preserve">        </w:t>
      </w:r>
      <w:r>
        <w:rPr>
          <w:sz w:val="32"/>
          <w:szCs w:val="32"/>
        </w:rPr>
        <w:t>--------------------                                                                --------------------</w:t>
        <w:br/>
      </w:r>
      <w:r>
        <w:rPr/>
        <w:t xml:space="preserve">                     Docente</w:t>
        <w:tab/>
        <w:tab/>
        <w:tab/>
        <w:tab/>
        <w:tab/>
        <w:tab/>
        <w:tab/>
        <w:tab/>
        <w:tab/>
        <w:t>Director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08"/>
          <w:tab w:val="left" w:pos="1090" w:leader="none"/>
        </w:tabs>
        <w:spacing w:before="0" w:after="160"/>
        <w:rPr/>
      </w:pPr>
      <w:r>
        <w:rPr/>
        <w:tab/>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720" w:top="777" w:footer="432"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egoe UI Emoj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26"/>
        <w:tab w:val="left" w:pos="4513" w:leader="none"/>
      </w:tabs>
      <w:rPr/>
    </w:pPr>
    <w:r>
      <w:rPr/>
      <w:t xml:space="preserve">                                                                               </w:t>
    </w:r>
    <w:bookmarkStart w:id="0" w:name="_Hlk219486708"/>
    <w:bookmarkStart w:id="1" w:name="_Hlk219486707"/>
    <w:bookmarkStart w:id="2" w:name="_Hlk219485939"/>
    <w:bookmarkStart w:id="3" w:name="_Hlk219485938"/>
    <w:r>
      <w:rPr/>
      <w:t xml:space="preserve">Creado con </w:t>
    </w:r>
    <w:r>
      <w:rPr>
        <w:rFonts w:cs="Segoe UI Emoji" w:ascii="Segoe UI Emoji" w:hAnsi="Segoe UI Emoji"/>
      </w:rPr>
      <w:t>❤</w:t>
    </w:r>
    <w:r>
      <w:rPr>
        <w:rFonts w:cs="Segoe UI Emoji" w:ascii="Segoe UI Emoji" w:hAnsi="Segoe UI Emoji"/>
        <w:lang w:val="en-US"/>
      </w:rPr>
      <w:t>️</w:t>
    </w:r>
    <w:r>
      <w:rPr>
        <w:rFonts w:cs="Segoe UI Emoji" w:ascii="Segoe UI Emoji" w:hAnsi="Segoe UI Emoji"/>
      </w:rPr>
      <w:t xml:space="preserve"> en: </w:t>
    </w:r>
    <w:hyperlink r:id="rId1">
      <w:r>
        <w:rPr>
          <w:rStyle w:val="Hyperlink"/>
          <w:rFonts w:cs="Segoe UI Emoji" w:ascii="Segoe UI Emoji" w:hAnsi="Segoe UI Emoji"/>
        </w:rPr>
        <w:t>www.califica.ai</w:t>
      </w:r>
    </w:hyperlink>
    <w:bookmarkEnd w:id="0"/>
    <w:bookmarkEnd w:id="1"/>
    <w:bookmarkEnd w:id="2"/>
    <w:bookmarkEnd w:id="3"/>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26"/>
        <w:tab w:val="left" w:pos="4513" w:leader="none"/>
      </w:tabs>
      <w:rPr/>
    </w:pPr>
    <w:r>
      <w:rPr/>
      <w:t xml:space="preserve">                                                                               </w:t>
    </w:r>
    <w:bookmarkStart w:id="4" w:name="_Hlk219486708"/>
    <w:bookmarkStart w:id="5" w:name="_Hlk219486707"/>
    <w:bookmarkStart w:id="6" w:name="_Hlk219485939"/>
    <w:bookmarkStart w:id="7" w:name="_Hlk219485938"/>
    <w:r>
      <w:rPr/>
      <w:t xml:space="preserve">Creado con </w:t>
    </w:r>
    <w:r>
      <w:rPr>
        <w:rFonts w:cs="Segoe UI Emoji" w:ascii="Segoe UI Emoji" w:hAnsi="Segoe UI Emoji"/>
      </w:rPr>
      <w:t>❤</w:t>
    </w:r>
    <w:r>
      <w:rPr>
        <w:rFonts w:cs="Segoe UI Emoji" w:ascii="Segoe UI Emoji" w:hAnsi="Segoe UI Emoji"/>
        <w:lang w:val="en-US"/>
      </w:rPr>
      <w:t>️</w:t>
    </w:r>
    <w:r>
      <w:rPr>
        <w:rFonts w:cs="Segoe UI Emoji" w:ascii="Segoe UI Emoji" w:hAnsi="Segoe UI Emoji"/>
      </w:rPr>
      <w:t xml:space="preserve"> en: </w:t>
    </w:r>
    <w:hyperlink r:id="rId1">
      <w:r>
        <w:rPr>
          <w:rStyle w:val="Hyperlink"/>
          <w:rFonts w:cs="Segoe UI Emoji" w:ascii="Segoe UI Emoji" w:hAnsi="Segoe UI Emoji"/>
        </w:rPr>
        <w:t>www.califica.ai</w:t>
      </w:r>
    </w:hyperlink>
    <w:bookmarkEnd w:id="4"/>
    <w:bookmarkEnd w:id="5"/>
    <w:bookmarkEnd w:id="6"/>
    <w:bookmarkEnd w:id="7"/>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3">
          <wp:simplePos x="0" y="0"/>
          <wp:positionH relativeFrom="column">
            <wp:posOffset>-450850</wp:posOffset>
          </wp:positionH>
          <wp:positionV relativeFrom="paragraph">
            <wp:posOffset>-457200</wp:posOffset>
          </wp:positionV>
          <wp:extent cx="7766050" cy="10070465"/>
          <wp:effectExtent l="0" t="0" r="0" b="0"/>
          <wp:wrapNone/>
          <wp:docPr id="1"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descr=""/>
                  <pic:cNvPicPr>
                    <a:picLocks noChangeAspect="1" noChangeArrowheads="1"/>
                  </pic:cNvPicPr>
                </pic:nvPicPr>
                <pic:blipFill>
                  <a:blip r:embed="rId1"/>
                  <a:stretch>
                    <a:fillRect/>
                  </a:stretch>
                </pic:blipFill>
                <pic:spPr bwMode="auto">
                  <a:xfrm>
                    <a:off x="0" y="0"/>
                    <a:ext cx="7766050" cy="1007046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3">
          <wp:simplePos x="0" y="0"/>
          <wp:positionH relativeFrom="column">
            <wp:posOffset>-450850</wp:posOffset>
          </wp:positionH>
          <wp:positionV relativeFrom="paragraph">
            <wp:posOffset>-457200</wp:posOffset>
          </wp:positionV>
          <wp:extent cx="7766050" cy="10070465"/>
          <wp:effectExtent l="0" t="0" r="0" b="0"/>
          <wp:wrapNone/>
          <wp:docPr id="2"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pic:cNvPicPr>
                    <a:picLocks noChangeAspect="1" noChangeArrowheads="1"/>
                  </pic:cNvPicPr>
                </pic:nvPicPr>
                <pic:blipFill>
                  <a:blip r:embed="rId1"/>
                  <a:stretch>
                    <a:fillRect/>
                  </a:stretch>
                </pic:blipFill>
                <pic:spPr bwMode="auto">
                  <a:xfrm>
                    <a:off x="0" y="0"/>
                    <a:ext cx="7766050" cy="10070465"/>
                  </a:xfrm>
                  <a:prstGeom prst="rect">
                    <a:avLst/>
                  </a:prstGeom>
                </pic:spPr>
              </pic:pic>
            </a:graphicData>
          </a:graphic>
        </wp:anchor>
      </w:drawing>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s-P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2"/>
      <w:sz w:val="22"/>
      <w:szCs w:val="22"/>
      <w:lang w:val="es-PE" w:eastAsia="en-US" w:bidi="ar-SA"/>
      <w14:ligatures w14:val="standardContextual"/>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2d23fd"/>
    <w:rPr/>
  </w:style>
  <w:style w:type="character" w:styleId="PiedepginaCar" w:customStyle="1">
    <w:name w:val="Pie de página Car"/>
    <w:basedOn w:val="DefaultParagraphFont"/>
    <w:uiPriority w:val="99"/>
    <w:qFormat/>
    <w:rsid w:val="002d23fd"/>
    <w:rPr/>
  </w:style>
  <w:style w:type="character" w:styleId="Hyperlink">
    <w:name w:val="Hyperlink"/>
    <w:basedOn w:val="DefaultParagraphFont"/>
    <w:uiPriority w:val="99"/>
    <w:unhideWhenUsed/>
    <w:rsid w:val="00c158ef"/>
    <w:rPr>
      <w:color w:themeColor="hyperlink" w:val="0563C1"/>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8c53b3"/>
    <w:pPr>
      <w:spacing w:before="0" w:after="160"/>
      <w:ind w:lef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2d23fd"/>
    <w:pPr>
      <w:tabs>
        <w:tab w:val="clear" w:pos="708"/>
        <w:tab w:val="center" w:pos="4513" w:leader="none"/>
        <w:tab w:val="right" w:pos="9026" w:leader="none"/>
      </w:tabs>
      <w:spacing w:lineRule="auto" w:line="240" w:before="0" w:after="0"/>
    </w:pPr>
    <w:rPr/>
  </w:style>
  <w:style w:type="paragraph" w:styleId="Footer">
    <w:name w:val="Footer"/>
    <w:basedOn w:val="Normal"/>
    <w:link w:val="PiedepginaCar"/>
    <w:uiPriority w:val="99"/>
    <w:unhideWhenUsed/>
    <w:rsid w:val="002d23fd"/>
    <w:pPr>
      <w:tabs>
        <w:tab w:val="clear" w:pos="708"/>
        <w:tab w:val="center" w:pos="4513" w:leader="none"/>
        <w:tab w:val="right" w:pos="9026"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c53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hyperlink" Target="../../../C:/Users/artur/Downloads/www.califica.ai" TargetMode="External"/>
</Relationships>
</file>

<file path=word/_rels/footer3.xml.rels><?xml version="1.0" encoding="UTF-8"?>
<Relationships xmlns="http://schemas.openxmlformats.org/package/2006/relationships"><Relationship Id="rId1" Type="http://schemas.openxmlformats.org/officeDocument/2006/relationships/hyperlink" Target="../../../C:/Users/artur/Downloads/www.califica.ai"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636BE-0AB6-4A8F-8E00-7AEFEA85B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LibreOffice/24.2.7.2$Linux_X86_64 LibreOffice_project/420$Build-2</Application>
  <AppVersion>15.0000</AppVersion>
  <Pages>2</Pages>
  <Words>97</Words>
  <Characters>958</Characters>
  <CharactersWithSpaces>1193</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2026-01-17T01:31:00Z</dcterms:created>
  <dc:creator>arturobarrera1995@gmail.com</dc:creator>
  <dc:description/>
  <dc:language>es-AR</dc:language>
  <cp:lastModifiedBy/>
  <dcterms:modified xsi:type="dcterms:W3CDTF">2026-03-17T15:52:12Z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