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Kicker"/>
        <w:spacing w:before="0" w:after="240" w:line="276" w:lineRule="auto"/>
      </w:pPr>
      <w:r>
        <w:t>FUENTE DE CONOCIMIENTO · FORMATO C · DIGITAL PREMIUM</w:t>
      </w:r>
    </w:p>
    <w:p>
      <w:pPr>
        <w:pStyle w:val="CTitle"/>
        <w:spacing w:before="0" w:after="120" w:line="245" w:lineRule="auto"/>
      </w:pPr>
      <w:r>
        <w:t>Intensidad, dB</w:t>
        <w:br/>
        <w:t>y Seguridad Auditiva</w:t>
      </w:r>
    </w:p>
    <w:p>
      <w:pPr>
        <w:pStyle w:val="CSubtitle"/>
        <w:spacing w:before="0" w:after="300" w:line="283" w:lineRule="auto"/>
      </w:pPr>
      <w:r>
        <w:t>Documento base de lectura para comprender presión sonora, amplitud, decibeles, distancia, medición y criterios de operación segura en espectáculos.</w:t>
      </w:r>
    </w:p>
    <w:tbl>
      <w:tblPr>
        <w:tblW w:type="auto" w:w="0"/>
        <w:jc w:val="center"/>
        <w:tblLayout w:type="fixed"/>
        <w:tblLook w:firstColumn="1" w:firstRow="1" w:lastColumn="0" w:lastRow="0" w:noHBand="0" w:noVBand="1" w:val="04A0"/>
      </w:tblPr>
      <w:tblGrid>
        <w:gridCol w:w="9864"/>
      </w:tblGrid>
      <w:tr>
        <w:tc>
          <w:tcPr>
            <w:tcW w:type="dxa" w:w="9951"/>
            <w:shd w:fill="FFFFFF"/>
            <w:tcBorders>
              <w:top w:val="single" w:sz="8" w:color="E5E7EB" w:space="0"/>
              <w:left w:val="single" w:sz="8" w:color="E5E7EB" w:space="0"/>
              <w:bottom w:val="single" w:sz="8" w:color="E5E7EB" w:space="0"/>
              <w:right w:val="single" w:sz="8" w:color="E5E7EB" w:space="0"/>
            </w:tcBorders>
            <w:tcMar>
              <w:top w:w="170" w:type="dxa"/>
              <w:start w:w="160" w:type="dxa"/>
              <w:bottom w:w="130" w:type="dxa"/>
              <w:end w:w="160" w:type="dxa"/>
            </w:tcMar>
          </w:tcPr>
          <w:p>
            <w:pPr>
              <w:jc w:val="center"/>
            </w:pPr>
            <w:r>
              <w:drawing>
                <wp:inline xmlns:a="http://schemas.openxmlformats.org/drawingml/2006/main" xmlns:pic="http://schemas.openxmlformats.org/drawingml/2006/picture">
                  <wp:extent cx="5715000" cy="2714625"/>
                  <wp:docPr id="1" name="Picture 1"/>
                  <wp:cNvGraphicFramePr>
                    <a:graphicFrameLocks noChangeAspect="1"/>
                  </wp:cNvGraphicFramePr>
                  <a:graphic>
                    <a:graphicData uri="http://schemas.openxmlformats.org/drawingml/2006/picture">
                      <pic:pic>
                        <pic:nvPicPr>
                          <pic:cNvPr id="0" name="u02_pressure_wave.png"/>
                          <pic:cNvPicPr/>
                        </pic:nvPicPr>
                        <pic:blipFill>
                          <a:blip r:embed="rId11"/>
                          <a:stretch>
                            <a:fillRect/>
                          </a:stretch>
                        </pic:blipFill>
                        <pic:spPr>
                          <a:xfrm>
                            <a:off x="0" y="0"/>
                            <a:ext cx="5715000" cy="2714625"/>
                          </a:xfrm>
                          <a:prstGeom prst="rect"/>
                        </pic:spPr>
                      </pic:pic>
                    </a:graphicData>
                  </a:graphic>
                </wp:inline>
              </w:drawing>
            </w:r>
          </w:p>
          <w:p>
            <w:pPr>
              <w:spacing w:before="0" w:after="0" w:line="276" w:lineRule="auto"/>
              <w:jc w:val="center"/>
            </w:pPr>
            <w:r>
              <w:rPr>
                <w:rFonts w:ascii="Inter" w:hAnsi="Inter" w:eastAsia="Inter"/>
                <w:b w:val="0"/>
                <w:i/>
                <w:color w:val="64748B"/>
                <w:sz w:val="16"/>
              </w:rPr>
              <w:t>Figura 1. Relación conceptual entre amplitud, presión sonora e intensidad percibida.</w:t>
            </w:r>
          </w:p>
        </w:tc>
      </w:tr>
    </w:tbl>
    <w:p/>
    <w:tbl>
      <w:tblPr>
        <w:tblW w:type="auto" w:w="0"/>
        <w:jc w:val="center"/>
        <w:tblLayout w:type="fixed"/>
        <w:tblLook w:firstColumn="1" w:firstRow="1" w:lastColumn="0" w:lastRow="0" w:noHBand="0" w:noVBand="1" w:val="04A0"/>
      </w:tblPr>
      <w:tblGrid>
        <w:gridCol w:w="3317"/>
        <w:gridCol w:w="3317"/>
        <w:gridCol w:w="3317"/>
      </w:tblGrid>
      <w:tr>
        <w:tc>
          <w:tcPr>
            <w:tcW w:type="dxa" w:w="3317"/>
            <w:shd w:fill="F8FAFC"/>
            <w:tcBorders>
              <w:top w:val="single" w:sz="5" w:color="E5E7EB" w:space="0"/>
              <w:left w:val="single" w:sz="5" w:color="E5E7EB" w:space="0"/>
              <w:bottom w:val="single" w:sz="5" w:color="E5E7EB" w:space="0"/>
              <w:right w:val="single" w:sz="5" w:color="E5E7EB" w:space="0"/>
            </w:tcBorders>
            <w:tcMar>
              <w:top w:w="95" w:type="dxa"/>
              <w:start w:w="110" w:type="dxa"/>
              <w:bottom w:w="95" w:type="dxa"/>
              <w:end w:w="110" w:type="dxa"/>
            </w:tcMar>
          </w:tcPr>
          <w:p>
            <w:r>
              <w:rPr>
                <w:rFonts w:ascii="Inter" w:hAnsi="Inter" w:eastAsia="Inter"/>
                <w:b/>
                <w:i w:val="0"/>
                <w:color w:val="2563EB"/>
                <w:sz w:val="15"/>
              </w:rPr>
              <w:t>UNIDAD</w:t>
              <w:br/>
            </w:r>
            <w:r>
              <w:rPr>
                <w:rFonts w:ascii="Inter" w:hAnsi="Inter" w:eastAsia="Inter"/>
                <w:b/>
                <w:i w:val="0"/>
                <w:color w:val="111827"/>
                <w:sz w:val="18"/>
              </w:rPr>
              <w:t>02</w:t>
            </w:r>
          </w:p>
        </w:tc>
        <w:tc>
          <w:tcPr>
            <w:tcW w:type="dxa" w:w="3317"/>
            <w:shd w:fill="F8FAFC"/>
            <w:tcBorders>
              <w:top w:val="single" w:sz="5" w:color="E5E7EB" w:space="0"/>
              <w:left w:val="single" w:sz="5" w:color="E5E7EB" w:space="0"/>
              <w:bottom w:val="single" w:sz="5" w:color="E5E7EB" w:space="0"/>
              <w:right w:val="single" w:sz="5" w:color="E5E7EB" w:space="0"/>
            </w:tcBorders>
            <w:tcMar>
              <w:top w:w="95" w:type="dxa"/>
              <w:start w:w="110" w:type="dxa"/>
              <w:bottom w:w="95" w:type="dxa"/>
              <w:end w:w="110" w:type="dxa"/>
            </w:tcMar>
          </w:tcPr>
          <w:p>
            <w:r>
              <w:rPr>
                <w:rFonts w:ascii="Inter" w:hAnsi="Inter" w:eastAsia="Inter"/>
                <w:b/>
                <w:i w:val="0"/>
                <w:color w:val="0F766E"/>
                <w:sz w:val="15"/>
              </w:rPr>
              <w:t>TEMA</w:t>
              <w:br/>
            </w:r>
            <w:r>
              <w:rPr>
                <w:rFonts w:ascii="Inter" w:hAnsi="Inter" w:eastAsia="Inter"/>
                <w:b/>
                <w:i w:val="0"/>
                <w:color w:val="111827"/>
                <w:sz w:val="18"/>
              </w:rPr>
              <w:t>dB + seguridad</w:t>
            </w:r>
          </w:p>
        </w:tc>
        <w:tc>
          <w:tcPr>
            <w:tcW w:type="dxa" w:w="3317"/>
            <w:shd w:fill="F8FAFC"/>
            <w:tcBorders>
              <w:top w:val="single" w:sz="5" w:color="E5E7EB" w:space="0"/>
              <w:left w:val="single" w:sz="5" w:color="E5E7EB" w:space="0"/>
              <w:bottom w:val="single" w:sz="5" w:color="E5E7EB" w:space="0"/>
              <w:right w:val="single" w:sz="5" w:color="E5E7EB" w:space="0"/>
            </w:tcBorders>
            <w:tcMar>
              <w:top w:w="95" w:type="dxa"/>
              <w:start w:w="110" w:type="dxa"/>
              <w:bottom w:w="95" w:type="dxa"/>
              <w:end w:w="110" w:type="dxa"/>
            </w:tcMar>
          </w:tcPr>
          <w:p>
            <w:r>
              <w:rPr>
                <w:rFonts w:ascii="Inter" w:hAnsi="Inter" w:eastAsia="Inter"/>
                <w:b/>
                <w:i w:val="0"/>
                <w:color w:val="D97706"/>
                <w:sz w:val="15"/>
              </w:rPr>
              <w:t>VALIDACIÓN</w:t>
              <w:br/>
            </w:r>
            <w:r>
              <w:rPr>
                <w:rFonts w:ascii="Inter" w:hAnsi="Inter" w:eastAsia="Inter"/>
                <w:b/>
                <w:i w:val="0"/>
                <w:color w:val="111827"/>
                <w:sz w:val="18"/>
              </w:rPr>
              <w:t>Pendiente Matías</w:t>
            </w:r>
          </w:p>
        </w:tc>
      </w:tr>
    </w:tbl>
    <w:p>
      <w:r>
        <w:br w:type="page"/>
      </w:r>
    </w:p>
    <w:tbl>
      <w:tblPr>
        <w:tblW w:type="auto" w:w="0"/>
        <w:jc w:val="center"/>
        <w:tblLayout w:type="fixed"/>
        <w:tblLook w:firstColumn="1" w:firstRow="1" w:lastColumn="0" w:lastRow="0" w:noHBand="0" w:noVBand="1" w:val="04A0"/>
      </w:tblPr>
      <w:tblGrid>
        <w:gridCol w:w="691"/>
        <w:gridCol w:w="9144"/>
      </w:tblGrid>
      <w:tr>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jc w:val="center"/>
            </w:pPr>
            <w:r>
              <w:rPr>
                <w:rFonts w:ascii="Inter Display" w:hAnsi="Inter Display" w:eastAsia="Inter Display"/>
                <w:b/>
                <w:i w:val="0"/>
                <w:color w:val="2563EB"/>
                <w:sz w:val="34"/>
              </w:rPr>
              <w:t>01</w:t>
            </w:r>
          </w:p>
        </w:tc>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spacing w:before="0" w:after="20" w:line="252" w:lineRule="auto"/>
            </w:pPr>
            <w:r>
              <w:rPr>
                <w:rFonts w:ascii="Inter Display" w:hAnsi="Inter Display" w:eastAsia="Inter Display"/>
                <w:b/>
                <w:i w:val="0"/>
                <w:color w:val="111827"/>
                <w:sz w:val="36"/>
              </w:rPr>
              <w:t>Antes de leer</w:t>
            </w:r>
          </w:p>
          <w:p>
            <w:pPr>
              <w:spacing w:before="0" w:after="80" w:line="276" w:lineRule="auto"/>
            </w:pPr>
            <w:r>
              <w:rPr>
                <w:rFonts w:ascii="Inter" w:hAnsi="Inter" w:eastAsia="Inter"/>
                <w:b w:val="0"/>
                <w:i w:val="0"/>
                <w:color w:val="64748B"/>
                <w:sz w:val="18"/>
              </w:rPr>
              <w:t>Qué debería quedar claro al terminar esta fuente</w:t>
            </w:r>
          </w:p>
        </w:tc>
      </w:tr>
    </w:tbl>
    <w:tbl>
      <w:tblPr>
        <w:tblW w:type="auto" w:w="0"/>
        <w:jc w:val="center"/>
        <w:tblLayout w:type="fixed"/>
        <w:tblLook w:firstColumn="1" w:firstRow="1" w:lastColumn="0" w:lastRow="0" w:noHBand="0" w:noVBand="1" w:val="04A0"/>
      </w:tblPr>
      <w:tblGrid>
        <w:gridCol w:w="9864"/>
      </w:tblGrid>
      <w:tr>
        <w:tc>
          <w:tcPr>
            <w:tcW w:type="dxa" w:w="9951"/>
            <w:shd w:fill="EFF6FF"/>
            <w:tcBorders>
              <w:top w:val="single" w:sz="6" w:color="BFDBFE" w:space="0"/>
              <w:left w:val="single" w:sz="6" w:color="BFDBFE" w:space="0"/>
              <w:bottom w:val="single" w:sz="6" w:color="BFDBFE" w:space="0"/>
              <w:right w:val="single" w:sz="6" w:color="BFDBFE" w:space="0"/>
            </w:tcBorders>
            <w:tcMar>
              <w:top w:w="140" w:type="dxa"/>
              <w:start w:w="170" w:type="dxa"/>
              <w:bottom w:w="140" w:type="dxa"/>
              <w:end w:w="170" w:type="dxa"/>
            </w:tcMar>
          </w:tcPr>
          <w:p>
            <w:pPr>
              <w:spacing w:before="0" w:after="100" w:line="276" w:lineRule="auto"/>
            </w:pPr>
            <w:r>
              <w:rPr>
                <w:rFonts w:ascii="Inter" w:hAnsi="Inter" w:eastAsia="Inter"/>
                <w:b/>
                <w:i w:val="0"/>
                <w:color w:val="2563EB"/>
                <w:sz w:val="16"/>
              </w:rPr>
              <w:t>QUÉ VAS A ENTENDER</w:t>
            </w:r>
          </w:p>
          <w:p>
            <w:pPr>
              <w:spacing w:before="0" w:after="40" w:line="269" w:lineRule="auto"/>
            </w:pPr>
            <w:r>
              <w:rPr>
                <w:rFonts w:ascii="Inter" w:hAnsi="Inter" w:eastAsia="Inter"/>
                <w:b/>
                <w:i w:val="0"/>
                <w:color w:val="2563EB"/>
                <w:sz w:val="19"/>
              </w:rPr>
              <w:t xml:space="preserve">• </w:t>
            </w:r>
            <w:r>
              <w:rPr>
                <w:rFonts w:ascii="Inter" w:hAnsi="Inter" w:eastAsia="Inter"/>
                <w:b w:val="0"/>
                <w:i w:val="0"/>
                <w:color w:val="1F2937"/>
                <w:sz w:val="19"/>
              </w:rPr>
              <w:t>Qué es la presión sonora y por qué se relaciona con la percepción de intensidad.</w:t>
            </w:r>
          </w:p>
          <w:p>
            <w:pPr>
              <w:spacing w:before="0" w:after="40" w:line="269" w:lineRule="auto"/>
            </w:pPr>
            <w:r>
              <w:rPr>
                <w:rFonts w:ascii="Inter" w:hAnsi="Inter" w:eastAsia="Inter"/>
                <w:b/>
                <w:i w:val="0"/>
                <w:color w:val="2563EB"/>
                <w:sz w:val="19"/>
              </w:rPr>
              <w:t xml:space="preserve">• </w:t>
            </w:r>
            <w:r>
              <w:rPr>
                <w:rFonts w:ascii="Inter" w:hAnsi="Inter" w:eastAsia="Inter"/>
                <w:b w:val="0"/>
                <w:i w:val="0"/>
                <w:color w:val="1F2937"/>
                <w:sz w:val="19"/>
              </w:rPr>
              <w:t>Por qué los decibeles no funcionan como una escala lineal simple.</w:t>
            </w:r>
          </w:p>
          <w:p>
            <w:pPr>
              <w:spacing w:before="0" w:after="40" w:line="269" w:lineRule="auto"/>
            </w:pPr>
            <w:r>
              <w:rPr>
                <w:rFonts w:ascii="Inter" w:hAnsi="Inter" w:eastAsia="Inter"/>
                <w:b/>
                <w:i w:val="0"/>
                <w:color w:val="2563EB"/>
                <w:sz w:val="19"/>
              </w:rPr>
              <w:t xml:space="preserve">• </w:t>
            </w:r>
            <w:r>
              <w:rPr>
                <w:rFonts w:ascii="Inter" w:hAnsi="Inter" w:eastAsia="Inter"/>
                <w:b w:val="0"/>
                <w:i w:val="0"/>
                <w:color w:val="1F2937"/>
                <w:sz w:val="19"/>
              </w:rPr>
              <w:t>Para qué sirve medir con sonómetro o decibelímetro.</w:t>
            </w:r>
          </w:p>
          <w:p>
            <w:pPr>
              <w:spacing w:before="0" w:after="40" w:line="269" w:lineRule="auto"/>
            </w:pPr>
            <w:r>
              <w:rPr>
                <w:rFonts w:ascii="Inter" w:hAnsi="Inter" w:eastAsia="Inter"/>
                <w:b/>
                <w:i w:val="0"/>
                <w:color w:val="2563EB"/>
                <w:sz w:val="19"/>
              </w:rPr>
              <w:t xml:space="preserve">• </w:t>
            </w:r>
            <w:r>
              <w:rPr>
                <w:rFonts w:ascii="Inter" w:hAnsi="Inter" w:eastAsia="Inter"/>
                <w:b w:val="0"/>
                <w:i w:val="0"/>
                <w:color w:val="1F2937"/>
                <w:sz w:val="19"/>
              </w:rPr>
              <w:t>Por qué el nivel baja con la distancia y cómo afecta a la cobertura del público.</w:t>
            </w:r>
          </w:p>
          <w:p>
            <w:pPr>
              <w:spacing w:before="0" w:after="40" w:line="269" w:lineRule="auto"/>
            </w:pPr>
            <w:r>
              <w:rPr>
                <w:rFonts w:ascii="Inter" w:hAnsi="Inter" w:eastAsia="Inter"/>
                <w:b/>
                <w:i w:val="0"/>
                <w:color w:val="2563EB"/>
                <w:sz w:val="19"/>
              </w:rPr>
              <w:t xml:space="preserve">• </w:t>
            </w:r>
            <w:r>
              <w:rPr>
                <w:rFonts w:ascii="Inter" w:hAnsi="Inter" w:eastAsia="Inter"/>
                <w:b w:val="0"/>
                <w:i w:val="0"/>
                <w:color w:val="1F2937"/>
                <w:sz w:val="19"/>
              </w:rPr>
              <w:t>Por qué la seguridad auditiva forma parte del criterio técnico de operación.</w:t>
            </w:r>
          </w:p>
        </w:tc>
      </w:tr>
    </w:tbl>
    <w:tbl>
      <w:tblPr>
        <w:tblW w:type="auto" w:w="0"/>
        <w:jc w:val="center"/>
        <w:tblLayout w:type="fixed"/>
        <w:tblLook w:firstColumn="1" w:firstRow="1" w:lastColumn="0" w:lastRow="0" w:noHBand="0" w:noVBand="1" w:val="04A0"/>
      </w:tblPr>
      <w:tblGrid>
        <w:gridCol w:w="187"/>
        <w:gridCol w:w="9648"/>
      </w:tblGrid>
      <w:tr>
        <w:tc>
          <w:tcPr>
            <w:tcW w:type="dxa" w:w="4975"/>
            <w:shd w:fill="16A34A"/>
            <w:tcBorders>
              <w:top w:val="single" w:sz="4" w:color="16A34A" w:space="0"/>
              <w:left w:val="single" w:sz="4" w:color="16A34A" w:space="0"/>
              <w:bottom w:val="single" w:sz="4" w:color="16A34A" w:space="0"/>
              <w:right w:val="single" w:sz="4" w:color="16A34A" w:space="0"/>
            </w:tcBorders>
          </w:tcPr>
          <w:p/>
        </w:tc>
        <w:tc>
          <w:tcPr>
            <w:tcW w:type="dxa" w:w="4975"/>
            <w:shd w:fill="ECFDF5"/>
            <w:tcBorders>
              <w:top w:val="single" w:sz="4" w:color="A7F3D0" w:space="0"/>
              <w:left w:val="single" w:sz="4" w:color="A7F3D0" w:space="0"/>
              <w:bottom w:val="single" w:sz="4" w:color="A7F3D0" w:space="0"/>
              <w:right w:val="single" w:sz="4" w:color="A7F3D0" w:space="0"/>
            </w:tcBorders>
            <w:tcMar>
              <w:top w:w="125" w:type="dxa"/>
              <w:start w:w="140" w:type="dxa"/>
              <w:bottom w:w="125" w:type="dxa"/>
              <w:end w:w="140" w:type="dxa"/>
            </w:tcMar>
          </w:tcPr>
          <w:p>
            <w:pPr>
              <w:spacing w:before="0" w:after="40" w:line="276" w:lineRule="auto"/>
            </w:pPr>
            <w:r>
              <w:rPr>
                <w:rFonts w:ascii="Inter" w:hAnsi="Inter" w:eastAsia="Inter"/>
                <w:b/>
                <w:i w:val="0"/>
                <w:color w:val="16A34A"/>
                <w:sz w:val="16"/>
              </w:rPr>
              <w:t>✓ CRITERIO DE LECTURA</w:t>
            </w:r>
          </w:p>
          <w:p>
            <w:pPr>
              <w:spacing w:before="0" w:after="0" w:line="276" w:lineRule="auto"/>
            </w:pPr>
            <w:r>
              <w:rPr>
                <w:rFonts w:ascii="Inter" w:hAnsi="Inter" w:eastAsia="Inter"/>
                <w:b w:val="0"/>
                <w:i w:val="0"/>
                <w:color w:val="1F2937"/>
                <w:sz w:val="19"/>
              </w:rPr>
              <w:t>Esta unidad sube la dificultad: ya no alcanza con reconocer términos. El alumno debe poder aplicar los conceptos para decidir cuándo medir, ajustar nivel y prevenir riesgos.</w:t>
            </w:r>
          </w:p>
        </w:tc>
      </w:tr>
    </w:tbl>
    <w:tbl>
      <w:tblPr>
        <w:tblW w:type="auto" w:w="0"/>
        <w:jc w:val="center"/>
        <w:tblLayout w:type="fixed"/>
        <w:tblLook w:firstColumn="1" w:firstRow="1" w:lastColumn="0" w:lastRow="0" w:noHBand="0" w:noVBand="1" w:val="04A0"/>
      </w:tblPr>
      <w:tblGrid>
        <w:gridCol w:w="691"/>
        <w:gridCol w:w="9144"/>
      </w:tblGrid>
      <w:tr>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jc w:val="center"/>
            </w:pPr>
            <w:r>
              <w:rPr>
                <w:rFonts w:ascii="Inter Display" w:hAnsi="Inter Display" w:eastAsia="Inter Display"/>
                <w:b/>
                <w:i w:val="0"/>
                <w:color w:val="2563EB"/>
                <w:sz w:val="34"/>
              </w:rPr>
              <w:t>02</w:t>
            </w:r>
          </w:p>
        </w:tc>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spacing w:before="0" w:after="20" w:line="252" w:lineRule="auto"/>
            </w:pPr>
            <w:r>
              <w:rPr>
                <w:rFonts w:ascii="Inter Display" w:hAnsi="Inter Display" w:eastAsia="Inter Display"/>
                <w:b/>
                <w:i w:val="0"/>
                <w:color w:val="111827"/>
                <w:sz w:val="36"/>
              </w:rPr>
              <w:t>Presión sonora e intensidad</w:t>
            </w:r>
          </w:p>
          <w:p>
            <w:pPr>
              <w:spacing w:before="0" w:after="80" w:line="276" w:lineRule="auto"/>
            </w:pPr>
            <w:r>
              <w:rPr>
                <w:rFonts w:ascii="Inter" w:hAnsi="Inter" w:eastAsia="Inter"/>
                <w:b w:val="0"/>
                <w:i w:val="0"/>
                <w:color w:val="64748B"/>
                <w:sz w:val="18"/>
              </w:rPr>
              <w:t>Del fenómeno físico a la percepción de volumen</w:t>
            </w:r>
          </w:p>
        </w:tc>
      </w:tr>
    </w:tbl>
    <w:p>
      <w:pPr>
        <w:pStyle w:val="CBody"/>
        <w:spacing w:before="0" w:after="110" w:line="278" w:lineRule="auto"/>
      </w:pPr>
      <w:r>
        <w:rPr>
          <w:rFonts w:ascii="Inter" w:hAnsi="Inter" w:eastAsia="Inter"/>
          <w:b w:val="0"/>
          <w:i w:val="0"/>
          <w:color w:val="1F2937"/>
          <w:sz w:val="20"/>
        </w:rPr>
        <w:t>El sonido se propaga como una sucesión de compresiones y rarefacciones del aire. Las partículas no viajan grandes distancias: transmiten energía a las partículas vecinas, de forma similar a una cadena de empujones.</w:t>
      </w:r>
    </w:p>
    <w:p>
      <w:pPr>
        <w:pStyle w:val="CBody"/>
        <w:spacing w:before="0" w:after="110" w:line="278" w:lineRule="auto"/>
      </w:pPr>
      <w:r>
        <w:rPr>
          <w:rFonts w:ascii="Inter" w:hAnsi="Inter" w:eastAsia="Inter"/>
          <w:b w:val="0"/>
          <w:i w:val="0"/>
          <w:color w:val="1F2937"/>
          <w:sz w:val="20"/>
        </w:rPr>
        <w:t>La presión sonora es la variación de presión que produce una onda sonora respecto de la presión atmosférica. En una explicación inicial, puede pensarse como cuánto se modifica la presión del aire cuando pasa la onda sonora.</w:t>
      </w:r>
    </w:p>
    <w:p>
      <w:pPr>
        <w:pStyle w:val="CBody"/>
        <w:spacing w:before="0" w:after="110" w:line="278" w:lineRule="auto"/>
      </w:pPr>
      <w:r>
        <w:rPr>
          <w:rFonts w:ascii="Inter" w:hAnsi="Inter" w:eastAsia="Inter"/>
          <w:b w:val="0"/>
          <w:i w:val="0"/>
          <w:color w:val="1F2937"/>
          <w:sz w:val="20"/>
        </w:rPr>
        <w:t>La intensidad se relaciona con la amplitud de la onda y con la percepción de volumen. Sonidos de mayor amplitud suelen percibirse como más fuertes; sonidos de menor amplitud, como más débiles.</w:t>
      </w:r>
    </w:p>
    <w:tbl>
      <w:tblPr>
        <w:tblW w:type="auto" w:w="0"/>
        <w:jc w:val="center"/>
        <w:tblLayout w:type="fixed"/>
        <w:tblLook w:firstColumn="1" w:firstRow="1" w:lastColumn="0" w:lastRow="0" w:noHBand="0" w:noVBand="1" w:val="04A0"/>
      </w:tblPr>
      <w:tblGrid>
        <w:gridCol w:w="187"/>
        <w:gridCol w:w="9648"/>
      </w:tblGrid>
      <w:tr>
        <w:tc>
          <w:tcPr>
            <w:tcW w:type="dxa" w:w="4975"/>
            <w:shd w:fill="0891B2"/>
            <w:tcBorders>
              <w:top w:val="single" w:sz="4" w:color="0891B2" w:space="0"/>
              <w:left w:val="single" w:sz="4" w:color="0891B2" w:space="0"/>
              <w:bottom w:val="single" w:sz="4" w:color="0891B2" w:space="0"/>
              <w:right w:val="single" w:sz="4" w:color="0891B2" w:space="0"/>
            </w:tcBorders>
          </w:tcPr>
          <w:p/>
        </w:tc>
        <w:tc>
          <w:tcPr>
            <w:tcW w:type="dxa" w:w="4975"/>
            <w:shd w:fill="ECFEFF"/>
            <w:tcBorders>
              <w:top w:val="single" w:sz="4" w:color="CFFAFE" w:space="0"/>
              <w:left w:val="single" w:sz="4" w:color="CFFAFE" w:space="0"/>
              <w:bottom w:val="single" w:sz="4" w:color="CFFAFE" w:space="0"/>
              <w:right w:val="single" w:sz="4" w:color="CFFAFE" w:space="0"/>
            </w:tcBorders>
            <w:tcMar>
              <w:top w:w="125" w:type="dxa"/>
              <w:start w:w="140" w:type="dxa"/>
              <w:bottom w:w="125" w:type="dxa"/>
              <w:end w:w="140" w:type="dxa"/>
            </w:tcMar>
          </w:tcPr>
          <w:p>
            <w:pPr>
              <w:spacing w:before="0" w:after="40" w:line="276" w:lineRule="auto"/>
            </w:pPr>
            <w:r>
              <w:rPr>
                <w:rFonts w:ascii="Inter" w:hAnsi="Inter" w:eastAsia="Inter"/>
                <w:b/>
                <w:i w:val="0"/>
                <w:color w:val="0891B2"/>
                <w:sz w:val="16"/>
              </w:rPr>
              <w:t>IDEA CLAVE</w:t>
            </w:r>
          </w:p>
          <w:p>
            <w:pPr>
              <w:spacing w:before="0" w:after="0" w:line="276" w:lineRule="auto"/>
            </w:pPr>
            <w:r>
              <w:rPr>
                <w:rFonts w:ascii="Inter" w:hAnsi="Inter" w:eastAsia="Inter"/>
                <w:b w:val="0"/>
                <w:i w:val="0"/>
                <w:color w:val="1F2937"/>
                <w:sz w:val="19"/>
              </w:rPr>
              <w:t>Un sonido fuerte no es necesariamente un sonido mejor. En operación profesional importa la claridad, la cobertura y la seguridad auditiva.</w:t>
            </w:r>
          </w:p>
        </w:tc>
      </w:tr>
    </w:tbl>
    <w:p>
      <w:r>
        <w:br w:type="page"/>
      </w:r>
    </w:p>
    <w:tbl>
      <w:tblPr>
        <w:tblW w:type="auto" w:w="0"/>
        <w:jc w:val="center"/>
        <w:tblLayout w:type="fixed"/>
        <w:tblLook w:firstColumn="1" w:firstRow="1" w:lastColumn="0" w:lastRow="0" w:noHBand="0" w:noVBand="1" w:val="04A0"/>
      </w:tblPr>
      <w:tblGrid>
        <w:gridCol w:w="691"/>
        <w:gridCol w:w="9144"/>
      </w:tblGrid>
      <w:tr>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jc w:val="center"/>
            </w:pPr>
            <w:r>
              <w:rPr>
                <w:rFonts w:ascii="Inter Display" w:hAnsi="Inter Display" w:eastAsia="Inter Display"/>
                <w:b/>
                <w:i w:val="0"/>
                <w:color w:val="2563EB"/>
                <w:sz w:val="34"/>
              </w:rPr>
              <w:t>03</w:t>
            </w:r>
          </w:p>
        </w:tc>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spacing w:before="0" w:after="20" w:line="252" w:lineRule="auto"/>
            </w:pPr>
            <w:r>
              <w:rPr>
                <w:rFonts w:ascii="Inter Display" w:hAnsi="Inter Display" w:eastAsia="Inter Display"/>
                <w:b/>
                <w:i w:val="0"/>
                <w:color w:val="111827"/>
                <w:sz w:val="36"/>
              </w:rPr>
              <w:t>Decibeles</w:t>
            </w:r>
          </w:p>
          <w:p>
            <w:pPr>
              <w:spacing w:before="0" w:after="80" w:line="276" w:lineRule="auto"/>
            </w:pPr>
            <w:r>
              <w:rPr>
                <w:rFonts w:ascii="Inter" w:hAnsi="Inter" w:eastAsia="Inter"/>
                <w:b w:val="0"/>
                <w:i w:val="0"/>
                <w:color w:val="64748B"/>
                <w:sz w:val="18"/>
              </w:rPr>
              <w:t>Una escala útil, pero fácil de malinterpretar</w:t>
            </w:r>
          </w:p>
        </w:tc>
      </w:tr>
    </w:tbl>
    <w:p>
      <w:pPr>
        <w:pStyle w:val="CBody"/>
        <w:spacing w:before="0" w:after="110" w:line="278" w:lineRule="auto"/>
      </w:pPr>
      <w:r>
        <w:rPr>
          <w:rFonts w:ascii="Inter" w:hAnsi="Inter" w:eastAsia="Inter"/>
          <w:b w:val="0"/>
          <w:i w:val="0"/>
          <w:color w:val="1F2937"/>
          <w:sz w:val="20"/>
        </w:rPr>
        <w:t>El nivel de presión sonora se expresa habitualmente en decibeles SPL o NPS. Esta escala permite comparar niveles sonoros de manera práctica, pero no debe interpretarse como una regla lineal simple.</w:t>
      </w:r>
    </w:p>
    <w:p>
      <w:pPr>
        <w:pStyle w:val="CBody"/>
        <w:spacing w:before="0" w:after="110" w:line="278" w:lineRule="auto"/>
      </w:pPr>
      <w:r>
        <w:rPr>
          <w:rFonts w:ascii="Inter" w:hAnsi="Inter" w:eastAsia="Inter"/>
          <w:b w:val="0"/>
          <w:i w:val="0"/>
          <w:color w:val="1F2937"/>
          <w:sz w:val="20"/>
        </w:rPr>
        <w:t>En la práctica, el técnico no usa los decibeles solo como un número aislado. Los interpreta junto con el contexto: tipo de evento, distancia al público, tamaño del espacio, tiempo de exposición, fatiga auditiva y calidad de la mezcla.</w:t>
      </w:r>
    </w:p>
    <w:p>
      <w:pPr>
        <w:pStyle w:val="CBody"/>
        <w:spacing w:before="0" w:after="110" w:line="278" w:lineRule="auto"/>
      </w:pPr>
      <w:r>
        <w:rPr>
          <w:rFonts w:ascii="Inter" w:hAnsi="Inter" w:eastAsia="Inter"/>
          <w:b w:val="0"/>
          <w:i w:val="0"/>
          <w:color w:val="1F2937"/>
          <w:sz w:val="20"/>
        </w:rPr>
        <w:t>La medición ayuda a salir de la subjetividad. Dos personas pueden percibir el mismo evento de manera distinta, pero un sonómetro o decibelímetro permite tener una referencia objetiva para tomar mejores decisiones.</w:t>
      </w:r>
    </w:p>
    <w:tbl>
      <w:tblPr>
        <w:tblW w:type="auto" w:w="0"/>
        <w:jc w:val="center"/>
        <w:tblLayout w:type="fixed"/>
        <w:tblLook w:firstColumn="1" w:firstRow="1" w:lastColumn="0" w:lastRow="0" w:noHBand="0" w:noVBand="1" w:val="04A0"/>
      </w:tblPr>
      <w:tblGrid>
        <w:gridCol w:w="187"/>
        <w:gridCol w:w="9648"/>
      </w:tblGrid>
      <w:tr>
        <w:tc>
          <w:tcPr>
            <w:tcW w:type="dxa" w:w="4975"/>
            <w:shd w:fill="D97706"/>
            <w:tcBorders>
              <w:top w:val="single" w:sz="4" w:color="D97706" w:space="0"/>
              <w:left w:val="single" w:sz="4" w:color="D97706" w:space="0"/>
              <w:bottom w:val="single" w:sz="4" w:color="D97706" w:space="0"/>
              <w:right w:val="single" w:sz="4" w:color="D97706" w:space="0"/>
            </w:tcBorders>
          </w:tcPr>
          <w:p/>
        </w:tc>
        <w:tc>
          <w:tcPr>
            <w:tcW w:type="dxa" w:w="4975"/>
            <w:shd w:fill="FFFBEB"/>
            <w:tcBorders>
              <w:top w:val="single" w:sz="4" w:color="FDE68A" w:space="0"/>
              <w:left w:val="single" w:sz="4" w:color="FDE68A" w:space="0"/>
              <w:bottom w:val="single" w:sz="4" w:color="FDE68A" w:space="0"/>
              <w:right w:val="single" w:sz="4" w:color="FDE68A" w:space="0"/>
            </w:tcBorders>
            <w:tcMar>
              <w:top w:w="125" w:type="dxa"/>
              <w:start w:w="140" w:type="dxa"/>
              <w:bottom w:w="125" w:type="dxa"/>
              <w:end w:w="140" w:type="dxa"/>
            </w:tcMar>
          </w:tcPr>
          <w:p>
            <w:pPr>
              <w:spacing w:before="0" w:after="40" w:line="276" w:lineRule="auto"/>
            </w:pPr>
            <w:r>
              <w:rPr>
                <w:rFonts w:ascii="Inter" w:hAnsi="Inter" w:eastAsia="Inter"/>
                <w:b/>
                <w:i w:val="0"/>
                <w:color w:val="D97706"/>
                <w:sz w:val="16"/>
              </w:rPr>
              <w:t>! ATENCIÓN</w:t>
            </w:r>
          </w:p>
          <w:p>
            <w:pPr>
              <w:spacing w:before="0" w:after="0" w:line="276" w:lineRule="auto"/>
            </w:pPr>
            <w:r>
              <w:rPr>
                <w:rFonts w:ascii="Inter" w:hAnsi="Inter" w:eastAsia="Inter"/>
                <w:b w:val="0"/>
                <w:i w:val="0"/>
                <w:color w:val="1F2937"/>
                <w:sz w:val="19"/>
              </w:rPr>
              <w:t>No usar el dB como una competencia de “más es mejor”. En sonido de espectáculos, un nivel excesivo puede reducir inteligibilidad, molestar al público y aumentar riesgo auditivo.</w:t>
            </w:r>
          </w:p>
        </w:tc>
      </w:tr>
    </w:tbl>
    <w:p>
      <w:pPr>
        <w:jc w:val="center"/>
      </w:pPr>
      <w:r>
        <w:drawing>
          <wp:inline xmlns:a="http://schemas.openxmlformats.org/drawingml/2006/main" xmlns:pic="http://schemas.openxmlformats.org/drawingml/2006/picture">
            <wp:extent cx="5715000" cy="2714625"/>
            <wp:docPr id="2" name="Picture 2"/>
            <wp:cNvGraphicFramePr>
              <a:graphicFrameLocks noChangeAspect="1"/>
            </wp:cNvGraphicFramePr>
            <a:graphic>
              <a:graphicData uri="http://schemas.openxmlformats.org/drawingml/2006/picture">
                <pic:pic>
                  <pic:nvPicPr>
                    <pic:cNvPr id="0" name="u02_distance_drop.png"/>
                    <pic:cNvPicPr/>
                  </pic:nvPicPr>
                  <pic:blipFill>
                    <a:blip r:embed="rId12"/>
                    <a:stretch>
                      <a:fillRect/>
                    </a:stretch>
                  </pic:blipFill>
                  <pic:spPr>
                    <a:xfrm>
                      <a:off x="0" y="0"/>
                      <a:ext cx="5715000" cy="2714625"/>
                    </a:xfrm>
                    <a:prstGeom prst="rect"/>
                  </pic:spPr>
                </pic:pic>
              </a:graphicData>
            </a:graphic>
          </wp:inline>
        </w:drawing>
      </w:r>
    </w:p>
    <w:p>
      <w:pPr>
        <w:pStyle w:val="CCaption"/>
        <w:spacing w:before="0" w:after="100" w:line="276" w:lineRule="auto"/>
        <w:jc w:val="center"/>
      </w:pPr>
      <w:r>
        <w:rPr>
          <w:rFonts w:ascii="Inter" w:hAnsi="Inter" w:eastAsia="Inter"/>
          <w:b w:val="0"/>
          <w:i/>
          <w:color w:val="64748B"/>
          <w:sz w:val="16"/>
        </w:rPr>
        <w:t>Figura 2. Regla práctica: al duplicar distancia, el nivel puede caer aproximadamente 6 dB en condiciones ideales de campo libre.</w:t>
      </w:r>
    </w:p>
    <w:p>
      <w:r>
        <w:br w:type="page"/>
      </w:r>
    </w:p>
    <w:tbl>
      <w:tblPr>
        <w:tblW w:type="auto" w:w="0"/>
        <w:jc w:val="center"/>
        <w:tblLayout w:type="fixed"/>
        <w:tblLook w:firstColumn="1" w:firstRow="1" w:lastColumn="0" w:lastRow="0" w:noHBand="0" w:noVBand="1" w:val="04A0"/>
      </w:tblPr>
      <w:tblGrid>
        <w:gridCol w:w="691"/>
        <w:gridCol w:w="9144"/>
      </w:tblGrid>
      <w:tr>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jc w:val="center"/>
            </w:pPr>
            <w:r>
              <w:rPr>
                <w:rFonts w:ascii="Inter Display" w:hAnsi="Inter Display" w:eastAsia="Inter Display"/>
                <w:b/>
                <w:i w:val="0"/>
                <w:color w:val="2563EB"/>
                <w:sz w:val="34"/>
              </w:rPr>
              <w:t>04</w:t>
            </w:r>
          </w:p>
        </w:tc>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spacing w:before="0" w:after="20" w:line="252" w:lineRule="auto"/>
            </w:pPr>
            <w:r>
              <w:rPr>
                <w:rFonts w:ascii="Inter Display" w:hAnsi="Inter Display" w:eastAsia="Inter Display"/>
                <w:b/>
                <w:i w:val="0"/>
                <w:color w:val="111827"/>
                <w:sz w:val="36"/>
              </w:rPr>
              <w:t>Distancia y cobertura</w:t>
            </w:r>
          </w:p>
          <w:p>
            <w:pPr>
              <w:spacing w:before="0" w:after="80" w:line="276" w:lineRule="auto"/>
            </w:pPr>
            <w:r>
              <w:rPr>
                <w:rFonts w:ascii="Inter" w:hAnsi="Inter" w:eastAsia="Inter"/>
                <w:b w:val="0"/>
                <w:i w:val="0"/>
                <w:color w:val="64748B"/>
                <w:sz w:val="18"/>
              </w:rPr>
              <w:t>Por qué no alcanza con medir al lado del parlante</w:t>
            </w:r>
          </w:p>
        </w:tc>
      </w:tr>
    </w:tbl>
    <w:p>
      <w:pPr>
        <w:pStyle w:val="CBody"/>
        <w:spacing w:before="0" w:after="110" w:line="278" w:lineRule="auto"/>
      </w:pPr>
      <w:r>
        <w:rPr>
          <w:rFonts w:ascii="Inter" w:hAnsi="Inter" w:eastAsia="Inter"/>
          <w:b w:val="0"/>
          <w:i w:val="0"/>
          <w:color w:val="1F2937"/>
          <w:sz w:val="20"/>
        </w:rPr>
        <w:t>El nivel sonoro baja con la distancia. Por eso, escuchar o medir solo cerca del parlante no representa necesariamente lo que escucha el público ubicado más lejos.</w:t>
      </w:r>
    </w:p>
    <w:p>
      <w:pPr>
        <w:pStyle w:val="CBody"/>
        <w:spacing w:before="0" w:after="110" w:line="278" w:lineRule="auto"/>
      </w:pPr>
      <w:r>
        <w:rPr>
          <w:rFonts w:ascii="Inter" w:hAnsi="Inter" w:eastAsia="Inter"/>
          <w:b w:val="0"/>
          <w:i w:val="0"/>
          <w:color w:val="1F2937"/>
          <w:sz w:val="20"/>
        </w:rPr>
        <w:t>Como regla práctica, en campo libre y con una fuente puntual, duplicar la distancia puede reducir el nivel aproximadamente 6 dB. En salas reales esta regla puede variar por reflexiones, absorción, reverberación, cantidad de público y geometría del lugar.</w:t>
      </w:r>
    </w:p>
    <w:p>
      <w:pPr>
        <w:pStyle w:val="CBody"/>
        <w:spacing w:before="0" w:after="110" w:line="278" w:lineRule="auto"/>
      </w:pPr>
      <w:r>
        <w:rPr>
          <w:rFonts w:ascii="Inter" w:hAnsi="Inter" w:eastAsia="Inter"/>
          <w:b w:val="0"/>
          <w:i w:val="0"/>
          <w:color w:val="1F2937"/>
          <w:sz w:val="20"/>
        </w:rPr>
        <w:t>En un espectáculo, el operador debe buscar un equilibrio: suficiente nivel para lograr claridad y cobertura, pero sin excederse ni generar una experiencia incómoda o riesgosa.</w:t>
      </w:r>
    </w:p>
    <w:tbl>
      <w:tblPr>
        <w:tblW w:type="auto" w:w="0"/>
        <w:jc w:val="center"/>
        <w:tblLayout w:type="fixed"/>
        <w:tblLook w:firstColumn="1" w:firstRow="1" w:lastColumn="0" w:lastRow="0" w:noHBand="0" w:noVBand="1" w:val="04A0"/>
      </w:tblPr>
      <w:tblGrid>
        <w:gridCol w:w="187"/>
        <w:gridCol w:w="9648"/>
      </w:tblGrid>
      <w:tr>
        <w:tc>
          <w:tcPr>
            <w:tcW w:type="dxa" w:w="4975"/>
            <w:shd w:fill="2563EB"/>
            <w:tcBorders>
              <w:top w:val="single" w:sz="4" w:color="2563EB" w:space="0"/>
              <w:left w:val="single" w:sz="4" w:color="2563EB" w:space="0"/>
              <w:bottom w:val="single" w:sz="4" w:color="2563EB" w:space="0"/>
              <w:right w:val="single" w:sz="4" w:color="2563EB" w:space="0"/>
            </w:tcBorders>
          </w:tcPr>
          <w:p/>
        </w:tc>
        <w:tc>
          <w:tcPr>
            <w:tcW w:type="dxa" w:w="4975"/>
            <w:shd w:fill="EFF6FF"/>
            <w:tcBorders>
              <w:top w:val="single" w:sz="4" w:color="BFDBFE" w:space="0"/>
              <w:left w:val="single" w:sz="4" w:color="BFDBFE" w:space="0"/>
              <w:bottom w:val="single" w:sz="4" w:color="BFDBFE" w:space="0"/>
              <w:right w:val="single" w:sz="4" w:color="BFDBFE" w:space="0"/>
            </w:tcBorders>
            <w:tcMar>
              <w:top w:w="125" w:type="dxa"/>
              <w:start w:w="140" w:type="dxa"/>
              <w:bottom w:w="125" w:type="dxa"/>
              <w:end w:w="140" w:type="dxa"/>
            </w:tcMar>
          </w:tcPr>
          <w:p>
            <w:pPr>
              <w:spacing w:before="0" w:after="40" w:line="276" w:lineRule="auto"/>
            </w:pPr>
            <w:r>
              <w:rPr>
                <w:rFonts w:ascii="Inter" w:hAnsi="Inter" w:eastAsia="Inter"/>
                <w:b/>
                <w:i w:val="0"/>
                <w:color w:val="2563EB"/>
                <w:sz w:val="16"/>
              </w:rPr>
              <w:t>APLICACIÓN PRÁCTICA</w:t>
            </w:r>
          </w:p>
          <w:p>
            <w:pPr>
              <w:spacing w:before="0" w:after="0" w:line="276" w:lineRule="auto"/>
            </w:pPr>
            <w:r>
              <w:rPr>
                <w:rFonts w:ascii="Inter" w:hAnsi="Inter" w:eastAsia="Inter"/>
                <w:b w:val="0"/>
                <w:i w:val="0"/>
                <w:color w:val="1F2937"/>
                <w:sz w:val="19"/>
              </w:rPr>
              <w:t>Cuando el público del frente escucha muy fuerte y el fondo escucha poco, el problema puede ser de cobertura, ubicación de parlantes, ángulo, potencia distribuida o acústica del espacio; no siempre se soluciona subiendo todo.</w:t>
            </w:r>
          </w:p>
        </w:tc>
      </w:tr>
    </w:tbl>
    <w:tbl>
      <w:tblPr>
        <w:tblW w:type="auto" w:w="0"/>
        <w:jc w:val="center"/>
        <w:tblLayout w:type="fixed"/>
        <w:tblLook w:firstColumn="1" w:firstRow="1" w:lastColumn="0" w:lastRow="0" w:noHBand="0" w:noVBand="1" w:val="04A0"/>
      </w:tblPr>
      <w:tblGrid>
        <w:gridCol w:w="691"/>
        <w:gridCol w:w="9144"/>
      </w:tblGrid>
      <w:tr>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jc w:val="center"/>
            </w:pPr>
            <w:r>
              <w:rPr>
                <w:rFonts w:ascii="Inter Display" w:hAnsi="Inter Display" w:eastAsia="Inter Display"/>
                <w:b/>
                <w:i w:val="0"/>
                <w:color w:val="2563EB"/>
                <w:sz w:val="34"/>
              </w:rPr>
              <w:t>05</w:t>
            </w:r>
          </w:p>
        </w:tc>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spacing w:before="0" w:after="20" w:line="252" w:lineRule="auto"/>
            </w:pPr>
            <w:r>
              <w:rPr>
                <w:rFonts w:ascii="Inter Display" w:hAnsi="Inter Display" w:eastAsia="Inter Display"/>
                <w:b/>
                <w:i w:val="0"/>
                <w:color w:val="111827"/>
                <w:sz w:val="36"/>
              </w:rPr>
              <w:t>Seguridad auditiva</w:t>
            </w:r>
          </w:p>
          <w:p>
            <w:pPr>
              <w:spacing w:before="0" w:after="80" w:line="276" w:lineRule="auto"/>
            </w:pPr>
            <w:r>
              <w:rPr>
                <w:rFonts w:ascii="Inter" w:hAnsi="Inter" w:eastAsia="Inter"/>
                <w:b w:val="0"/>
                <w:i w:val="0"/>
                <w:color w:val="64748B"/>
                <w:sz w:val="18"/>
              </w:rPr>
              <w:t>Operar sonido también implica cuidar la escucha</w:t>
            </w:r>
          </w:p>
        </w:tc>
      </w:tr>
    </w:tbl>
    <w:p>
      <w:pPr>
        <w:pStyle w:val="CBody"/>
        <w:spacing w:before="0" w:after="110" w:line="278" w:lineRule="auto"/>
      </w:pPr>
      <w:r>
        <w:rPr>
          <w:rFonts w:ascii="Inter" w:hAnsi="Inter" w:eastAsia="Inter"/>
          <w:b w:val="0"/>
          <w:i w:val="0"/>
          <w:color w:val="1F2937"/>
          <w:sz w:val="20"/>
        </w:rPr>
        <w:t>La seguridad auditiva forma parte del trabajo técnico. En eventos, ensayos y montajes puede haber exposición prolongada a niveles altos, tanto para el público como para músicos, técnicos y personal de producción.</w:t>
      </w:r>
    </w:p>
    <w:p>
      <w:pPr>
        <w:pStyle w:val="CBody"/>
        <w:spacing w:before="0" w:after="110" w:line="278" w:lineRule="auto"/>
      </w:pPr>
      <w:r>
        <w:rPr>
          <w:rFonts w:ascii="Inter" w:hAnsi="Inter" w:eastAsia="Inter"/>
          <w:b w:val="0"/>
          <w:i w:val="0"/>
          <w:color w:val="1F2937"/>
          <w:sz w:val="20"/>
        </w:rPr>
        <w:t>Como referencia institucional, NIOSH recomienda un límite de exposición ocupacional de 85 dBA para una jornada de 8 horas. OSHA también usa 85 dBA como nivel de acción para programas de conservación auditiva en exposición ocupacional de 8 horas. En Argentina, la SRT dispone el protocolo oficial para medición del nivel de ruido en ambiente laboral mediante la Resolución SRT 85/12.</w:t>
      </w:r>
    </w:p>
    <w:p>
      <w:pPr>
        <w:pStyle w:val="CBody"/>
        <w:spacing w:before="0" w:after="110" w:line="278" w:lineRule="auto"/>
      </w:pPr>
      <w:r>
        <w:rPr>
          <w:rFonts w:ascii="Inter" w:hAnsi="Inter" w:eastAsia="Inter"/>
          <w:b w:val="0"/>
          <w:i w:val="0"/>
          <w:color w:val="1F2937"/>
          <w:sz w:val="20"/>
        </w:rPr>
        <w:t>Estos valores se incorporan como referencia educativa y deben validarse con el experto técnico y el marco normativo aplicable antes de usarse en una certificación o recomendación profesional formal.</w:t>
      </w:r>
    </w:p>
    <w:p>
      <w:pPr>
        <w:jc w:val="center"/>
      </w:pPr>
      <w:r>
        <w:drawing>
          <wp:inline xmlns:a="http://schemas.openxmlformats.org/drawingml/2006/main" xmlns:pic="http://schemas.openxmlformats.org/drawingml/2006/picture">
            <wp:extent cx="5715000" cy="2714625"/>
            <wp:docPr id="3" name="Picture 3"/>
            <wp:cNvGraphicFramePr>
              <a:graphicFrameLocks noChangeAspect="1"/>
            </wp:cNvGraphicFramePr>
            <a:graphic>
              <a:graphicData uri="http://schemas.openxmlformats.org/drawingml/2006/picture">
                <pic:pic>
                  <pic:nvPicPr>
                    <pic:cNvPr id="0" name="u02_safety_meter.png"/>
                    <pic:cNvPicPr/>
                  </pic:nvPicPr>
                  <pic:blipFill>
                    <a:blip r:embed="rId13"/>
                    <a:stretch>
                      <a:fillRect/>
                    </a:stretch>
                  </pic:blipFill>
                  <pic:spPr>
                    <a:xfrm>
                      <a:off x="0" y="0"/>
                      <a:ext cx="5715000" cy="2714625"/>
                    </a:xfrm>
                    <a:prstGeom prst="rect"/>
                  </pic:spPr>
                </pic:pic>
              </a:graphicData>
            </a:graphic>
          </wp:inline>
        </w:drawing>
      </w:r>
    </w:p>
    <w:p>
      <w:pPr>
        <w:pStyle w:val="CCaption"/>
        <w:spacing w:before="0" w:after="100" w:line="276" w:lineRule="auto"/>
        <w:jc w:val="center"/>
      </w:pPr>
      <w:r>
        <w:rPr>
          <w:rFonts w:ascii="Inter" w:hAnsi="Inter" w:eastAsia="Inter"/>
          <w:b w:val="0"/>
          <w:i/>
          <w:color w:val="64748B"/>
          <w:sz w:val="16"/>
        </w:rPr>
        <w:t>Figura 3. Criterio operativo: medir, ajustar y proteger antes de asumir que más volumen resuelve el problema.</w:t>
      </w:r>
    </w:p>
    <w:p>
      <w:r>
        <w:br w:type="page"/>
      </w:r>
    </w:p>
    <w:tbl>
      <w:tblPr>
        <w:tblW w:type="auto" w:w="0"/>
        <w:jc w:val="center"/>
        <w:tblLayout w:type="fixed"/>
        <w:tblLook w:firstColumn="1" w:firstRow="1" w:lastColumn="0" w:lastRow="0" w:noHBand="0" w:noVBand="1" w:val="04A0"/>
      </w:tblPr>
      <w:tblGrid>
        <w:gridCol w:w="691"/>
        <w:gridCol w:w="9144"/>
      </w:tblGrid>
      <w:tr>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jc w:val="center"/>
            </w:pPr>
            <w:r>
              <w:rPr>
                <w:rFonts w:ascii="Inter Display" w:hAnsi="Inter Display" w:eastAsia="Inter Display"/>
                <w:b/>
                <w:i w:val="0"/>
                <w:color w:val="2563EB"/>
                <w:sz w:val="34"/>
              </w:rPr>
              <w:t>06</w:t>
            </w:r>
          </w:p>
        </w:tc>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spacing w:before="0" w:after="20" w:line="252" w:lineRule="auto"/>
            </w:pPr>
            <w:r>
              <w:rPr>
                <w:rFonts w:ascii="Inter Display" w:hAnsi="Inter Display" w:eastAsia="Inter Display"/>
                <w:b/>
                <w:i w:val="0"/>
                <w:color w:val="111827"/>
                <w:sz w:val="36"/>
              </w:rPr>
              <w:t>Glosario mínimo</w:t>
            </w:r>
          </w:p>
          <w:p>
            <w:pPr>
              <w:spacing w:before="0" w:after="80" w:line="276" w:lineRule="auto"/>
            </w:pPr>
            <w:r>
              <w:rPr>
                <w:rFonts w:ascii="Inter" w:hAnsi="Inter" w:eastAsia="Inter"/>
                <w:b w:val="0"/>
                <w:i w:val="0"/>
                <w:color w:val="64748B"/>
                <w:sz w:val="18"/>
              </w:rPr>
              <w:t>Conceptos que no deberían quedar sueltos</w:t>
            </w:r>
          </w:p>
        </w:tc>
      </w:tr>
    </w:tbl>
    <w:tbl>
      <w:tblPr>
        <w:tblW w:type="auto" w:w="0"/>
        <w:jc w:val="center"/>
        <w:tblLayout w:type="fixed"/>
        <w:tblLook w:firstColumn="1" w:firstRow="1" w:lastColumn="0" w:lastRow="0" w:noHBand="0" w:noVBand="1" w:val="04A0"/>
      </w:tblPr>
      <w:tblGrid>
        <w:gridCol w:w="4975"/>
        <w:gridCol w:w="4975"/>
      </w:tblGrid>
      <w:tr>
        <w:tc>
          <w:tcPr>
            <w:tcW w:type="dxa" w:w="4975"/>
            <w:shd w:fill="EEF2FF"/>
            <w:tcBorders>
              <w:top w:val="single" w:sz="4" w:color="C7D2FE" w:space="0"/>
              <w:left w:val="single" w:sz="4" w:color="C7D2FE" w:space="0"/>
              <w:bottom w:val="single" w:sz="4" w:color="C7D2FE" w:space="0"/>
              <w:right w:val="single" w:sz="4" w:color="C7D2FE" w:space="0"/>
            </w:tcBorders>
            <w:tcMar>
              <w:top w:w="75" w:type="dxa"/>
              <w:start w:w="100" w:type="dxa"/>
              <w:bottom w:w="75" w:type="dxa"/>
              <w:end w:w="80" w:type="dxa"/>
            </w:tcMar>
          </w:tcPr>
          <w:p>
            <w:r>
              <w:rPr>
                <w:rFonts w:ascii="Inter" w:hAnsi="Inter" w:eastAsia="Inter"/>
                <w:b/>
                <w:i w:val="0"/>
                <w:color w:val="1D4ED8"/>
                <w:sz w:val="17"/>
              </w:rPr>
              <w:t>Presión sonora</w:t>
            </w:r>
          </w:p>
        </w:tc>
        <w:tc>
          <w:tcPr>
            <w:tcW w:type="dxa" w:w="4975"/>
            <w:shd w:fill="FFFFFF"/>
            <w:tcBorders>
              <w:top w:val="single" w:sz="4" w:color="E5E7EB" w:space="0"/>
              <w:left w:val="single" w:sz="4" w:color="E5E7EB" w:space="0"/>
              <w:bottom w:val="single" w:sz="4" w:color="E5E7EB" w:space="0"/>
              <w:right w:val="single" w:sz="4" w:color="E5E7EB" w:space="0"/>
            </w:tcBorders>
            <w:tcMar>
              <w:top w:w="75" w:type="dxa"/>
              <w:start w:w="110" w:type="dxa"/>
              <w:bottom w:w="75" w:type="dxa"/>
              <w:end w:w="100" w:type="dxa"/>
            </w:tcMar>
          </w:tcPr>
          <w:p>
            <w:r>
              <w:rPr>
                <w:rFonts w:ascii="Inter" w:hAnsi="Inter" w:eastAsia="Inter"/>
                <w:b w:val="0"/>
                <w:i w:val="0"/>
                <w:color w:val="1F2937"/>
                <w:sz w:val="17"/>
              </w:rPr>
              <w:t>Variación de presión producida por el paso de una onda sonora respecto de la presión atmosférica.</w:t>
            </w:r>
          </w:p>
        </w:tc>
      </w:tr>
      <w:tr>
        <w:tc>
          <w:tcPr>
            <w:tcW w:type="dxa" w:w="4975"/>
            <w:shd w:fill="EEF2FF"/>
            <w:tcBorders>
              <w:top w:val="single" w:sz="4" w:color="C7D2FE" w:space="0"/>
              <w:left w:val="single" w:sz="4" w:color="C7D2FE" w:space="0"/>
              <w:bottom w:val="single" w:sz="4" w:color="C7D2FE" w:space="0"/>
              <w:right w:val="single" w:sz="4" w:color="C7D2FE" w:space="0"/>
            </w:tcBorders>
            <w:tcMar>
              <w:top w:w="75" w:type="dxa"/>
              <w:start w:w="100" w:type="dxa"/>
              <w:bottom w:w="75" w:type="dxa"/>
              <w:end w:w="80" w:type="dxa"/>
            </w:tcMar>
          </w:tcPr>
          <w:p>
            <w:r>
              <w:rPr>
                <w:rFonts w:ascii="Inter" w:hAnsi="Inter" w:eastAsia="Inter"/>
                <w:b/>
                <w:i w:val="0"/>
                <w:color w:val="1D4ED8"/>
                <w:sz w:val="17"/>
              </w:rPr>
              <w:t>dB SPL / NPS</w:t>
            </w:r>
          </w:p>
        </w:tc>
        <w:tc>
          <w:tcPr>
            <w:tcW w:type="dxa" w:w="4975"/>
            <w:shd w:fill="FFFFFF"/>
            <w:tcBorders>
              <w:top w:val="single" w:sz="4" w:color="E5E7EB" w:space="0"/>
              <w:left w:val="single" w:sz="4" w:color="E5E7EB" w:space="0"/>
              <w:bottom w:val="single" w:sz="4" w:color="E5E7EB" w:space="0"/>
              <w:right w:val="single" w:sz="4" w:color="E5E7EB" w:space="0"/>
            </w:tcBorders>
            <w:tcMar>
              <w:top w:w="75" w:type="dxa"/>
              <w:start w:w="110" w:type="dxa"/>
              <w:bottom w:w="75" w:type="dxa"/>
              <w:end w:w="100" w:type="dxa"/>
            </w:tcMar>
          </w:tcPr>
          <w:p>
            <w:r>
              <w:rPr>
                <w:rFonts w:ascii="Inter" w:hAnsi="Inter" w:eastAsia="Inter"/>
                <w:b w:val="0"/>
                <w:i w:val="0"/>
                <w:color w:val="1F2937"/>
                <w:sz w:val="17"/>
              </w:rPr>
              <w:t>Unidad logarítmica usada para expresar nivel de presión sonora.</w:t>
            </w:r>
          </w:p>
        </w:tc>
      </w:tr>
      <w:tr>
        <w:tc>
          <w:tcPr>
            <w:tcW w:type="dxa" w:w="4975"/>
            <w:shd w:fill="EEF2FF"/>
            <w:tcBorders>
              <w:top w:val="single" w:sz="4" w:color="C7D2FE" w:space="0"/>
              <w:left w:val="single" w:sz="4" w:color="C7D2FE" w:space="0"/>
              <w:bottom w:val="single" w:sz="4" w:color="C7D2FE" w:space="0"/>
              <w:right w:val="single" w:sz="4" w:color="C7D2FE" w:space="0"/>
            </w:tcBorders>
            <w:tcMar>
              <w:top w:w="75" w:type="dxa"/>
              <w:start w:w="100" w:type="dxa"/>
              <w:bottom w:w="75" w:type="dxa"/>
              <w:end w:w="80" w:type="dxa"/>
            </w:tcMar>
          </w:tcPr>
          <w:p>
            <w:r>
              <w:rPr>
                <w:rFonts w:ascii="Inter" w:hAnsi="Inter" w:eastAsia="Inter"/>
                <w:b/>
                <w:i w:val="0"/>
                <w:color w:val="1D4ED8"/>
                <w:sz w:val="17"/>
              </w:rPr>
              <w:t>Amplitud</w:t>
            </w:r>
          </w:p>
        </w:tc>
        <w:tc>
          <w:tcPr>
            <w:tcW w:type="dxa" w:w="4975"/>
            <w:shd w:fill="FFFFFF"/>
            <w:tcBorders>
              <w:top w:val="single" w:sz="4" w:color="E5E7EB" w:space="0"/>
              <w:left w:val="single" w:sz="4" w:color="E5E7EB" w:space="0"/>
              <w:bottom w:val="single" w:sz="4" w:color="E5E7EB" w:space="0"/>
              <w:right w:val="single" w:sz="4" w:color="E5E7EB" w:space="0"/>
            </w:tcBorders>
            <w:tcMar>
              <w:top w:w="75" w:type="dxa"/>
              <w:start w:w="110" w:type="dxa"/>
              <w:bottom w:w="75" w:type="dxa"/>
              <w:end w:w="100" w:type="dxa"/>
            </w:tcMar>
          </w:tcPr>
          <w:p>
            <w:r>
              <w:rPr>
                <w:rFonts w:ascii="Inter" w:hAnsi="Inter" w:eastAsia="Inter"/>
                <w:b w:val="0"/>
                <w:i w:val="0"/>
                <w:color w:val="1F2937"/>
                <w:sz w:val="17"/>
              </w:rPr>
              <w:t>Magnitud de la variación de presión; se relaciona con la intensidad percibida.</w:t>
            </w:r>
          </w:p>
        </w:tc>
      </w:tr>
      <w:tr>
        <w:tc>
          <w:tcPr>
            <w:tcW w:type="dxa" w:w="4975"/>
            <w:shd w:fill="EEF2FF"/>
            <w:tcBorders>
              <w:top w:val="single" w:sz="4" w:color="C7D2FE" w:space="0"/>
              <w:left w:val="single" w:sz="4" w:color="C7D2FE" w:space="0"/>
              <w:bottom w:val="single" w:sz="4" w:color="C7D2FE" w:space="0"/>
              <w:right w:val="single" w:sz="4" w:color="C7D2FE" w:space="0"/>
            </w:tcBorders>
            <w:tcMar>
              <w:top w:w="75" w:type="dxa"/>
              <w:start w:w="100" w:type="dxa"/>
              <w:bottom w:w="75" w:type="dxa"/>
              <w:end w:w="80" w:type="dxa"/>
            </w:tcMar>
          </w:tcPr>
          <w:p>
            <w:r>
              <w:rPr>
                <w:rFonts w:ascii="Inter" w:hAnsi="Inter" w:eastAsia="Inter"/>
                <w:b/>
                <w:i w:val="0"/>
                <w:color w:val="1D4ED8"/>
                <w:sz w:val="17"/>
              </w:rPr>
              <w:t>Sonómetro</w:t>
            </w:r>
          </w:p>
        </w:tc>
        <w:tc>
          <w:tcPr>
            <w:tcW w:type="dxa" w:w="4975"/>
            <w:shd w:fill="FFFFFF"/>
            <w:tcBorders>
              <w:top w:val="single" w:sz="4" w:color="E5E7EB" w:space="0"/>
              <w:left w:val="single" w:sz="4" w:color="E5E7EB" w:space="0"/>
              <w:bottom w:val="single" w:sz="4" w:color="E5E7EB" w:space="0"/>
              <w:right w:val="single" w:sz="4" w:color="E5E7EB" w:space="0"/>
            </w:tcBorders>
            <w:tcMar>
              <w:top w:w="75" w:type="dxa"/>
              <w:start w:w="110" w:type="dxa"/>
              <w:bottom w:w="75" w:type="dxa"/>
              <w:end w:w="100" w:type="dxa"/>
            </w:tcMar>
          </w:tcPr>
          <w:p>
            <w:r>
              <w:rPr>
                <w:rFonts w:ascii="Inter" w:hAnsi="Inter" w:eastAsia="Inter"/>
                <w:b w:val="0"/>
                <w:i w:val="0"/>
                <w:color w:val="1F2937"/>
                <w:sz w:val="17"/>
              </w:rPr>
              <w:t>Instrumento usado para medir niveles sonoros.</w:t>
            </w:r>
          </w:p>
        </w:tc>
      </w:tr>
      <w:tr>
        <w:tc>
          <w:tcPr>
            <w:tcW w:type="dxa" w:w="4975"/>
            <w:shd w:fill="EEF2FF"/>
            <w:tcBorders>
              <w:top w:val="single" w:sz="4" w:color="C7D2FE" w:space="0"/>
              <w:left w:val="single" w:sz="4" w:color="C7D2FE" w:space="0"/>
              <w:bottom w:val="single" w:sz="4" w:color="C7D2FE" w:space="0"/>
              <w:right w:val="single" w:sz="4" w:color="C7D2FE" w:space="0"/>
            </w:tcBorders>
            <w:tcMar>
              <w:top w:w="75" w:type="dxa"/>
              <w:start w:w="100" w:type="dxa"/>
              <w:bottom w:w="75" w:type="dxa"/>
              <w:end w:w="80" w:type="dxa"/>
            </w:tcMar>
          </w:tcPr>
          <w:p>
            <w:r>
              <w:rPr>
                <w:rFonts w:ascii="Inter" w:hAnsi="Inter" w:eastAsia="Inter"/>
                <w:b/>
                <w:i w:val="0"/>
                <w:color w:val="1D4ED8"/>
                <w:sz w:val="17"/>
              </w:rPr>
              <w:t>Cobertura</w:t>
            </w:r>
          </w:p>
        </w:tc>
        <w:tc>
          <w:tcPr>
            <w:tcW w:type="dxa" w:w="4975"/>
            <w:shd w:fill="FFFFFF"/>
            <w:tcBorders>
              <w:top w:val="single" w:sz="4" w:color="E5E7EB" w:space="0"/>
              <w:left w:val="single" w:sz="4" w:color="E5E7EB" w:space="0"/>
              <w:bottom w:val="single" w:sz="4" w:color="E5E7EB" w:space="0"/>
              <w:right w:val="single" w:sz="4" w:color="E5E7EB" w:space="0"/>
            </w:tcBorders>
            <w:tcMar>
              <w:top w:w="75" w:type="dxa"/>
              <w:start w:w="110" w:type="dxa"/>
              <w:bottom w:w="75" w:type="dxa"/>
              <w:end w:w="100" w:type="dxa"/>
            </w:tcMar>
          </w:tcPr>
          <w:p>
            <w:r>
              <w:rPr>
                <w:rFonts w:ascii="Inter" w:hAnsi="Inter" w:eastAsia="Inter"/>
                <w:b w:val="0"/>
                <w:i w:val="0"/>
                <w:color w:val="1F2937"/>
                <w:sz w:val="17"/>
              </w:rPr>
              <w:t>Distribución del sonido sobre el área donde se encuentra el público.</w:t>
            </w:r>
          </w:p>
        </w:tc>
      </w:tr>
      <w:tr>
        <w:tc>
          <w:tcPr>
            <w:tcW w:type="dxa" w:w="4975"/>
            <w:shd w:fill="EEF2FF"/>
            <w:tcBorders>
              <w:top w:val="single" w:sz="4" w:color="C7D2FE" w:space="0"/>
              <w:left w:val="single" w:sz="4" w:color="C7D2FE" w:space="0"/>
              <w:bottom w:val="single" w:sz="4" w:color="C7D2FE" w:space="0"/>
              <w:right w:val="single" w:sz="4" w:color="C7D2FE" w:space="0"/>
            </w:tcBorders>
            <w:tcMar>
              <w:top w:w="75" w:type="dxa"/>
              <w:start w:w="100" w:type="dxa"/>
              <w:bottom w:w="75" w:type="dxa"/>
              <w:end w:w="80" w:type="dxa"/>
            </w:tcMar>
          </w:tcPr>
          <w:p>
            <w:r>
              <w:rPr>
                <w:rFonts w:ascii="Inter" w:hAnsi="Inter" w:eastAsia="Inter"/>
                <w:b/>
                <w:i w:val="0"/>
                <w:color w:val="1D4ED8"/>
                <w:sz w:val="17"/>
              </w:rPr>
              <w:t>Exposición</w:t>
            </w:r>
          </w:p>
        </w:tc>
        <w:tc>
          <w:tcPr>
            <w:tcW w:type="dxa" w:w="4975"/>
            <w:shd w:fill="FFFFFF"/>
            <w:tcBorders>
              <w:top w:val="single" w:sz="4" w:color="E5E7EB" w:space="0"/>
              <w:left w:val="single" w:sz="4" w:color="E5E7EB" w:space="0"/>
              <w:bottom w:val="single" w:sz="4" w:color="E5E7EB" w:space="0"/>
              <w:right w:val="single" w:sz="4" w:color="E5E7EB" w:space="0"/>
            </w:tcBorders>
            <w:tcMar>
              <w:top w:w="75" w:type="dxa"/>
              <w:start w:w="110" w:type="dxa"/>
              <w:bottom w:w="75" w:type="dxa"/>
              <w:end w:w="100" w:type="dxa"/>
            </w:tcMar>
          </w:tcPr>
          <w:p>
            <w:r>
              <w:rPr>
                <w:rFonts w:ascii="Inter" w:hAnsi="Inter" w:eastAsia="Inter"/>
                <w:b w:val="0"/>
                <w:i w:val="0"/>
                <w:color w:val="1F2937"/>
                <w:sz w:val="17"/>
              </w:rPr>
              <w:t>Relación entre nivel sonoro y tiempo durante el cual una persona está expuesta.</w:t>
            </w:r>
          </w:p>
        </w:tc>
      </w:tr>
    </w:tbl>
    <w:tbl>
      <w:tblPr>
        <w:tblW w:type="auto" w:w="0"/>
        <w:jc w:val="center"/>
        <w:tblLayout w:type="fixed"/>
        <w:tblLook w:firstColumn="1" w:firstRow="1" w:lastColumn="0" w:lastRow="0" w:noHBand="0" w:noVBand="1" w:val="04A0"/>
      </w:tblPr>
      <w:tblGrid>
        <w:gridCol w:w="691"/>
        <w:gridCol w:w="9144"/>
      </w:tblGrid>
      <w:tr>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jc w:val="center"/>
            </w:pPr>
            <w:r>
              <w:rPr>
                <w:rFonts w:ascii="Inter Display" w:hAnsi="Inter Display" w:eastAsia="Inter Display"/>
                <w:b/>
                <w:i w:val="0"/>
                <w:color w:val="2563EB"/>
                <w:sz w:val="34"/>
              </w:rPr>
              <w:t>07</w:t>
            </w:r>
          </w:p>
        </w:tc>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spacing w:before="0" w:after="20" w:line="252" w:lineRule="auto"/>
            </w:pPr>
            <w:r>
              <w:rPr>
                <w:rFonts w:ascii="Inter Display" w:hAnsi="Inter Display" w:eastAsia="Inter Display"/>
                <w:b/>
                <w:i w:val="0"/>
                <w:color w:val="111827"/>
                <w:sz w:val="36"/>
              </w:rPr>
              <w:t>Antes de pasar al cuestionario</w:t>
            </w:r>
          </w:p>
          <w:p>
            <w:pPr>
              <w:spacing w:before="0" w:after="80" w:line="276" w:lineRule="auto"/>
            </w:pPr>
            <w:r>
              <w:rPr>
                <w:rFonts w:ascii="Inter" w:hAnsi="Inter" w:eastAsia="Inter"/>
                <w:b w:val="0"/>
                <w:i w:val="0"/>
                <w:color w:val="64748B"/>
                <w:sz w:val="18"/>
              </w:rPr>
              <w:t>Chequeo de comprensión</w:t>
            </w:r>
          </w:p>
        </w:tc>
      </w:tr>
    </w:tbl>
    <w:tbl>
      <w:tblPr>
        <w:tblW w:type="auto" w:w="0"/>
        <w:jc w:val="center"/>
        <w:tblLayout w:type="fixed"/>
        <w:tblLook w:firstColumn="1" w:firstRow="1" w:lastColumn="0" w:lastRow="0" w:noHBand="0" w:noVBand="1" w:val="04A0"/>
      </w:tblPr>
      <w:tblGrid>
        <w:gridCol w:w="9864"/>
      </w:tblGrid>
      <w:tr>
        <w:tc>
          <w:tcPr>
            <w:tcW w:type="dxa" w:w="9951"/>
            <w:shd w:fill="ECFDF5"/>
            <w:tcBorders>
              <w:top w:val="single" w:sz="6" w:color="A7F3D0" w:space="0"/>
              <w:left w:val="single" w:sz="6" w:color="A7F3D0" w:space="0"/>
              <w:bottom w:val="single" w:sz="6" w:color="A7F3D0" w:space="0"/>
              <w:right w:val="single" w:sz="6" w:color="A7F3D0" w:space="0"/>
            </w:tcBorders>
            <w:tcMar>
              <w:top w:w="140" w:type="dxa"/>
              <w:start w:w="170" w:type="dxa"/>
              <w:bottom w:w="140" w:type="dxa"/>
              <w:end w:w="170" w:type="dxa"/>
            </w:tcMar>
          </w:tcPr>
          <w:p>
            <w:pPr>
              <w:spacing w:before="0" w:after="100" w:line="276" w:lineRule="auto"/>
            </w:pPr>
            <w:r>
              <w:rPr>
                <w:rFonts w:ascii="Inter" w:hAnsi="Inter" w:eastAsia="Inter"/>
                <w:b/>
                <w:i w:val="0"/>
                <w:color w:val="16A34A"/>
                <w:sz w:val="16"/>
              </w:rPr>
              <w:t>DEBERÍAS PODER EXPLICAR</w:t>
            </w:r>
          </w:p>
          <w:p>
            <w:pPr>
              <w:spacing w:before="0" w:after="40" w:line="269" w:lineRule="auto"/>
            </w:pPr>
            <w:r>
              <w:rPr>
                <w:rFonts w:ascii="Inter" w:hAnsi="Inter" w:eastAsia="Inter"/>
                <w:b/>
                <w:i w:val="0"/>
                <w:color w:val="16A34A"/>
                <w:sz w:val="19"/>
              </w:rPr>
              <w:t xml:space="preserve">• </w:t>
            </w:r>
            <w:r>
              <w:rPr>
                <w:rFonts w:ascii="Inter" w:hAnsi="Inter" w:eastAsia="Inter"/>
                <w:b w:val="0"/>
                <w:i w:val="0"/>
                <w:color w:val="1F2937"/>
                <w:sz w:val="19"/>
              </w:rPr>
              <w:t>Por qué presión sonora e intensidad percibida están relacionadas, pero no son lo mismo que “calidad”.</w:t>
            </w:r>
          </w:p>
          <w:p>
            <w:pPr>
              <w:spacing w:before="0" w:after="40" w:line="269" w:lineRule="auto"/>
            </w:pPr>
            <w:r>
              <w:rPr>
                <w:rFonts w:ascii="Inter" w:hAnsi="Inter" w:eastAsia="Inter"/>
                <w:b/>
                <w:i w:val="0"/>
                <w:color w:val="16A34A"/>
                <w:sz w:val="19"/>
              </w:rPr>
              <w:t xml:space="preserve">• </w:t>
            </w:r>
            <w:r>
              <w:rPr>
                <w:rFonts w:ascii="Inter" w:hAnsi="Inter" w:eastAsia="Inter"/>
                <w:b w:val="0"/>
                <w:i w:val="0"/>
                <w:color w:val="1F2937"/>
                <w:sz w:val="19"/>
              </w:rPr>
              <w:t>Por qué los decibeles deben interpretarse con contexto y no como simple volumen.</w:t>
            </w:r>
          </w:p>
          <w:p>
            <w:pPr>
              <w:spacing w:before="0" w:after="40" w:line="269" w:lineRule="auto"/>
            </w:pPr>
            <w:r>
              <w:rPr>
                <w:rFonts w:ascii="Inter" w:hAnsi="Inter" w:eastAsia="Inter"/>
                <w:b/>
                <w:i w:val="0"/>
                <w:color w:val="16A34A"/>
                <w:sz w:val="19"/>
              </w:rPr>
              <w:t xml:space="preserve">• </w:t>
            </w:r>
            <w:r>
              <w:rPr>
                <w:rFonts w:ascii="Inter" w:hAnsi="Inter" w:eastAsia="Inter"/>
                <w:b w:val="0"/>
                <w:i w:val="0"/>
                <w:color w:val="1F2937"/>
                <w:sz w:val="19"/>
              </w:rPr>
              <w:t>Por qué conviene medir en más de un punto del espacio.</w:t>
            </w:r>
          </w:p>
          <w:p>
            <w:pPr>
              <w:spacing w:before="0" w:after="40" w:line="269" w:lineRule="auto"/>
            </w:pPr>
            <w:r>
              <w:rPr>
                <w:rFonts w:ascii="Inter" w:hAnsi="Inter" w:eastAsia="Inter"/>
                <w:b/>
                <w:i w:val="0"/>
                <w:color w:val="16A34A"/>
                <w:sz w:val="19"/>
              </w:rPr>
              <w:t xml:space="preserve">• </w:t>
            </w:r>
            <w:r>
              <w:rPr>
                <w:rFonts w:ascii="Inter" w:hAnsi="Inter" w:eastAsia="Inter"/>
                <w:b w:val="0"/>
                <w:i w:val="0"/>
                <w:color w:val="1F2937"/>
                <w:sz w:val="19"/>
              </w:rPr>
              <w:t>Qué significa que el nivel puede caer al aumentar la distancia.</w:t>
            </w:r>
          </w:p>
          <w:p>
            <w:pPr>
              <w:spacing w:before="0" w:after="40" w:line="269" w:lineRule="auto"/>
            </w:pPr>
            <w:r>
              <w:rPr>
                <w:rFonts w:ascii="Inter" w:hAnsi="Inter" w:eastAsia="Inter"/>
                <w:b/>
                <w:i w:val="0"/>
                <w:color w:val="16A34A"/>
                <w:sz w:val="19"/>
              </w:rPr>
              <w:t xml:space="preserve">• </w:t>
            </w:r>
            <w:r>
              <w:rPr>
                <w:rFonts w:ascii="Inter" w:hAnsi="Inter" w:eastAsia="Inter"/>
                <w:b w:val="0"/>
                <w:i w:val="0"/>
                <w:color w:val="1F2937"/>
                <w:sz w:val="19"/>
              </w:rPr>
              <w:t>Qué decisiones básicas ayudan a operar con mayor seguridad auditiva.</w:t>
            </w:r>
          </w:p>
        </w:tc>
      </w:tr>
    </w:tbl>
    <w:p>
      <w:r>
        <w:br w:type="page"/>
      </w:r>
    </w:p>
    <w:tbl>
      <w:tblPr>
        <w:tblW w:type="auto" w:w="0"/>
        <w:jc w:val="center"/>
        <w:tblLayout w:type="fixed"/>
        <w:tblLook w:firstColumn="1" w:firstRow="1" w:lastColumn="0" w:lastRow="0" w:noHBand="0" w:noVBand="1" w:val="04A0"/>
      </w:tblPr>
      <w:tblGrid>
        <w:gridCol w:w="691"/>
        <w:gridCol w:w="9144"/>
      </w:tblGrid>
      <w:tr>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jc w:val="center"/>
            </w:pPr>
            <w:r>
              <w:rPr>
                <w:rFonts w:ascii="Inter Display" w:hAnsi="Inter Display" w:eastAsia="Inter Display"/>
                <w:b/>
                <w:i w:val="0"/>
                <w:color w:val="2563EB"/>
                <w:sz w:val="34"/>
              </w:rPr>
              <w:t>08</w:t>
            </w:r>
          </w:p>
        </w:tc>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spacing w:before="0" w:after="20" w:line="252" w:lineRule="auto"/>
            </w:pPr>
            <w:r>
              <w:rPr>
                <w:rFonts w:ascii="Inter Display" w:hAnsi="Inter Display" w:eastAsia="Inter Display"/>
                <w:b/>
                <w:i w:val="0"/>
                <w:color w:val="111827"/>
                <w:sz w:val="36"/>
              </w:rPr>
              <w:t>Control interno</w:t>
            </w:r>
          </w:p>
          <w:p>
            <w:pPr>
              <w:spacing w:before="0" w:after="80" w:line="276" w:lineRule="auto"/>
            </w:pPr>
            <w:r>
              <w:rPr>
                <w:rFonts w:ascii="Inter" w:hAnsi="Inter" w:eastAsia="Inter"/>
                <w:b w:val="0"/>
                <w:i w:val="0"/>
                <w:color w:val="64748B"/>
                <w:sz w:val="18"/>
              </w:rPr>
              <w:t>Trazabilidad del Documento Fuente</w:t>
            </w:r>
          </w:p>
        </w:tc>
      </w:tr>
    </w:tbl>
    <w:tbl>
      <w:tblPr>
        <w:tblW w:type="auto" w:w="0"/>
        <w:jc w:val="center"/>
        <w:tblLayout w:type="fixed"/>
        <w:tblLook w:firstColumn="1" w:firstRow="1" w:lastColumn="0" w:lastRow="0" w:noHBand="0" w:noVBand="1" w:val="04A0"/>
      </w:tblPr>
      <w:tblGrid>
        <w:gridCol w:w="4975"/>
        <w:gridCol w:w="4975"/>
      </w:tblGrid>
      <w:tr>
        <w:tc>
          <w:tcPr>
            <w:tcW w:type="dxa" w:w="4975"/>
            <w:shd w:fill="F8FAFC"/>
            <w:tcBorders>
              <w:top w:val="single" w:sz="4" w:color="E5E7EB" w:space="0"/>
              <w:left w:val="single" w:sz="4" w:color="E5E7EB" w:space="0"/>
              <w:bottom w:val="single" w:sz="4" w:color="E5E7EB" w:space="0"/>
              <w:right w:val="single" w:sz="4" w:color="E5E7EB" w:space="0"/>
            </w:tcBorders>
            <w:tcMar>
              <w:top w:w="82" w:type="dxa"/>
              <w:start w:w="100" w:type="dxa"/>
              <w:bottom w:w="82" w:type="dxa"/>
              <w:end w:w="80" w:type="dxa"/>
            </w:tcMar>
          </w:tcPr>
          <w:p>
            <w:r>
              <w:rPr>
                <w:rFonts w:ascii="Inter" w:hAnsi="Inter" w:eastAsia="Inter"/>
                <w:b/>
                <w:i w:val="0"/>
                <w:color w:val="111827"/>
                <w:sz w:val="16"/>
              </w:rPr>
              <w:t>Documento</w:t>
            </w:r>
          </w:p>
        </w:tc>
        <w:tc>
          <w:tcPr>
            <w:tcW w:type="dxa" w:w="4975"/>
            <w:shd w:fill="FFFFFF"/>
            <w:tcBorders>
              <w:top w:val="single" w:sz="4" w:color="E5E7EB" w:space="0"/>
              <w:left w:val="single" w:sz="4" w:color="E5E7EB" w:space="0"/>
              <w:bottom w:val="single" w:sz="4" w:color="E5E7EB" w:space="0"/>
              <w:right w:val="single" w:sz="4" w:color="E5E7EB" w:space="0"/>
            </w:tcBorders>
            <w:tcMar>
              <w:top w:w="82" w:type="dxa"/>
              <w:start w:w="110" w:type="dxa"/>
              <w:bottom w:w="82" w:type="dxa"/>
              <w:end w:w="100" w:type="dxa"/>
            </w:tcMar>
          </w:tcPr>
          <w:p>
            <w:r>
              <w:rPr>
                <w:rFonts w:ascii="Inter" w:hAnsi="Inter" w:eastAsia="Inter"/>
                <w:b w:val="0"/>
                <w:i w:val="0"/>
                <w:color w:val="64748B"/>
                <w:sz w:val="16"/>
              </w:rPr>
              <w:t>2.1-Unidad_02_Intensidad_dB_Seguridad_Auditiva_v0.1C_formato_digital_premium.docx</w:t>
            </w:r>
          </w:p>
        </w:tc>
      </w:tr>
      <w:tr>
        <w:tc>
          <w:tcPr>
            <w:tcW w:type="dxa" w:w="4975"/>
            <w:shd w:fill="F8FAFC"/>
            <w:tcBorders>
              <w:top w:val="single" w:sz="4" w:color="E5E7EB" w:space="0"/>
              <w:left w:val="single" w:sz="4" w:color="E5E7EB" w:space="0"/>
              <w:bottom w:val="single" w:sz="4" w:color="E5E7EB" w:space="0"/>
              <w:right w:val="single" w:sz="4" w:color="E5E7EB" w:space="0"/>
            </w:tcBorders>
            <w:tcMar>
              <w:top w:w="82" w:type="dxa"/>
              <w:start w:w="100" w:type="dxa"/>
              <w:bottom w:w="82" w:type="dxa"/>
              <w:end w:w="80" w:type="dxa"/>
            </w:tcMar>
          </w:tcPr>
          <w:p>
            <w:r>
              <w:rPr>
                <w:rFonts w:ascii="Inter" w:hAnsi="Inter" w:eastAsia="Inter"/>
                <w:b/>
                <w:i w:val="0"/>
                <w:color w:val="111827"/>
                <w:sz w:val="16"/>
              </w:rPr>
              <w:t>Formato</w:t>
            </w:r>
          </w:p>
        </w:tc>
        <w:tc>
          <w:tcPr>
            <w:tcW w:type="dxa" w:w="4975"/>
            <w:shd w:fill="FFFFFF"/>
            <w:tcBorders>
              <w:top w:val="single" w:sz="4" w:color="E5E7EB" w:space="0"/>
              <w:left w:val="single" w:sz="4" w:color="E5E7EB" w:space="0"/>
              <w:bottom w:val="single" w:sz="4" w:color="E5E7EB" w:space="0"/>
              <w:right w:val="single" w:sz="4" w:color="E5E7EB" w:space="0"/>
            </w:tcBorders>
            <w:tcMar>
              <w:top w:w="82" w:type="dxa"/>
              <w:start w:w="110" w:type="dxa"/>
              <w:bottom w:w="82" w:type="dxa"/>
              <w:end w:w="100" w:type="dxa"/>
            </w:tcMar>
          </w:tcPr>
          <w:p>
            <w:r>
              <w:rPr>
                <w:rFonts w:ascii="Inter" w:hAnsi="Inter" w:eastAsia="Inter"/>
                <w:b w:val="0"/>
                <w:i w:val="0"/>
                <w:color w:val="64748B"/>
                <w:sz w:val="16"/>
              </w:rPr>
              <w:t>C - Digital premium, estándar aplicado después de la revisión con Matías</w:t>
            </w:r>
          </w:p>
        </w:tc>
      </w:tr>
      <w:tr>
        <w:tc>
          <w:tcPr>
            <w:tcW w:type="dxa" w:w="4975"/>
            <w:shd w:fill="F8FAFC"/>
            <w:tcBorders>
              <w:top w:val="single" w:sz="4" w:color="E5E7EB" w:space="0"/>
              <w:left w:val="single" w:sz="4" w:color="E5E7EB" w:space="0"/>
              <w:bottom w:val="single" w:sz="4" w:color="E5E7EB" w:space="0"/>
              <w:right w:val="single" w:sz="4" w:color="E5E7EB" w:space="0"/>
            </w:tcBorders>
            <w:tcMar>
              <w:top w:w="82" w:type="dxa"/>
              <w:start w:w="100" w:type="dxa"/>
              <w:bottom w:w="82" w:type="dxa"/>
              <w:end w:w="80" w:type="dxa"/>
            </w:tcMar>
          </w:tcPr>
          <w:p>
            <w:r>
              <w:rPr>
                <w:rFonts w:ascii="Inter" w:hAnsi="Inter" w:eastAsia="Inter"/>
                <w:b/>
                <w:i w:val="0"/>
                <w:color w:val="111827"/>
                <w:sz w:val="16"/>
              </w:rPr>
              <w:t>Fuente base</w:t>
            </w:r>
          </w:p>
        </w:tc>
        <w:tc>
          <w:tcPr>
            <w:tcW w:type="dxa" w:w="4975"/>
            <w:shd w:fill="FFFFFF"/>
            <w:tcBorders>
              <w:top w:val="single" w:sz="4" w:color="E5E7EB" w:space="0"/>
              <w:left w:val="single" w:sz="4" w:color="E5E7EB" w:space="0"/>
              <w:bottom w:val="single" w:sz="4" w:color="E5E7EB" w:space="0"/>
              <w:right w:val="single" w:sz="4" w:color="E5E7EB" w:space="0"/>
            </w:tcBorders>
            <w:tcMar>
              <w:top w:w="82" w:type="dxa"/>
              <w:start w:w="110" w:type="dxa"/>
              <w:bottom w:w="82" w:type="dxa"/>
              <w:end w:w="100" w:type="dxa"/>
            </w:tcMar>
          </w:tcPr>
          <w:p>
            <w:r>
              <w:rPr>
                <w:rFonts w:ascii="Inter" w:hAnsi="Inter" w:eastAsia="Inter"/>
                <w:b w:val="0"/>
                <w:i w:val="0"/>
                <w:color w:val="64748B"/>
                <w:sz w:val="16"/>
              </w:rPr>
              <w:t>Guía interna Sonido del Espectáculo + reorganización Blacksmith Academy</w:t>
            </w:r>
          </w:p>
        </w:tc>
      </w:tr>
      <w:tr>
        <w:tc>
          <w:tcPr>
            <w:tcW w:type="dxa" w:w="4975"/>
            <w:shd w:fill="F8FAFC"/>
            <w:tcBorders>
              <w:top w:val="single" w:sz="4" w:color="E5E7EB" w:space="0"/>
              <w:left w:val="single" w:sz="4" w:color="E5E7EB" w:space="0"/>
              <w:bottom w:val="single" w:sz="4" w:color="E5E7EB" w:space="0"/>
              <w:right w:val="single" w:sz="4" w:color="E5E7EB" w:space="0"/>
            </w:tcBorders>
            <w:tcMar>
              <w:top w:w="82" w:type="dxa"/>
              <w:start w:w="100" w:type="dxa"/>
              <w:bottom w:w="82" w:type="dxa"/>
              <w:end w:w="80" w:type="dxa"/>
            </w:tcMar>
          </w:tcPr>
          <w:p>
            <w:r>
              <w:rPr>
                <w:rFonts w:ascii="Inter" w:hAnsi="Inter" w:eastAsia="Inter"/>
                <w:b/>
                <w:i w:val="0"/>
                <w:color w:val="111827"/>
                <w:sz w:val="16"/>
              </w:rPr>
              <w:t>Referencias institucionales</w:t>
            </w:r>
          </w:p>
        </w:tc>
        <w:tc>
          <w:tcPr>
            <w:tcW w:type="dxa" w:w="4975"/>
            <w:shd w:fill="FFFFFF"/>
            <w:tcBorders>
              <w:top w:val="single" w:sz="4" w:color="E5E7EB" w:space="0"/>
              <w:left w:val="single" w:sz="4" w:color="E5E7EB" w:space="0"/>
              <w:bottom w:val="single" w:sz="4" w:color="E5E7EB" w:space="0"/>
              <w:right w:val="single" w:sz="4" w:color="E5E7EB" w:space="0"/>
            </w:tcBorders>
            <w:tcMar>
              <w:top w:w="82" w:type="dxa"/>
              <w:start w:w="110" w:type="dxa"/>
              <w:bottom w:w="82" w:type="dxa"/>
              <w:end w:w="100" w:type="dxa"/>
            </w:tcMar>
          </w:tcPr>
          <w:p>
            <w:r>
              <w:rPr>
                <w:rFonts w:ascii="Inter" w:hAnsi="Inter" w:eastAsia="Inter"/>
                <w:b w:val="0"/>
                <w:i w:val="0"/>
                <w:color w:val="64748B"/>
                <w:sz w:val="16"/>
              </w:rPr>
              <w:t>SRT Argentina Resolución 85/12; NIOSH Noise REL; OSHA Occupational Noise Exposure</w:t>
            </w:r>
          </w:p>
        </w:tc>
      </w:tr>
      <w:tr>
        <w:tc>
          <w:tcPr>
            <w:tcW w:type="dxa" w:w="4975"/>
            <w:shd w:fill="F8FAFC"/>
            <w:tcBorders>
              <w:top w:val="single" w:sz="4" w:color="E5E7EB" w:space="0"/>
              <w:left w:val="single" w:sz="4" w:color="E5E7EB" w:space="0"/>
              <w:bottom w:val="single" w:sz="4" w:color="E5E7EB" w:space="0"/>
              <w:right w:val="single" w:sz="4" w:color="E5E7EB" w:space="0"/>
            </w:tcBorders>
            <w:tcMar>
              <w:top w:w="82" w:type="dxa"/>
              <w:start w:w="100" w:type="dxa"/>
              <w:bottom w:w="82" w:type="dxa"/>
              <w:end w:w="80" w:type="dxa"/>
            </w:tcMar>
          </w:tcPr>
          <w:p>
            <w:r>
              <w:rPr>
                <w:rFonts w:ascii="Inter" w:hAnsi="Inter" w:eastAsia="Inter"/>
                <w:b/>
                <w:i w:val="0"/>
                <w:color w:val="111827"/>
                <w:sz w:val="16"/>
              </w:rPr>
              <w:t>Imágenes</w:t>
            </w:r>
          </w:p>
        </w:tc>
        <w:tc>
          <w:tcPr>
            <w:tcW w:type="dxa" w:w="4975"/>
            <w:shd w:fill="FFFFFF"/>
            <w:tcBorders>
              <w:top w:val="single" w:sz="4" w:color="E5E7EB" w:space="0"/>
              <w:left w:val="single" w:sz="4" w:color="E5E7EB" w:space="0"/>
              <w:bottom w:val="single" w:sz="4" w:color="E5E7EB" w:space="0"/>
              <w:right w:val="single" w:sz="4" w:color="E5E7EB" w:space="0"/>
            </w:tcBorders>
            <w:tcMar>
              <w:top w:w="82" w:type="dxa"/>
              <w:start w:w="110" w:type="dxa"/>
              <w:bottom w:w="82" w:type="dxa"/>
              <w:end w:w="100" w:type="dxa"/>
            </w:tcMar>
          </w:tcPr>
          <w:p>
            <w:r>
              <w:rPr>
                <w:rFonts w:ascii="Inter" w:hAnsi="Inter" w:eastAsia="Inter"/>
                <w:b w:val="0"/>
                <w:i w:val="0"/>
                <w:color w:val="64748B"/>
                <w:sz w:val="16"/>
              </w:rPr>
              <w:t>Diagramas propios Blacksmith Academy generados para esta unidad</w:t>
            </w:r>
          </w:p>
        </w:tc>
      </w:tr>
      <w:tr>
        <w:tc>
          <w:tcPr>
            <w:tcW w:type="dxa" w:w="4975"/>
            <w:shd w:fill="F8FAFC"/>
            <w:tcBorders>
              <w:top w:val="single" w:sz="4" w:color="E5E7EB" w:space="0"/>
              <w:left w:val="single" w:sz="4" w:color="E5E7EB" w:space="0"/>
              <w:bottom w:val="single" w:sz="4" w:color="E5E7EB" w:space="0"/>
              <w:right w:val="single" w:sz="4" w:color="E5E7EB" w:space="0"/>
            </w:tcBorders>
            <w:tcMar>
              <w:top w:w="82" w:type="dxa"/>
              <w:start w:w="100" w:type="dxa"/>
              <w:bottom w:w="82" w:type="dxa"/>
              <w:end w:w="80" w:type="dxa"/>
            </w:tcMar>
          </w:tcPr>
          <w:p>
            <w:r>
              <w:rPr>
                <w:rFonts w:ascii="Inter" w:hAnsi="Inter" w:eastAsia="Inter"/>
                <w:b/>
                <w:i w:val="0"/>
                <w:color w:val="111827"/>
                <w:sz w:val="16"/>
              </w:rPr>
              <w:t>Estado</w:t>
            </w:r>
          </w:p>
        </w:tc>
        <w:tc>
          <w:tcPr>
            <w:tcW w:type="dxa" w:w="4975"/>
            <w:shd w:fill="FFFFFF"/>
            <w:tcBorders>
              <w:top w:val="single" w:sz="4" w:color="E5E7EB" w:space="0"/>
              <w:left w:val="single" w:sz="4" w:color="E5E7EB" w:space="0"/>
              <w:bottom w:val="single" w:sz="4" w:color="E5E7EB" w:space="0"/>
              <w:right w:val="single" w:sz="4" w:color="E5E7EB" w:space="0"/>
            </w:tcBorders>
            <w:tcMar>
              <w:top w:w="82" w:type="dxa"/>
              <w:start w:w="110" w:type="dxa"/>
              <w:bottom w:w="82" w:type="dxa"/>
              <w:end w:w="100" w:type="dxa"/>
            </w:tcMar>
          </w:tcPr>
          <w:p>
            <w:r>
              <w:rPr>
                <w:rFonts w:ascii="Inter" w:hAnsi="Inter" w:eastAsia="Inter"/>
                <w:b w:val="0"/>
                <w:i w:val="0"/>
                <w:color w:val="64748B"/>
                <w:sz w:val="16"/>
              </w:rPr>
              <w:t>Prototipo visual y pedagógico; pendiente de validación técnica final por Matías</w:t>
            </w:r>
          </w:p>
        </w:tc>
      </w:tr>
    </w:tbl>
    <w:tbl>
      <w:tblPr>
        <w:tblW w:type="auto" w:w="0"/>
        <w:jc w:val="center"/>
        <w:tblLayout w:type="fixed"/>
        <w:tblLook w:firstColumn="1" w:firstRow="1" w:lastColumn="0" w:lastRow="0" w:noHBand="0" w:noVBand="1" w:val="04A0"/>
      </w:tblPr>
      <w:tblGrid>
        <w:gridCol w:w="187"/>
        <w:gridCol w:w="9648"/>
      </w:tblGrid>
      <w:tr>
        <w:tc>
          <w:tcPr>
            <w:tcW w:type="dxa" w:w="4975"/>
            <w:shd w:fill="DC2626"/>
            <w:tcBorders>
              <w:top w:val="single" w:sz="4" w:color="DC2626" w:space="0"/>
              <w:left w:val="single" w:sz="4" w:color="DC2626" w:space="0"/>
              <w:bottom w:val="single" w:sz="4" w:color="DC2626" w:space="0"/>
              <w:right w:val="single" w:sz="4" w:color="DC2626" w:space="0"/>
            </w:tcBorders>
          </w:tcPr>
          <w:p/>
        </w:tc>
        <w:tc>
          <w:tcPr>
            <w:tcW w:type="dxa" w:w="4975"/>
            <w:shd w:fill="FEF2F2"/>
            <w:tcBorders>
              <w:top w:val="single" w:sz="4" w:color="FECACA" w:space="0"/>
              <w:left w:val="single" w:sz="4" w:color="FECACA" w:space="0"/>
              <w:bottom w:val="single" w:sz="4" w:color="FECACA" w:space="0"/>
              <w:right w:val="single" w:sz="4" w:color="FECACA" w:space="0"/>
            </w:tcBorders>
            <w:tcMar>
              <w:top w:w="125" w:type="dxa"/>
              <w:start w:w="140" w:type="dxa"/>
              <w:bottom w:w="125" w:type="dxa"/>
              <w:end w:w="140" w:type="dxa"/>
            </w:tcMar>
          </w:tcPr>
          <w:p>
            <w:pPr>
              <w:spacing w:before="0" w:after="40" w:line="276" w:lineRule="auto"/>
            </w:pPr>
            <w:r>
              <w:rPr>
                <w:rFonts w:ascii="Inter" w:hAnsi="Inter" w:eastAsia="Inter"/>
                <w:b/>
                <w:i w:val="0"/>
                <w:color w:val="DC2626"/>
                <w:sz w:val="16"/>
              </w:rPr>
              <w:t>NOTA LEGAL/PEDAGÓGICA</w:t>
            </w:r>
          </w:p>
          <w:p>
            <w:pPr>
              <w:spacing w:before="0" w:after="0" w:line="276" w:lineRule="auto"/>
            </w:pPr>
            <w:r>
              <w:rPr>
                <w:rFonts w:ascii="Inter" w:hAnsi="Inter" w:eastAsia="Inter"/>
                <w:b w:val="0"/>
                <w:i w:val="0"/>
                <w:color w:val="1F2937"/>
                <w:sz w:val="19"/>
              </w:rPr>
              <w:t>Este documento es material educativo interno. No reemplaza mediciones profesionales, normativa aplicable ni supervisión técnica competente.</w:t>
            </w:r>
          </w:p>
        </w:tc>
      </w:tr>
    </w:tbl>
    <w:sectPr w:rsidR="00FC693F" w:rsidRPr="0006063C" w:rsidSect="00034616">
      <w:headerReference w:type="default" r:id="rId9"/>
      <w:footerReference w:type="default" r:id="rId10"/>
      <w:pgSz w:w="11909" w:h="16834"/>
      <w:pgMar w:top="893"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Micro"/>
      <w:jc w:val="center"/>
    </w:pPr>
    <w:r>
      <w:t>Formato C · Digital premium · Unidad 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Micro"/>
      <w:jc w:val="right"/>
    </w:pPr>
    <w:r>
      <w:t>Blacksmith Academy · Sonido Play · Documento Fuente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eastAsia="Inter"/>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Kicker">
    <w:name w:val="C Kicker"/>
    <w:rPr>
      <w:rFonts w:ascii="Inter" w:hAnsi="Inter" w:eastAsia="Inter"/>
      <w:b/>
      <w:color w:val="2563EB"/>
      <w:sz w:val="16"/>
    </w:rPr>
  </w:style>
  <w:style w:type="paragraph" w:customStyle="1" w:styleId="CTitle">
    <w:name w:val="C Title"/>
    <w:rPr>
      <w:rFonts w:ascii="Inter Display" w:hAnsi="Inter Display" w:eastAsia="Inter Display"/>
      <w:b/>
      <w:color w:val="111827"/>
      <w:sz w:val="60"/>
    </w:rPr>
  </w:style>
  <w:style w:type="paragraph" w:customStyle="1" w:styleId="CSubtitle">
    <w:name w:val="C Subtitle"/>
    <w:rPr>
      <w:rFonts w:ascii="Inter" w:hAnsi="Inter" w:eastAsia="Inter"/>
      <w:color w:val="64748B"/>
      <w:sz w:val="22"/>
    </w:rPr>
  </w:style>
  <w:style w:type="paragraph" w:customStyle="1" w:styleId="CBody">
    <w:name w:val="C Body"/>
    <w:rPr>
      <w:rFonts w:ascii="Inter" w:hAnsi="Inter" w:eastAsia="Inter"/>
      <w:color w:val="1F2937"/>
      <w:sz w:val="20"/>
    </w:rPr>
  </w:style>
  <w:style w:type="paragraph" w:customStyle="1" w:styleId="CCaption">
    <w:name w:val="C Caption"/>
    <w:rPr>
      <w:rFonts w:ascii="Inter" w:hAnsi="Inter" w:eastAsia="Inter"/>
      <w:i/>
      <w:color w:val="64748B"/>
      <w:sz w:val="16"/>
    </w:rPr>
  </w:style>
  <w:style w:type="paragraph" w:customStyle="1" w:styleId="CMicro">
    <w:name w:val="C Micro"/>
    <w:rPr>
      <w:rFonts w:ascii="Inter" w:hAnsi="Inter" w:eastAsia="Inter"/>
      <w:color w:val="64748B"/>
      <w:sz w:val="15"/>
    </w:rPr>
  </w:style>
  <w:style w:type="paragraph" w:customStyle="1" w:styleId="CMono">
    <w:name w:val="C Mono"/>
    <w:rPr>
      <w:rFonts w:ascii="DejaVu Sans Mono" w:hAnsi="DejaVu Sans Mono" w:eastAsia="DejaVu Sans Mono"/>
      <w:color w:val="64748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