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38K(2023-02-25)</w:t>
      </w:r>
      <w:bookmarkEnd w:id="1"/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</w:t>
      </w:r>
    </w:p>
    <w:p>
      <w:pPr>
        <w:jc w:val="both"/>
      </w:pPr>
      <w:r>
        <w:rPr>
          <w:color w:val="000"/>
          <w:sz w:val="28"/>
          <w:szCs w:val="28"/>
        </w:rPr>
        <w:t xml:space="preserve">Tilyayev Murodullo Ziyodulloyevich - Oliy ma'lumotli, Mehnat kodeksining 127-moddasiga asosan 2023-02-25 dan Marketing va talabalar bilan ishlash bo'limi ga Bo'lim boshlig'i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2023-02-24 dagi 518/2 sonli mehnat shartnomasi, Tilyayev Murodullo Ziyodulloyevichning arizasi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2023-12-19T04:33:35+00:00</dcterms:created>
  <dcterms:modified xsi:type="dcterms:W3CDTF">2023-12-19T04:33:35+00:00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