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0.0" w:type="dxa"/>
        <w:jc w:val="left"/>
        <w:tblLayout w:type="fixed"/>
        <w:tblLook w:val="0400"/>
      </w:tblPr>
      <w:tblGrid>
        <w:gridCol w:w="2101"/>
        <w:gridCol w:w="6399"/>
        <w:tblGridChange w:id="0">
          <w:tblGrid>
            <w:gridCol w:w="2101"/>
            <w:gridCol w:w="6399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  <w:color w:val="00000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spacing w:after="0" w:line="240" w:lineRule="auto"/>
              <w:rPr>
                <w:rFonts w:ascii="游ゴシック" w:cs="游ゴシック" w:eastAsia="游ゴシック" w:hAnsi="游ゴシック"/>
                <w:sz w:val="24"/>
                <w:szCs w:val="24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24"/>
                <w:szCs w:val="24"/>
                <w:rtl w:val="0"/>
              </w:rPr>
              <w:t xml:space="preserve">グローバル・ロジスティックス・サービス株式会社</w:t>
            </w:r>
          </w:p>
          <w:p w:rsidR="00000000" w:rsidDel="00000000" w:rsidP="00000000" w:rsidRDefault="00000000" w:rsidRPr="00000000" w14:paraId="00000004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24"/>
                <w:szCs w:val="24"/>
                <w:rtl w:val="0"/>
              </w:rPr>
              <w:t xml:space="preserve">第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24"/>
                <w:szCs w:val="24"/>
                <w:rtl w:val="0"/>
              </w:rPr>
              <w:t xml:space="preserve">{{ numeric_mm2qbk7w }}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24"/>
                <w:szCs w:val="24"/>
                <w:rtl w:val="0"/>
              </w:rPr>
              <w:t xml:space="preserve">回普通社債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  <w:color w:val="00000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社債募集総額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  <w:color w:val="00000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金上限</w:t>
            </w:r>
            <w:r w:rsidDel="00000000" w:rsidR="00000000" w:rsidRPr="00000000">
              <w:rPr>
                <w:rFonts w:ascii="游ゴシック" w:cs="游ゴシック" w:eastAsia="游ゴシック" w:hAnsi="游ゴシック"/>
                <w:rtl w:val="0"/>
              </w:rPr>
              <w:t xml:space="preserve">{{ numeric_mm2qnxw5 }}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億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円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  <w:color w:val="00000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社債の金額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  <w:color w:val="00000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金</w:t>
            </w:r>
            <w:r w:rsidDel="00000000" w:rsidR="00000000" w:rsidRPr="00000000">
              <w:rPr>
                <w:rFonts w:ascii="游ゴシック" w:cs="游ゴシック" w:eastAsia="游ゴシック" w:hAnsi="游ゴシック"/>
                <w:rtl w:val="0"/>
              </w:rPr>
              <w:t xml:space="preserve">{{ numeric_mkzr5kqz }}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万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円の1種とする。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  <w:color w:val="00000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社債の利率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  <w:color w:val="00000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年率</w:t>
            </w:r>
            <w:r w:rsidDel="00000000" w:rsidR="00000000" w:rsidRPr="00000000">
              <w:rPr>
                <w:rFonts w:ascii="游ゴシック" w:cs="游ゴシック" w:eastAsia="游ゴシック" w:hAnsi="游ゴシック"/>
                <w:rtl w:val="0"/>
              </w:rPr>
              <w:t xml:space="preserve">{{ numeric_mm1j1azj }}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％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游ゴシック" w:cs="游ゴシック" w:eastAsia="游ゴシック" w:hAnsi="游ゴシック"/>
                <w:rtl w:val="0"/>
              </w:rPr>
              <w:t xml:space="preserve">{{ formula_mm1j1h2z }}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日債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)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  <w:color w:val="00000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払込期日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{{ payment_deadline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  <w:color w:val="00000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発行日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{{ </w:t>
            </w:r>
            <w:r w:rsidDel="00000000" w:rsidR="00000000" w:rsidRPr="00000000">
              <w:rPr>
                <w:rFonts w:ascii="游ゴシック" w:cs="游ゴシック" w:eastAsia="游ゴシック" w:hAnsi="游ゴシック"/>
                <w:rtl w:val="0"/>
              </w:rPr>
              <w:t xml:space="preserve">date_mkzv5nsh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  <w:color w:val="00000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償還期日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{{ </w:t>
            </w:r>
            <w:r w:rsidDel="00000000" w:rsidR="00000000" w:rsidRPr="00000000">
              <w:rPr>
                <w:rFonts w:ascii="游ゴシック" w:cs="游ゴシック" w:eastAsia="游ゴシック" w:hAnsi="游ゴシック"/>
                <w:rtl w:val="0"/>
              </w:rPr>
              <w:t xml:space="preserve">date_mkzvbwp7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  <w:color w:val="00000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社債権者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住所　{{ bondholder_address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  <w:color w:val="00000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0" w:line="276" w:lineRule="auto"/>
              <w:ind w:left="660" w:hanging="660"/>
              <w:jc w:val="both"/>
              <w:rPr>
                <w:rFonts w:ascii="游ゴシック" w:cs="游ゴシック" w:eastAsia="游ゴシック" w:hAnsi="游ゴシック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名前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{{ </w:t>
            </w:r>
            <w:r w:rsidDel="00000000" w:rsidR="00000000" w:rsidRPr="00000000">
              <w:rPr>
                <w:rFonts w:ascii="游ゴシック" w:cs="游ゴシック" w:eastAsia="游ゴシック" w:hAnsi="游ゴシック"/>
                <w:rtl w:val="0"/>
              </w:rPr>
              <w:t xml:space="preserve">formula_mm0xkm5k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  <w:color w:val="00000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払込金額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  <w:color w:val="00000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{{ 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3"/>
                <w:szCs w:val="23"/>
                <w:highlight w:val="white"/>
                <w:rtl w:val="0"/>
              </w:rPr>
              <w:t xml:space="preserve">numeric_mkzr5kqz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 }}円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  <w:color w:val="00000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払込日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{{ </w:t>
            </w:r>
            <w:r w:rsidDel="00000000" w:rsidR="00000000" w:rsidRPr="00000000">
              <w:rPr>
                <w:rFonts w:ascii="游ゴシック" w:cs="游ゴシック" w:eastAsia="游ゴシック" w:hAnsi="游ゴシック"/>
                <w:rtl w:val="0"/>
              </w:rPr>
              <w:t xml:space="preserve">date_mkzvtpra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  <w:color w:val="00000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利払日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spacing w:after="0" w:line="276" w:lineRule="auto"/>
              <w:rPr>
                <w:rFonts w:ascii="游ゴシック" w:cs="游ゴシック" w:eastAsia="游ゴシック" w:hAnsi="游ゴシック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rtl w:val="0"/>
              </w:rPr>
              <w:t xml:space="preserve">{{ interest_payment_date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　　　　　　　　　　</w:t>
      </w:r>
    </w:p>
    <w:sectPr>
      <w:pgSz w:h="16838" w:w="11906" w:orient="portrait"/>
      <w:pgMar w:bottom="1701" w:top="1985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游ゴシック"/>
  <w:font w:name="游明朝"/>
  <w:font w:name="游ゴシック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2"/>
        <w:szCs w:val="22"/>
        <w:lang w:val="en"/>
      </w:rPr>
    </w:rPrDefault>
    <w:pPrDefault>
      <w:pPr>
        <w:widowControl w:val="0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游ゴシック Light" w:cs="游ゴシック Light" w:eastAsia="游ゴシック Light" w:hAnsi="游ゴシック Light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游ゴシック Light" w:cs="游ゴシック Light" w:eastAsia="游ゴシック Light" w:hAnsi="游ゴシック Light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游ゴシック Light" w:cs="游ゴシック Light" w:eastAsia="游ゴシック Light" w:hAnsi="游ゴシック Light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游ゴシック Light" w:cs="游ゴシック Light" w:eastAsia="游ゴシック Light" w:hAnsi="游ゴシック Light"/>
      <w:color w:val="000000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游ゴシック Light" w:cs="游ゴシック Light" w:eastAsia="游ゴシック Light" w:hAnsi="游ゴシック Light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游ゴシック Light" w:cs="游ゴシック Light" w:eastAsia="游ゴシック Light" w:hAnsi="游ゴシック Light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9tZ28e3vm7f8VG9iLlUkvQj9DQ==">CgMxLjA4AHIhMTRacDhVQWl4NUZCRDUxQWNNNkg5R1E5V2J4OGxGV3c5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