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00.0" w:type="dxa"/>
        <w:jc w:val="left"/>
        <w:tblLayout w:type="fixed"/>
        <w:tblLook w:val="0400"/>
      </w:tblPr>
      <w:tblGrid>
        <w:gridCol w:w="2101"/>
        <w:gridCol w:w="6399"/>
        <w:tblGridChange w:id="0">
          <w:tblGrid>
            <w:gridCol w:w="2101"/>
            <w:gridCol w:w="6399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6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　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6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sz w:val="24"/>
                <w:szCs w:val="24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sz w:val="24"/>
                <w:szCs w:val="24"/>
                <w:rtl w:val="0"/>
              </w:rPr>
              <w:t xml:space="preserve">{{ issuer_company_name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sz w:val="24"/>
                <w:szCs w:val="24"/>
                <w:rtl w:val="0"/>
              </w:rPr>
              <w:t xml:space="preserve">第</w:t>
            </w:r>
            <w:r w:rsidDel="00000000" w:rsidR="00000000" w:rsidRPr="00000000">
              <w:rPr>
                <w:rFonts w:ascii="游ゴシック" w:cs="游ゴシック" w:eastAsia="游ゴシック" w:hAnsi="游ゴシック"/>
                <w:sz w:val="24"/>
                <w:szCs w:val="24"/>
                <w:rtl w:val="0"/>
              </w:rPr>
              <w:t xml:space="preserve">{{ bond_number }}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sz w:val="24"/>
                <w:szCs w:val="24"/>
                <w:rtl w:val="0"/>
              </w:rPr>
              <w:t xml:space="preserve">回普通社債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社債募集総額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金上限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{{ total_bond_amount }}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億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円</w:t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社債の金額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金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{{ bond_unit_cost }}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万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円の1種とする。</w:t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社債の利率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年率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{{ interest_rate }}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％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(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interest_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rate_number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日債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)</w:t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払込期日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payment_deadline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発行日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issue_date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償還期日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redemption_date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社債権者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住所　{{ bondholder_address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widowControl w:val="1"/>
              <w:spacing w:after="0" w:line="276" w:lineRule="auto"/>
              <w:ind w:left="660" w:hanging="660"/>
              <w:jc w:val="both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名前 </w:t>
            </w:r>
            <w:r w:rsidDel="00000000" w:rsidR="00000000" w:rsidRPr="00000000">
              <w:rPr>
                <w:rFonts w:ascii="游ゴシック" w:cs="游ゴシック" w:eastAsia="游ゴシック" w:hAnsi="游ゴシック"/>
                <w:rtl w:val="0"/>
              </w:rPr>
              <w:t xml:space="preserve">  </w:t>
            </w: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bondholder_name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払込金額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paid_amount }}円</w:t>
            </w:r>
          </w:p>
        </w:tc>
      </w:tr>
      <w:tr>
        <w:trPr>
          <w:cantSplit w:val="0"/>
          <w:trHeight w:val="69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払込日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payment_date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  <w:color w:val="000000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利払日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widowControl w:val="1"/>
              <w:spacing w:after="0" w:line="276" w:lineRule="auto"/>
              <w:rPr>
                <w:rFonts w:ascii="游ゴシック" w:cs="游ゴシック" w:eastAsia="游ゴシック" w:hAnsi="游ゴシック"/>
              </w:rPr>
            </w:pPr>
            <w:r w:rsidDel="00000000" w:rsidR="00000000" w:rsidRPr="00000000">
              <w:rPr>
                <w:rFonts w:ascii="游ゴシック" w:cs="游ゴシック" w:eastAsia="游ゴシック" w:hAnsi="游ゴシック"/>
                <w:color w:val="000000"/>
                <w:rtl w:val="0"/>
              </w:rPr>
              <w:t xml:space="preserve">{{ interest_payment_date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/>
      </w:pPr>
      <w:r w:rsidDel="00000000" w:rsidR="00000000" w:rsidRPr="00000000">
        <w:rPr>
          <w:rtl w:val="0"/>
        </w:rPr>
        <w:t xml:space="preserve">　　　　　　　　　　</w:t>
      </w:r>
    </w:p>
    <w:sectPr>
      <w:pgSz w:h="16838" w:w="11906" w:orient="portrait"/>
      <w:pgMar w:bottom="1701" w:top="1985" w:left="1701" w:right="1701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游ゴシック"/>
  <w:font w:name="游明朝"/>
  <w:font w:name="游ゴシック Light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游明朝" w:cs="游明朝" w:eastAsia="游明朝" w:hAnsi="游明朝"/>
        <w:sz w:val="22"/>
        <w:szCs w:val="22"/>
        <w:lang w:val="en"/>
      </w:rPr>
    </w:rPrDefault>
    <w:pPrDefault>
      <w:pPr>
        <w:widowControl w:val="0"/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游ゴシック Light" w:cs="游ゴシック Light" w:eastAsia="游ゴシック Light" w:hAnsi="游ゴシック Light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游ゴシック Light" w:cs="游ゴシック Light" w:eastAsia="游ゴシック Light" w:hAnsi="游ゴシック Light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游ゴシック Light" w:cs="游ゴシック Light" w:eastAsia="游ゴシック Light" w:hAnsi="游ゴシック Light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游ゴシック Light" w:cs="游ゴシック Light" w:eastAsia="游ゴシック Light" w:hAnsi="游ゴシック Light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  <w:ind w:left="100"/>
    </w:pPr>
    <w:rPr>
      <w:rFonts w:ascii="游ゴシック Light" w:cs="游ゴシック Light" w:eastAsia="游ゴシック Light" w:hAnsi="游ゴシック Light"/>
      <w:color w:val="000000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80" w:lineRule="auto"/>
      <w:ind w:left="200"/>
    </w:pPr>
    <w:rPr>
      <w:rFonts w:ascii="游ゴシック Light" w:cs="游ゴシック Light" w:eastAsia="游ゴシック Light" w:hAnsi="游ゴシック Light"/>
      <w:color w:val="000000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游ゴシック Light" w:cs="游ゴシック Light" w:eastAsia="游ゴシック Light" w:hAnsi="游ゴシック Light"/>
      <w:sz w:val="56"/>
      <w:szCs w:val="56"/>
    </w:rPr>
  </w:style>
  <w:style w:type="paragraph" w:styleId="Subtitle">
    <w:name w:val="Subtitle"/>
    <w:basedOn w:val="Normal"/>
    <w:next w:val="Normal"/>
    <w:pPr>
      <w:jc w:val="center"/>
    </w:pPr>
    <w:rPr>
      <w:rFonts w:ascii="游ゴシック Light" w:cs="游ゴシック Light" w:eastAsia="游ゴシック Light" w:hAnsi="游ゴシック Light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99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9tZ28e3vm7f8VG9iLlUkvQj9DQ==">CgMxLjA4AHIhMTRacDhVQWl4NUZCRDUxQWNNNkg5R1E5V2J4OGxGV3c5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