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Project 3 User &amp; Task Analysis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Group 3: Pictorial Building Blocks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 Brian McCarthy, Alex Titus, Jules Voltaire,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Ian Vossoughi, Adam Moran, Patrick Polley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User Analysis:</w:t>
      </w:r>
    </w:p>
    <w:tbl>
      <w:tblPr>
        <w:tblStyle w:val="Table1"/>
        <w:bidi w:val="0"/>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20"/>
        <w:gridCol w:w="2235"/>
        <w:gridCol w:w="5415"/>
        <w:tblGridChange w:id="0">
          <w:tblGrid>
            <w:gridCol w:w="2520"/>
            <w:gridCol w:w="2235"/>
            <w:gridCol w:w="5415"/>
          </w:tblGrid>
        </w:tblGridChange>
      </w:tblGrid>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General characteristics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More methodical than other age ranges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gender?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Male and female, in equal proportions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Do not provide any imagery that suggests favoring of one gender over the other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culture do they come from?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 be any culture; communicating users are likely to come from different 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assume users have same associations between physical and abstract ideas. Review interface choices and tools (i.e., use of buttons, arrows, direction of sentence structure) to ensure the principles used are universal human ones, not Western cultural ones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physical abilities/disabilities do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More likely to have disabilities: Poor hearing, vision, use of hands, reaction time, memory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Must adequately provide support for users with any of these disabilities: large, clear text, labelled icons and buttons, distinct color contrast between background and interactive features, minimal use of sounds or required scrolling, multisensory feedback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background education?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Varied levels/types of education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assume user knowledge in many areas, so ensure the sentences can be followed without background knowledge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computer experience do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 general, below average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make system more beginner-friendly. Do not rely upon conventional interface objects (scroll buttons, menus, OS dialogue boxes) that first-time users may have never seen and cannot understand </w:t>
            </w:r>
          </w:p>
        </w:tc>
      </w:tr>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Psychological Characteristics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cognitive style?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Potentially all classifications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Should make an easily-learned interface for all types of mental structures; do not favor one over others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attitudes? Likes/dislikes?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Uncomfortable trying new things; blame themselves for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Interface should be inviting and have easy error recovery. Absolutely do not change the interface’s menu arrangements or steps to completing a task during a user’s session (to maintain locus of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motivation?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Goal: trying to communicate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Users may be more willing to try and learn interface because communication is a vital important activity</w:t>
            </w:r>
          </w:p>
        </w:tc>
      </w:tr>
      <w:t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Knowledge and experience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 typing skill of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Varied skill levels should be expected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rely upon high-speed inputs. Do not require the user to type multi-key commands to perform 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system experience should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Assumed that they do not have much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be beginner-friendly (see “How much computer experience do they have?”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task experience should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They likely have little experience with the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be beginner-friendly (see “How much computer experience do they have?”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application experience should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They likely have little experience with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be beginner-friendly (see “How much computer experience do they have?”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native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Any generally-used native language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make implementation work without relying on linguistic peculiarities of any given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much experience with other systems do they have?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Assumed that they do not have much experience with other systems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rely on previous connections made in other systems. Cannot assume knowledge gained from other applications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their level of computer literacy?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Computer literacy is most likely 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make UI simple and intuitive enough for beginners, relying on metaphors to convey meaning</w:t>
            </w:r>
          </w:p>
        </w:tc>
      </w:tr>
      <w:tr>
        <w:tc>
          <w:tcPr>
            <w:gridSpan w:val="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Physical Characteristics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sz w:val="24"/>
                <w:szCs w:val="24"/>
                <w:rtl w:val="0"/>
              </w:rPr>
              <w:t xml:space="preserve">Implications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What handedness will the user have?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Could be either right- or left- handed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Will need to ensure that the system works well for both handedness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Will the users have color confusion problems?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ratio between people with color confusion and without should be standard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Should be designing with possible color confusions in mind. It shouldn't be first priority, but making sure that the design works for people with color confusion would be good.</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Task Analysis: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Main Task: Communication between two users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Sub Tasks: Sending sentences, Adding/Removing images, connecting images, Creating/Deleting Sentences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950"/>
        <w:gridCol w:w="2520"/>
        <w:tblGridChange w:id="0">
          <w:tblGrid>
            <w:gridCol w:w="1890"/>
            <w:gridCol w:w="4950"/>
            <w:gridCol w:w="25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Task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Attributes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Conversation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“Sentences” which make up the conversation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New</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Disconnect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“Sentence”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“Pictorial words” which make up the sentence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New</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Receive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“Pictorial 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Image/icon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Classification (i.e. part of speech)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Add/Remove to/from sentence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Connect with other pictorial words</w:t>
            </w:r>
          </w:p>
        </w:tc>
      </w:tr>
    </w:tbl>
    <w:p w:rsidR="00000000" w:rsidDel="00000000" w:rsidP="00000000" w:rsidRDefault="00000000" w:rsidRPr="00000000">
      <w:pPr>
        <w:spacing w:line="48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270"/>
        <w:gridCol w:w="3120"/>
        <w:tblGridChange w:id="0">
          <w:tblGrid>
            <w:gridCol w:w="2970"/>
            <w:gridCol w:w="327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Implication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frequent is the Main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Infrequent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Dedicate screen space and guidance to other sub-tasks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Which sub-tasks are most frequent?</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Adding/Removing images, Connecting images, Creating/Deleting sentences, sending sentences (in descending order of 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Dedicate more screen space and guidance to the most frequent sub-tasks. The most frequent sub-tasks need to be readily accessible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training does the user have in the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Very basic training in their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Cannot assume much understanding of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important is the task to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Non-Vital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Errors and delays are not disastrous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Who are the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two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are the task objects grouped?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pictorial words are grouped by broad categories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Need to select useful, recognizable categories; utilize Gestalt grouping and white space to clearly partition categories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are the information sources for the task 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word images are found from online image 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Must have clearly defined sources for images; avoid cultural issues with international image hosting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 result of the main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two users communicate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How does the system communicate with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system must not use textual language to communicate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must use alternative (image-based) methods to communicate with the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likely errors will the system have?</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Misinterpretations, Incorrect connections, Incorrect Selections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Must be easy to undo moves and understand how to use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is the system terminology?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Conversations are groups of sentences; Sentences are groups of pictorial words; Pictorial words are image representations of an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interface should follow the metaphor of communicating through pictorial “building blocks” of words to make the task clear and intuitive for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What are the relationships between tasks?</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Images must be added to a sentence to be connected; A sentence must be created before you can add images to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There must be easy transitions between adding and connecting images (which will happen most frequently and usually sequentially)</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Chisnell, Dana, and Janice Redish. "Designing Web Sites for Older Adults: Expert Review of Usability for Older Adults at 50 Web Sites." </w:t>
      </w:r>
      <w:r w:rsidDel="00000000" w:rsidR="00000000" w:rsidRPr="00000000">
        <w:rPr>
          <w:rFonts w:ascii="Times New Roman" w:cs="Times New Roman" w:eastAsia="Times New Roman" w:hAnsi="Times New Roman"/>
          <w:i w:val="1"/>
          <w:sz w:val="24"/>
          <w:szCs w:val="24"/>
          <w:rtl w:val="0"/>
        </w:rPr>
        <w:t xml:space="preserve">AARP.org</w:t>
      </w:r>
      <w:r w:rsidDel="00000000" w:rsidR="00000000" w:rsidRPr="00000000">
        <w:rPr>
          <w:rFonts w:ascii="Times New Roman" w:cs="Times New Roman" w:eastAsia="Times New Roman" w:hAnsi="Times New Roman"/>
          <w:sz w:val="24"/>
          <w:szCs w:val="24"/>
          <w:rtl w:val="0"/>
        </w:rPr>
        <w:t xml:space="preserve">. AARP, 1 Feb. 2005. Web. </w:t>
      </w:r>
    </w:p>
    <w:p w:rsidR="00000000" w:rsidDel="00000000" w:rsidP="00000000" w:rsidRDefault="00000000" w:rsidRPr="00000000">
      <w:pPr>
        <w:spacing w:line="480" w:lineRule="auto"/>
        <w:ind w:left="560" w:hanging="540"/>
        <w:contextualSpacing w:val="0"/>
      </w:pPr>
      <w:r w:rsidDel="00000000" w:rsidR="00000000" w:rsidRPr="00000000">
        <w:rPr>
          <w:rFonts w:ascii="Times New Roman" w:cs="Times New Roman" w:eastAsia="Times New Roman" w:hAnsi="Times New Roman"/>
          <w:sz w:val="24"/>
          <w:szCs w:val="24"/>
          <w:rtl w:val="0"/>
        </w:rPr>
        <w:t xml:space="preserve">Nielsen, Jakob. "Seniors as Web Users." </w:t>
      </w:r>
      <w:r w:rsidDel="00000000" w:rsidR="00000000" w:rsidRPr="00000000">
        <w:rPr>
          <w:rFonts w:ascii="Times New Roman" w:cs="Times New Roman" w:eastAsia="Times New Roman" w:hAnsi="Times New Roman"/>
          <w:i w:val="1"/>
          <w:sz w:val="24"/>
          <w:szCs w:val="24"/>
          <w:rtl w:val="0"/>
        </w:rPr>
        <w:t xml:space="preserve">Nielsen Norman Group</w:t>
      </w:r>
      <w:r w:rsidDel="00000000" w:rsidR="00000000" w:rsidRPr="00000000">
        <w:rPr>
          <w:rFonts w:ascii="Times New Roman" w:cs="Times New Roman" w:eastAsia="Times New Roman" w:hAnsi="Times New Roman"/>
          <w:sz w:val="24"/>
          <w:szCs w:val="24"/>
          <w:rtl w:val="0"/>
        </w:rPr>
        <w:t xml:space="preserve">. Nielsen Norman Group, 28 May 2013. Web. 11 Apr. 2016.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