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200"/>
              <w:left w:type="dxa" w:w="240"/>
              <w:bottom w:type="dxa" w:w="200"/>
              <w:right w:type="dxa" w:w="240"/>
            </w:tcMar>
          </w:tcPr>
          <w:p>
            <w:pPr>
              <w:spacing w:after="30"/>
            </w:pPr>
            <w:r>
              <w:rPr>
                <w:rFonts w:ascii="Arial" w:cs="Arial" w:eastAsia="Arial" w:hAnsi="Arial"/>
                <w:b/>
                <w:bCs/>
                <w:color w:val="FFFFFF"/>
                <w:sz w:val="40"/>
                <w:szCs w:val="40"/>
              </w:rPr>
              <w:t xml:space="preserve">MANUAL DE OPERACIONES CLAUDE IA — v1.4</w:t>
            </w:r>
          </w:p>
          <w:p>
            <w:pPr>
              <w:spacing w:after="20"/>
            </w:pPr>
            <w:r>
              <w:rPr>
                <w:rFonts w:ascii="Arial" w:cs="Arial" w:eastAsia="Arial" w:hAnsi="Arial"/>
                <w:color w:val="90CDF4"/>
                <w:sz w:val="22"/>
                <w:szCs w:val="22"/>
              </w:rPr>
              <w:t xml:space="preserve">ADDENDUM: Sistema de Reportería Mando Central</w:t>
            </w:r>
          </w:p>
          <w:p>
            <w:pPr>
              <w:spacing w:after="0"/>
            </w:pPr>
            <w:r>
              <w:rPr>
                <w:rFonts w:ascii="Arial" w:cs="Arial" w:eastAsia="Arial" w:hAnsi="Arial"/>
                <w:i/>
                <w:iCs/>
                <w:color w:val="718096"/>
                <w:sz w:val="16"/>
                <w:szCs w:val="16"/>
              </w:rPr>
              <w:t xml:space="preserve">Capítulo 8 nuevo · Se integra al Manual v1.3 en Sprint 2 cuando se suba el archivo · Marzo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8102E" w:val="clear"/>
            <w:tcMar>
              <w:top w:type="dxa" w:w="20"/>
              <w:left w:type="dxa" w:w="160"/>
              <w:bottom w:type="dxa" w:w="20"/>
              <w:right w:type="dxa" w:w="160"/>
            </w:tcMar>
          </w:tcPr>
          <w:p>
            <w:r>
              <w:rPr>
                <w:rFonts w:ascii="Arial" w:cs="Arial" w:eastAsia="Arial" w:hAnsi="Arial"/>
                <w:b/>
                <w:bCs/>
                <w:color w:val="FFFFFF"/>
                <w:sz w:val="16"/>
                <w:szCs w:val="16"/>
              </w:rPr>
              <w:t xml:space="preserve">INSTRUCCIÓN: En Sprint 2, subir Manual v1.3 → Claude agrega este capítulo internamente → devuelve Manual v1.4</w:t>
            </w:r>
          </w:p>
        </w:tc>
      </w:tr>
    </w:tbl>
    <w:p>
      <w:pPr>
        <w:spacing w:after="40"/>
      </w:pPr>
      <w:r>
        <w:t xml:space="preserve"/>
      </w:r>
    </w:p>
    <w:p>
      <w:r>
        <w:br w:type="page"/>
      </w:r>
    </w:p>
    <w:p>
      <w:pPr>
        <w:pStyle w:val="Heading1"/>
        <w:pBdr>
          <w:bottom w:val="single" w:color="E63946" w:sz="6" w:space="4"/>
        </w:pBdr>
        <w:spacing w:before="300" w:after="120"/>
      </w:pPr>
      <w:r>
        <w:rPr>
          <w:rFonts w:ascii="Arial" w:cs="Arial" w:eastAsia="Arial" w:hAnsi="Arial"/>
          <w:b/>
          <w:bCs/>
          <w:color w:val="1B2A4A"/>
        </w:rPr>
        <w:t xml:space="preserve">Capítulo 8 — Sistema de Reportería Mando Central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102E" w:sz="8"/>
              <w:bottom w:val="single" w:color="CCCCCC" w:sz="1"/>
              <w:right w:val="single" w:color="CCCCCC" w:sz="1"/>
            </w:tcBorders>
            <w:shd w:fill="F8D7DA" w:val="clear"/>
            <w:tcMar>
              <w:top w:type="dxa" w:w="100"/>
              <w:left w:type="dxa" w:w="160"/>
              <w:bottom w:type="dxa" w:w="100"/>
              <w:right w:type="dxa" w:w="160"/>
            </w:tcMar>
          </w:tcPr>
          <w:p>
            <w:pPr>
              <w:spacing w:after="30"/>
            </w:pPr>
            <w:r>
              <w:rPr>
                <w:rFonts w:ascii="Arial" w:cs="Arial" w:eastAsia="Arial" w:hAnsi="Arial"/>
                <w:b/>
                <w:bCs/>
                <w:color w:val="721C24"/>
                <w:sz w:val="20"/>
                <w:szCs w:val="20"/>
              </w:rPr>
              <w:t xml:space="preserve">Regla fundamental — documentos vivos</w:t>
            </w:r>
          </w:p>
          <w:p>
            <w:pPr>
              <w:spacing w:after="0"/>
            </w:pPr>
            <w:r>
              <w:rPr>
                <w:rFonts w:ascii="Arial" w:cs="Arial" w:eastAsia="Arial" w:hAnsi="Arial"/>
                <w:color w:val="1A1A2E"/>
                <w:sz w:val="18"/>
                <w:szCs w:val="18"/>
              </w:rPr>
              <w:t xml:space="preserve">NUNCA crear un documento nuevo si ya existe uno. Siempre modificar el existente y actualizar el número de versión en el nombre. Los PDFs de cierre diario son la única excepción. Los PDFs de reportes formales se regeneran desde su script fuente Python.</w:t>
            </w:r>
          </w:p>
        </w:tc>
      </w:tr>
    </w:tbl>
    <w:p>
      <w:pPr>
        <w:spacing w:after="80"/>
      </w:pPr>
      <w:r>
        <w:t xml:space="preserve"/>
      </w:r>
    </w:p>
    <w:p>
      <w:pPr>
        <w:pStyle w:val="Heading2"/>
        <w:spacing w:before="200" w:after="80"/>
      </w:pPr>
      <w:r>
        <w:rPr>
          <w:rFonts w:ascii="Arial" w:cs="Arial" w:eastAsia="Arial" w:hAnsi="Arial"/>
          <w:b/>
          <w:bCs/>
          <w:color w:val="457B9D"/>
        </w:rPr>
        <w:t xml:space="preserve">8.1 La Bitácora vs los Reportes — dos lógicas de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Bitácora (Manual)</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Reportes por Rol</w:t>
            </w:r>
          </w:p>
        </w:tc>
      </w:tr>
      <w:tr>
        <w:tc>
          <w:tcPr>
            <w:tcW w:type="dxa" w:w="2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¿Qué es?</w:t>
            </w:r>
          </w:p>
        </w:tc>
        <w:tc>
          <w:tcPr>
            <w:tcW w:type="dxa" w:w="34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Manual_Operaciones_Claude_IA.docx</w:t>
            </w:r>
          </w:p>
        </w:tc>
        <w:tc>
          <w:tcPr>
            <w:tcW w:type="dxa" w:w="34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8 documentos independientes por audiencia</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Orden</w:t>
            </w:r>
          </w:p>
        </w:tc>
        <w:tc>
          <w:tcPr>
            <w:tcW w:type="dxa" w:w="34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Cronológico ASCENDENTE — Sprint 1 al inicio, Sprint N al final</w:t>
            </w:r>
          </w:p>
        </w:tc>
        <w:tc>
          <w:tcPr>
            <w:tcW w:type="dxa" w:w="34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INVERSO — Sprint más reciente primero, Sprint 1 al final</w:t>
            </w:r>
          </w:p>
        </w:tc>
      </w:tr>
      <w:tr>
        <w:tc>
          <w:tcPr>
            <w:tcW w:type="dxa" w:w="2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Propósito</w:t>
            </w:r>
          </w:p>
        </w:tc>
        <w:tc>
          <w:tcPr>
            <w:tcW w:type="dxa" w:w="34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Registro histórico completo e inalterable del proyecto</w:t>
            </w:r>
          </w:p>
        </w:tc>
        <w:tc>
          <w:tcPr>
            <w:tcW w:type="dxa" w:w="34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Vista publicada del estado actual para cada audiencia</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Audiencia</w:t>
            </w:r>
          </w:p>
        </w:tc>
        <w:tc>
          <w:tcPr>
            <w:tcW w:type="dxa" w:w="34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Javier + Claude — uso interno de trabajo</w:t>
            </w:r>
          </w:p>
        </w:tc>
        <w:tc>
          <w:tcPr>
            <w:tcW w:type="dxa" w:w="34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CEO, Inversores, Prensa, Developers, PM, Auditoría</w:t>
            </w:r>
          </w:p>
        </w:tc>
      </w:tr>
      <w:tr>
        <w:tc>
          <w:tcPr>
            <w:tcW w:type="dxa" w:w="2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Al cierre de sprint</w:t>
            </w:r>
          </w:p>
        </w:tc>
        <w:tc>
          <w:tcPr>
            <w:tcW w:type="dxa" w:w="34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Agregar nueva sección AL FINAL</w:t>
            </w:r>
          </w:p>
        </w:tc>
        <w:tc>
          <w:tcPr>
            <w:tcW w:type="dxa" w:w="34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Insertar nuevo sprint AL INICIO</w:t>
            </w:r>
          </w:p>
        </w:tc>
      </w:tr>
    </w:tbl>
    <w:p>
      <w:pPr>
        <w:spacing w:after="80"/>
      </w:pPr>
      <w:r>
        <w:t xml:space="preserve"/>
      </w:r>
    </w:p>
    <w:p>
      <w:pPr>
        <w:pStyle w:val="Heading2"/>
        <w:spacing w:before="200" w:after="80"/>
      </w:pPr>
      <w:r>
        <w:rPr>
          <w:rFonts w:ascii="Arial" w:cs="Arial" w:eastAsia="Arial" w:hAnsi="Arial"/>
          <w:b/>
          <w:bCs/>
          <w:color w:val="457B9D"/>
        </w:rPr>
        <w:t xml:space="preserve">8.2 Los 8 Reportes por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80"/>
        <w:gridCol w:w="1800"/>
        <w:gridCol w:w="5040"/>
      </w:tblGrid>
      <w:tr>
        <w:tc>
          <w:tcPr>
            <w:tcW w:type="dxa" w:w="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w:t>
            </w:r>
          </w:p>
        </w:tc>
        <w:tc>
          <w:tcPr>
            <w:tcW w:type="dxa" w:w="2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Documento</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Audiencia</w:t>
            </w:r>
          </w:p>
        </w:tc>
        <w:tc>
          <w:tcPr>
            <w:tcW w:type="dxa" w:w="50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Énfasis y características</w:t>
            </w:r>
          </w:p>
        </w:tc>
      </w:tr>
      <w:tr>
        <w:tc>
          <w:tcPr>
            <w:tcW w:type="dxa" w:w="4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A1A2E"/>
                <w:sz w:val="18"/>
                <w:szCs w:val="18"/>
              </w:rPr>
              <w:t xml:space="preserve">1</w:t>
            </w:r>
          </w:p>
        </w:tc>
        <w:tc>
          <w:tcPr>
            <w:tcW w:type="dxa" w:w="22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7"/>
                <w:szCs w:val="17"/>
              </w:rPr>
              <w:t xml:space="preserve">Reporte_CEO</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7"/>
                <w:szCs w:val="17"/>
              </w:rPr>
              <w:t xml:space="preserve">Javier Sequeira</w:t>
            </w:r>
          </w:p>
        </w:tc>
        <w:tc>
          <w:tcPr>
            <w:tcW w:type="dxa" w:w="50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7"/>
                <w:szCs w:val="17"/>
              </w:rPr>
              <w:t xml:space="preserve">Visión completa: operativa + financiera + estratégica. Sin omisiones. Incluye todo.</w:t>
            </w:r>
          </w:p>
        </w:tc>
      </w:tr>
      <w:tr>
        <w:tc>
          <w:tcPr>
            <w:tcW w:type="dxa" w:w="4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18"/>
                <w:szCs w:val="18"/>
              </w:rPr>
              <w:t xml:space="preserve">2</w:t>
            </w:r>
          </w:p>
        </w:tc>
        <w:tc>
          <w:tcPr>
            <w:tcW w:type="dxa" w:w="22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7"/>
                <w:szCs w:val="17"/>
              </w:rPr>
              <w:t xml:space="preserve">Reporte_InversionistaPrivado</w:t>
            </w:r>
          </w:p>
        </w:tc>
        <w:tc>
          <w:tcPr>
            <w:tcW w:type="dxa" w:w="18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7"/>
                <w:szCs w:val="17"/>
              </w:rPr>
              <w:t xml:space="preserve">Inversionista externo</w:t>
            </w:r>
          </w:p>
        </w:tc>
        <w:tc>
          <w:tcPr>
            <w:tcW w:type="dxa" w:w="504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7"/>
                <w:szCs w:val="17"/>
              </w:rPr>
              <w:t xml:space="preserve">ROI, métricas de inversión, proyecciones, riesgo/oportunidad. Lenguaje de negocio puro. Sin toques emotivos.</w:t>
            </w:r>
          </w:p>
        </w:tc>
      </w:tr>
      <w:tr>
        <w:tc>
          <w:tcPr>
            <w:tcW w:type="dxa" w:w="4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A1A2E"/>
                <w:sz w:val="18"/>
                <w:szCs w:val="18"/>
              </w:rPr>
              <w:t xml:space="preserve">3</w:t>
            </w:r>
          </w:p>
        </w:tc>
        <w:tc>
          <w:tcPr>
            <w:tcW w:type="dxa" w:w="22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7"/>
                <w:szCs w:val="17"/>
              </w:rPr>
              <w:t xml:space="preserve">Reporte_InversionistaFamiliar</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7"/>
                <w:szCs w:val="17"/>
              </w:rPr>
              <w:t xml:space="preserve">Familiar inversor</w:t>
            </w:r>
          </w:p>
        </w:tc>
        <w:tc>
          <w:tcPr>
            <w:tcW w:type="dxa" w:w="50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7"/>
                <w:szCs w:val="17"/>
              </w:rPr>
              <w:t xml:space="preserve">Mismos datos financieros del Inv. Privado + narrativa humana, logros emotivos, historia de la marca y las personas detrás.</w:t>
            </w:r>
          </w:p>
        </w:tc>
      </w:tr>
      <w:tr>
        <w:tc>
          <w:tcPr>
            <w:tcW w:type="dxa" w:w="4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18"/>
                <w:szCs w:val="18"/>
              </w:rPr>
              <w:t xml:space="preserve">4</w:t>
            </w:r>
          </w:p>
        </w:tc>
        <w:tc>
          <w:tcPr>
            <w:tcW w:type="dxa" w:w="22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7"/>
                <w:szCs w:val="17"/>
              </w:rPr>
              <w:t xml:space="preserve">Reporte_Prensa</w:t>
            </w:r>
          </w:p>
        </w:tc>
        <w:tc>
          <w:tcPr>
            <w:tcW w:type="dxa" w:w="18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7"/>
                <w:szCs w:val="17"/>
              </w:rPr>
              <w:t xml:space="preserve">Medios / Público</w:t>
            </w:r>
          </w:p>
        </w:tc>
        <w:tc>
          <w:tcPr>
            <w:tcW w:type="dxa" w:w="504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7"/>
                <w:szCs w:val="17"/>
              </w:rPr>
              <w:t xml:space="preserve">Marca, hitos narrativos, crecimiento. Sin datos financieros sensibles. Sin lenguaje técnico. Orientado a historia de marca.</w:t>
            </w:r>
          </w:p>
        </w:tc>
      </w:tr>
      <w:tr>
        <w:tc>
          <w:tcPr>
            <w:tcW w:type="dxa" w:w="4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A1A2E"/>
                <w:sz w:val="18"/>
                <w:szCs w:val="18"/>
              </w:rPr>
              <w:t xml:space="preserve">5</w:t>
            </w:r>
          </w:p>
        </w:tc>
        <w:tc>
          <w:tcPr>
            <w:tcW w:type="dxa" w:w="22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7"/>
                <w:szCs w:val="17"/>
              </w:rPr>
              <w:t xml:space="preserve">Reporte_Developers</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7"/>
                <w:szCs w:val="17"/>
              </w:rPr>
              <w:t xml:space="preserve">Equipo técnico</w:t>
            </w:r>
          </w:p>
        </w:tc>
        <w:tc>
          <w:tcPr>
            <w:tcW w:type="dxa" w:w="50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7"/>
                <w:szCs w:val="17"/>
              </w:rPr>
              <w:t xml:space="preserve">Estado de agentes, Claude Code, deuda técnica, arquitectura del ecosistema, sprints técnicos. Sin información financiera.</w:t>
            </w:r>
          </w:p>
        </w:tc>
      </w:tr>
      <w:tr>
        <w:tc>
          <w:tcPr>
            <w:tcW w:type="dxa" w:w="4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18"/>
                <w:szCs w:val="18"/>
              </w:rPr>
              <w:t xml:space="preserve">6</w:t>
            </w:r>
          </w:p>
        </w:tc>
        <w:tc>
          <w:tcPr>
            <w:tcW w:type="dxa" w:w="22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7"/>
                <w:szCs w:val="17"/>
              </w:rPr>
              <w:t xml:space="preserve">Reporte_ProjectManager</w:t>
            </w:r>
          </w:p>
        </w:tc>
        <w:tc>
          <w:tcPr>
            <w:tcW w:type="dxa" w:w="18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7"/>
                <w:szCs w:val="17"/>
              </w:rPr>
              <w:t xml:space="preserve">Gestión del proyecto</w:t>
            </w:r>
          </w:p>
        </w:tc>
        <w:tc>
          <w:tcPr>
            <w:tcW w:type="dxa" w:w="504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7"/>
                <w:szCs w:val="17"/>
              </w:rPr>
              <w:t xml:space="preserve">Sprints, objetivos vs cumplimiento, pendientes, riesgos, timelines. Vista de ejecución del proyecto.</w:t>
            </w:r>
          </w:p>
        </w:tc>
      </w:tr>
      <w:tr>
        <w:tc>
          <w:tcPr>
            <w:tcW w:type="dxa" w:w="4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A1A2E"/>
                <w:sz w:val="18"/>
                <w:szCs w:val="18"/>
              </w:rPr>
              <w:t xml:space="preserve">7</w:t>
            </w:r>
          </w:p>
        </w:tc>
        <w:tc>
          <w:tcPr>
            <w:tcW w:type="dxa" w:w="22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7"/>
                <w:szCs w:val="17"/>
              </w:rPr>
              <w:t xml:space="preserve">Reporte_Auditoria</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7"/>
                <w:szCs w:val="17"/>
              </w:rPr>
              <w:t xml:space="preserve">Uso interno confidencial</w:t>
            </w:r>
          </w:p>
        </w:tc>
        <w:tc>
          <w:tcPr>
            <w:tcW w:type="dxa" w:w="50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7"/>
                <w:szCs w:val="17"/>
              </w:rPr>
              <w:t xml:space="preserve">Verdad cruda sin filtros. 4 áreas: Financiera, Operativa, Técnica, Proyectos. Fuente primaria para todos los demás reportes.</w:t>
            </w:r>
          </w:p>
        </w:tc>
      </w:tr>
      <w:tr>
        <w:tc>
          <w:tcPr>
            <w:tcW w:type="dxa" w:w="4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18"/>
                <w:szCs w:val="18"/>
              </w:rPr>
              <w:t xml:space="preserve">8</w:t>
            </w:r>
          </w:p>
        </w:tc>
        <w:tc>
          <w:tcPr>
            <w:tcW w:type="dxa" w:w="22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7"/>
                <w:szCs w:val="17"/>
              </w:rPr>
              <w:t xml:space="preserve">Reporte_Historico</w:t>
            </w:r>
          </w:p>
        </w:tc>
        <w:tc>
          <w:tcPr>
            <w:tcW w:type="dxa" w:w="18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7"/>
                <w:szCs w:val="17"/>
              </w:rPr>
              <w:t xml:space="preserve">Inversores / Bancos / RP</w:t>
            </w:r>
          </w:p>
        </w:tc>
        <w:tc>
          <w:tcPr>
            <w:tcW w:type="dxa" w:w="504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7"/>
                <w:szCs w:val="17"/>
              </w:rPr>
              <w:t xml:space="preserve">Análisis histórico formal de operaciones. Formal, con metodología y declaración de integridad de datos.</w:t>
            </w:r>
          </w:p>
        </w:tc>
      </w:tr>
    </w:tbl>
    <w:p>
      <w:pPr>
        <w:spacing w:after="80"/>
      </w:pPr>
      <w:r>
        <w:t xml:space="preserve"/>
      </w:r>
    </w:p>
    <w:p>
      <w:pPr>
        <w:pStyle w:val="Heading2"/>
        <w:spacing w:before="200" w:after="80"/>
      </w:pPr>
      <w:r>
        <w:rPr>
          <w:rFonts w:ascii="Arial" w:cs="Arial" w:eastAsia="Arial" w:hAnsi="Arial"/>
          <w:b/>
          <w:bCs/>
          <w:color w:val="457B9D"/>
        </w:rPr>
        <w:t xml:space="preserve">8.3 El Reporte de Auditorías — documento especial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56404" w:sz="8"/>
              <w:bottom w:val="single" w:color="CCCCCC" w:sz="1"/>
              <w:right w:val="single" w:color="CCCCCC" w:sz="1"/>
            </w:tcBorders>
            <w:shd w:fill="FFF3CD" w:val="clear"/>
            <w:tcMar>
              <w:top w:type="dxa" w:w="100"/>
              <w:left w:type="dxa" w:w="160"/>
              <w:bottom w:type="dxa" w:w="100"/>
              <w:right w:type="dxa" w:w="160"/>
            </w:tcMar>
          </w:tcPr>
          <w:p>
            <w:pPr>
              <w:spacing w:after="30"/>
            </w:pPr>
            <w:r>
              <w:rPr>
                <w:rFonts w:ascii="Arial" w:cs="Arial" w:eastAsia="Arial" w:hAnsi="Arial"/>
                <w:b/>
                <w:bCs/>
                <w:color w:val="856404"/>
                <w:sz w:val="20"/>
                <w:szCs w:val="20"/>
              </w:rPr>
              <w:t xml:space="preserve">El documento que no miente</w:t>
            </w:r>
          </w:p>
          <w:p>
            <w:pPr>
              <w:spacing w:after="0"/>
            </w:pPr>
            <w:r>
              <w:rPr>
                <w:rFonts w:ascii="Arial" w:cs="Arial" w:eastAsia="Arial" w:hAnsi="Arial"/>
                <w:color w:val="1A1A2E"/>
                <w:sz w:val="18"/>
                <w:szCs w:val="18"/>
              </w:rPr>
              <w:t xml:space="preserve">El Reporte de Auditorías es el único que muestra la realidad sin adaptarla para ninguna audiencia. No existe versión "suavizada" de este documento. Es la fuente primaria de alertas que alimenta todos los demás reportes.</w:t>
            </w:r>
          </w:p>
        </w:tc>
      </w:tr>
    </w:tbl>
    <w:p>
      <w:pPr>
        <w:spacing w:after="60"/>
      </w:pPr>
      <w:r>
        <w:t xml:space="preserve"/>
      </w:r>
    </w:p>
    <w:p>
      <w:pPr>
        <w:spacing w:before="140" w:after="60"/>
      </w:pPr>
      <w:r>
        <w:rPr>
          <w:rFonts w:ascii="Arial" w:cs="Arial" w:eastAsia="Arial" w:hAnsi="Arial"/>
          <w:b/>
          <w:bCs/>
          <w:color w:val="1A1A2E"/>
          <w:sz w:val="20"/>
          <w:szCs w:val="20"/>
        </w:rPr>
        <w:t xml:space="preserve">Estructura fija por sprint (4 secciones):</w:t>
      </w:r>
    </w:p>
    <w:p>
      <w:pPr>
        <w:pStyle w:val="ListParagraph"/>
        <w:numPr>
          <w:ilvl w:val="0"/>
          <w:numId w:val="2"/>
        </w:numPr>
        <w:spacing w:after="60"/>
      </w:pPr>
      <w:r>
        <w:rPr>
          <w:rFonts w:ascii="Arial" w:cs="Arial" w:eastAsia="Arial" w:hAnsi="Arial"/>
          <w:color w:val="1A1A2E"/>
          <w:sz w:val="20"/>
          <w:szCs w:val="20"/>
        </w:rPr>
        <w:t xml:space="preserve">A. Auditoría Financiera — brechas, concilios, patrones de caja, gastos vs ingresos</w:t>
      </w:r>
    </w:p>
    <w:p>
      <w:pPr>
        <w:pStyle w:val="ListParagraph"/>
        <w:numPr>
          <w:ilvl w:val="0"/>
          <w:numId w:val="2"/>
        </w:numPr>
        <w:spacing w:after="60"/>
      </w:pPr>
      <w:r>
        <w:rPr>
          <w:rFonts w:ascii="Arial" w:cs="Arial" w:eastAsia="Arial" w:hAnsi="Arial"/>
          <w:color w:val="1A1A2E"/>
          <w:sz w:val="20"/>
          <w:szCs w:val="20"/>
        </w:rPr>
        <w:t xml:space="preserve">B. Auditoría Operativa — inventarios, proceso del punto de venta, equipo, reglas de cierre</w:t>
      </w:r>
    </w:p>
    <w:p>
      <w:pPr>
        <w:pStyle w:val="ListParagraph"/>
        <w:numPr>
          <w:ilvl w:val="0"/>
          <w:numId w:val="2"/>
        </w:numPr>
        <w:spacing w:after="60"/>
      </w:pPr>
      <w:r>
        <w:rPr>
          <w:rFonts w:ascii="Arial" w:cs="Arial" w:eastAsia="Arial" w:hAnsi="Arial"/>
          <w:color w:val="1A1A2E"/>
          <w:sz w:val="20"/>
          <w:szCs w:val="20"/>
        </w:rPr>
        <w:t xml:space="preserve">C. Auditoría Técnica — estado del ecosistema digital, agentes, deuda técnica</w:t>
      </w:r>
    </w:p>
    <w:p>
      <w:pPr>
        <w:pStyle w:val="ListParagraph"/>
        <w:numPr>
          <w:ilvl w:val="0"/>
          <w:numId w:val="2"/>
        </w:numPr>
        <w:spacing w:after="60"/>
      </w:pPr>
      <w:r>
        <w:rPr>
          <w:rFonts w:ascii="Arial" w:cs="Arial" w:eastAsia="Arial" w:hAnsi="Arial"/>
          <w:color w:val="1A1A2E"/>
          <w:sz w:val="20"/>
          <w:szCs w:val="20"/>
        </w:rPr>
        <w:t xml:space="preserve">D. Auditoría de Proyectos — sprints, objetivos vs cumplimiento real, hallazgos abiertos</w:t>
      </w:r>
    </w:p>
    <w:p>
      <w:pPr>
        <w:spacing w:after="60"/>
      </w:pPr>
      <w:r>
        <w:t xml:space="preserve"/>
      </w:r>
    </w:p>
    <w:p>
      <w:pPr>
        <w:spacing w:before="140" w:after="60"/>
      </w:pPr>
      <w:r>
        <w:rPr>
          <w:rFonts w:ascii="Arial" w:cs="Arial" w:eastAsia="Arial" w:hAnsi="Arial"/>
          <w:b/>
          <w:bCs/>
          <w:color w:val="1A1A2E"/>
          <w:sz w:val="20"/>
          <w:szCs w:val="20"/>
        </w:rPr>
        <w:t xml:space="preserve">Leyenda de semáforos (estándar para todo el ecosistema):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Nivel</w:t>
            </w:r>
          </w:p>
        </w:tc>
        <w:tc>
          <w:tcPr>
            <w:tcW w:type="dxa" w:w="79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Significado</w:t>
            </w:r>
          </w:p>
        </w:tc>
      </w:tr>
      <w:tr>
        <w:tc>
          <w:tcPr>
            <w:tcW w:type="dxa" w:w="144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bCs/>
                <w:i w:val="false"/>
                <w:iCs w:val="false"/>
                <w:color w:val="721C24"/>
                <w:sz w:val="18"/>
                <w:szCs w:val="18"/>
              </w:rPr>
              <w:t xml:space="preserve">🔴 CRÍTICO</w:t>
            </w:r>
          </w:p>
        </w:tc>
        <w:tc>
          <w:tcPr>
            <w:tcW w:type="dxa" w:w="792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Problema real con impacto financiero u operativo inmediato. Acción antes del próximo día operativo.</w:t>
            </w:r>
          </w:p>
        </w:tc>
      </w:tr>
      <w:tr>
        <w:tc>
          <w:tcPr>
            <w:tcW w:type="dxa" w:w="1440"/>
            <w:gridSpan w:val="1"/>
            <w:tcBorders>
              <w:top w:val="single" w:color="CCCCCC" w:sz="1"/>
              <w:left w:val="single" w:color="CCCCCC" w:sz="1"/>
              <w:bottom w:val="single" w:color="CCCCCC" w:sz="1"/>
              <w:right w:val="single" w:color="CCCCCC" w:sz="1"/>
            </w:tcBorders>
            <w:shd w:fill="FFE5B4" w:val="clear"/>
            <w:tcMar>
              <w:top w:type="dxa" w:w="80"/>
              <w:left w:type="dxa" w:w="120"/>
              <w:bottom w:type="dxa" w:w="80"/>
              <w:right w:type="dxa" w:w="120"/>
            </w:tcMar>
            <w:vAlign w:val="center"/>
          </w:tcPr>
          <w:p>
            <w:pPr>
              <w:jc w:val="left"/>
            </w:pPr>
            <w:r>
              <w:rPr>
                <w:rFonts w:ascii="Arial" w:cs="Arial" w:eastAsia="Arial" w:hAnsi="Arial"/>
                <w:b/>
                <w:bCs/>
                <w:i w:val="false"/>
                <w:iCs w:val="false"/>
                <w:color w:val="7D3C00"/>
                <w:sz w:val="18"/>
                <w:szCs w:val="18"/>
              </w:rPr>
              <w:t xml:space="preserve">🟠 ALERTA</w:t>
            </w:r>
          </w:p>
        </w:tc>
        <w:tc>
          <w:tcPr>
            <w:tcW w:type="dxa" w:w="7920"/>
            <w:gridSpan w:val="1"/>
            <w:tcBorders>
              <w:top w:val="single" w:color="CCCCCC" w:sz="1"/>
              <w:left w:val="single" w:color="CCCCCC" w:sz="1"/>
              <w:bottom w:val="single" w:color="CCCCCC" w:sz="1"/>
              <w:right w:val="single" w:color="CCCCCC" w:sz="1"/>
            </w:tcBorders>
            <w:shd w:fill="FFE5B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Señal de riesgo identificada. Requiere plan de acción en el sprint actual.</w:t>
            </w:r>
          </w:p>
        </w:tc>
      </w:tr>
      <w:tr>
        <w:tc>
          <w:tcPr>
            <w:tcW w:type="dxa" w:w="144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856404"/>
                <w:sz w:val="18"/>
                <w:szCs w:val="18"/>
              </w:rPr>
              <w:t xml:space="preserve">🟡 MONITOREAR</w:t>
            </w:r>
          </w:p>
        </w:tc>
        <w:tc>
          <w:tcPr>
            <w:tcW w:type="dxa" w:w="792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Hallazgo menor o patrón a observar. Sin acción inmediata necesaria.</w:t>
            </w:r>
          </w:p>
        </w:tc>
      </w:tr>
      <w:tr>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55724"/>
                <w:sz w:val="18"/>
                <w:szCs w:val="18"/>
              </w:rPr>
              <w:t xml:space="preserve">🟢 RESUELTO</w:t>
            </w:r>
          </w:p>
        </w:tc>
        <w:tc>
          <w:tcPr>
            <w:tcW w:type="dxa" w:w="792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Hallazgo identificado y corregido dentro del mismo sprint.</w:t>
            </w:r>
          </w:p>
        </w:tc>
      </w:tr>
      <w:tr>
        <w:tc>
          <w:tcPr>
            <w:tcW w:type="dxa" w:w="1440"/>
            <w:gridSpan w:val="1"/>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pPr>
              <w:jc w:val="left"/>
            </w:pPr>
            <w:r>
              <w:rPr>
                <w:rFonts w:ascii="Arial" w:cs="Arial" w:eastAsia="Arial" w:hAnsi="Arial"/>
                <w:b/>
                <w:bCs/>
                <w:i w:val="false"/>
                <w:iCs w:val="false"/>
                <w:color w:val="718096"/>
                <w:sz w:val="18"/>
                <w:szCs w:val="18"/>
              </w:rPr>
              <w:t xml:space="preserve">⚪ SIN DATOS</w:t>
            </w:r>
          </w:p>
        </w:tc>
        <w:tc>
          <w:tcPr>
            <w:tcW w:type="dxa" w:w="7920"/>
            <w:gridSpan w:val="1"/>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Campo o área sin información suficiente para emitir veredicto.</w:t>
            </w:r>
          </w:p>
        </w:tc>
      </w:tr>
    </w:tbl>
    <w:p>
      <w:pPr>
        <w:spacing w:after="80"/>
      </w:pPr>
      <w:r>
        <w:t xml:space="preserve"/>
      </w:r>
    </w:p>
    <w:p>
      <w:pPr>
        <w:pStyle w:val="Heading2"/>
        <w:spacing w:before="200" w:after="80"/>
      </w:pPr>
      <w:r>
        <w:rPr>
          <w:rFonts w:ascii="Arial" w:cs="Arial" w:eastAsia="Arial" w:hAnsi="Arial"/>
          <w:b/>
          <w:bCs/>
          <w:color w:val="457B9D"/>
        </w:rPr>
        <w:t xml:space="preserve">8.4 Ciclo de sincronización al cierre de cada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57B9D" w:sz="8"/>
              <w:bottom w:val="single" w:color="CCCCCC" w:sz="1"/>
              <w:right w:val="single" w:color="CCCCCC" w:sz="1"/>
            </w:tcBorders>
            <w:shd w:fill="CCE5FF" w:val="clear"/>
            <w:tcMar>
              <w:top w:type="dxa" w:w="100"/>
              <w:left w:type="dxa" w:w="160"/>
              <w:bottom w:type="dxa" w:w="100"/>
              <w:right w:type="dxa" w:w="160"/>
            </w:tcMar>
          </w:tcPr>
          <w:p>
            <w:pPr>
              <w:spacing w:after="30"/>
            </w:pPr>
            <w:r>
              <w:rPr>
                <w:rFonts w:ascii="Arial" w:cs="Arial" w:eastAsia="Arial" w:hAnsi="Arial"/>
                <w:b/>
                <w:bCs/>
                <w:color w:val="004085"/>
                <w:sz w:val="20"/>
                <w:szCs w:val="20"/>
              </w:rPr>
              <w:t xml:space="preserve">Orden obligatorio de actualización</w:t>
            </w:r>
          </w:p>
          <w:p>
            <w:pPr>
              <w:spacing w:after="0"/>
            </w:pPr>
            <w:r>
              <w:rPr>
                <w:rFonts w:ascii="Arial" w:cs="Arial" w:eastAsia="Arial" w:hAnsi="Arial"/>
                <w:color w:val="1A1A2E"/>
                <w:sz w:val="18"/>
                <w:szCs w:val="18"/>
              </w:rPr>
              <w:t xml:space="preserve">Este ciclo debe ejecutarse en orden estricto al cerrar cada sprint. Saltarse pasos genera inconsistencias entre documentos.</w:t>
            </w:r>
          </w:p>
        </w:tc>
      </w:tr>
    </w:tbl>
    <w:p>
      <w:pPr>
        <w:spacing w:after="60"/>
      </w:pPr>
      <w:r>
        <w:t xml:space="preserve"/>
      </w:r>
    </w:p>
    <w:p>
      <w:pPr>
        <w:spacing w:before="140" w:after="60"/>
      </w:pPr>
      <w:r>
        <w:rPr>
          <w:rFonts w:ascii="Arial" w:cs="Arial" w:eastAsia="Arial" w:hAnsi="Arial"/>
          <w:b/>
          <w:bCs/>
          <w:color w:val="1A1A2E"/>
          <w:sz w:val="20"/>
          <w:szCs w:val="20"/>
        </w:rPr>
        <w:t xml:space="preserve">PASO 1 — Bitácora (al final, orden cronológico):</w:t>
      </w:r>
    </w:p>
    <w:p>
      <w:pPr>
        <w:pStyle w:val="ListParagraph"/>
        <w:numPr>
          <w:ilvl w:val="0"/>
          <w:numId w:val="2"/>
        </w:numPr>
        <w:spacing w:after="60"/>
      </w:pPr>
      <w:r>
        <w:rPr>
          <w:rFonts w:ascii="Arial" w:cs="Arial" w:eastAsia="Arial" w:hAnsi="Arial"/>
          <w:color w:val="1A1A2E"/>
          <w:sz w:val="20"/>
          <w:szCs w:val="20"/>
        </w:rPr>
        <w:t xml:space="preserve">1. Manual_Operaciones_Claude_IA.docx ← agregar sección del sprint al final</w:t>
      </w:r>
    </w:p>
    <w:p>
      <w:pPr>
        <w:spacing w:after="40"/>
      </w:pPr>
      <w:r>
        <w:t xml:space="preserve"/>
      </w:r>
    </w:p>
    <w:p>
      <w:pPr>
        <w:spacing w:before="140" w:after="60"/>
      </w:pPr>
      <w:r>
        <w:rPr>
          <w:rFonts w:ascii="Arial" w:cs="Arial" w:eastAsia="Arial" w:hAnsi="Arial"/>
          <w:b/>
          <w:bCs/>
          <w:color w:val="1A1A2E"/>
          <w:sz w:val="20"/>
          <w:szCs w:val="20"/>
        </w:rPr>
        <w:t xml:space="preserve">PASO 2 — Reportes por Rol (al inicio, orden inverso):</w:t>
      </w:r>
    </w:p>
    <w:p>
      <w:pPr>
        <w:pStyle w:val="ListParagraph"/>
        <w:numPr>
          <w:ilvl w:val="0"/>
          <w:numId w:val="2"/>
        </w:numPr>
        <w:spacing w:after="60"/>
      </w:pPr>
      <w:r>
        <w:rPr>
          <w:rFonts w:ascii="Arial" w:cs="Arial" w:eastAsia="Arial" w:hAnsi="Arial"/>
          <w:color w:val="1A1A2E"/>
          <w:sz w:val="20"/>
          <w:szCs w:val="20"/>
        </w:rPr>
        <w:t xml:space="preserve">2. Reporte_CEO</w:t>
      </w:r>
    </w:p>
    <w:p>
      <w:pPr>
        <w:pStyle w:val="ListParagraph"/>
        <w:numPr>
          <w:ilvl w:val="0"/>
          <w:numId w:val="2"/>
        </w:numPr>
        <w:spacing w:after="60"/>
      </w:pPr>
      <w:r>
        <w:rPr>
          <w:rFonts w:ascii="Arial" w:cs="Arial" w:eastAsia="Arial" w:hAnsi="Arial"/>
          <w:color w:val="1A1A2E"/>
          <w:sz w:val="20"/>
          <w:szCs w:val="20"/>
        </w:rPr>
        <w:t xml:space="preserve">3. Reporte_InversionistaPrivado</w:t>
      </w:r>
    </w:p>
    <w:p>
      <w:pPr>
        <w:pStyle w:val="ListParagraph"/>
        <w:numPr>
          <w:ilvl w:val="0"/>
          <w:numId w:val="2"/>
        </w:numPr>
        <w:spacing w:after="60"/>
      </w:pPr>
      <w:r>
        <w:rPr>
          <w:rFonts w:ascii="Arial" w:cs="Arial" w:eastAsia="Arial" w:hAnsi="Arial"/>
          <w:color w:val="1A1A2E"/>
          <w:sz w:val="20"/>
          <w:szCs w:val="20"/>
        </w:rPr>
        <w:t xml:space="preserve">4. Reporte_InversionistaFamiliar</w:t>
      </w:r>
    </w:p>
    <w:p>
      <w:pPr>
        <w:pStyle w:val="ListParagraph"/>
        <w:numPr>
          <w:ilvl w:val="0"/>
          <w:numId w:val="2"/>
        </w:numPr>
        <w:spacing w:after="60"/>
      </w:pPr>
      <w:r>
        <w:rPr>
          <w:rFonts w:ascii="Arial" w:cs="Arial" w:eastAsia="Arial" w:hAnsi="Arial"/>
          <w:color w:val="1A1A2E"/>
          <w:sz w:val="20"/>
          <w:szCs w:val="20"/>
        </w:rPr>
        <w:t xml:space="preserve">5. Reporte_Prensa</w:t>
      </w:r>
    </w:p>
    <w:p>
      <w:pPr>
        <w:pStyle w:val="ListParagraph"/>
        <w:numPr>
          <w:ilvl w:val="0"/>
          <w:numId w:val="2"/>
        </w:numPr>
        <w:spacing w:after="60"/>
      </w:pPr>
      <w:r>
        <w:rPr>
          <w:rFonts w:ascii="Arial" w:cs="Arial" w:eastAsia="Arial" w:hAnsi="Arial"/>
          <w:color w:val="1A1A2E"/>
          <w:sz w:val="20"/>
          <w:szCs w:val="20"/>
        </w:rPr>
        <w:t xml:space="preserve">6. Reporte_Developers</w:t>
      </w:r>
    </w:p>
    <w:p>
      <w:pPr>
        <w:pStyle w:val="ListParagraph"/>
        <w:numPr>
          <w:ilvl w:val="0"/>
          <w:numId w:val="2"/>
        </w:numPr>
        <w:spacing w:after="60"/>
      </w:pPr>
      <w:r>
        <w:rPr>
          <w:rFonts w:ascii="Arial" w:cs="Arial" w:eastAsia="Arial" w:hAnsi="Arial"/>
          <w:color w:val="1A1A2E"/>
          <w:sz w:val="20"/>
          <w:szCs w:val="20"/>
        </w:rPr>
        <w:t xml:space="preserve">7. Reporte_ProjectManager</w:t>
      </w:r>
    </w:p>
    <w:p>
      <w:pPr>
        <w:pStyle w:val="ListParagraph"/>
        <w:numPr>
          <w:ilvl w:val="0"/>
          <w:numId w:val="2"/>
        </w:numPr>
        <w:spacing w:after="60"/>
      </w:pPr>
      <w:r>
        <w:rPr>
          <w:rFonts w:ascii="Arial" w:cs="Arial" w:eastAsia="Arial" w:hAnsi="Arial"/>
          <w:color w:val="1A1A2E"/>
          <w:sz w:val="20"/>
          <w:szCs w:val="20"/>
        </w:rPr>
        <w:t xml:space="preserve">8. Reporte_Auditoria ← 4 áreas + resumen hallazgos abiertos</w:t>
      </w:r>
    </w:p>
    <w:p>
      <w:pPr>
        <w:spacing w:after="40"/>
      </w:pPr>
      <w:r>
        <w:t xml:space="preserve"/>
      </w:r>
    </w:p>
    <w:p>
      <w:pPr>
        <w:spacing w:before="140" w:after="60"/>
      </w:pPr>
      <w:r>
        <w:rPr>
          <w:rFonts w:ascii="Arial" w:cs="Arial" w:eastAsia="Arial" w:hAnsi="Arial"/>
          <w:b/>
          <w:bCs/>
          <w:color w:val="1A1A2E"/>
          <w:sz w:val="20"/>
          <w:szCs w:val="20"/>
        </w:rPr>
        <w:t xml:space="preserve">PASO 3 — Documentos maestros (solo si hubo cambios):</w:t>
      </w:r>
    </w:p>
    <w:p>
      <w:pPr>
        <w:pStyle w:val="ListParagraph"/>
        <w:numPr>
          <w:ilvl w:val="0"/>
          <w:numId w:val="2"/>
        </w:numPr>
        <w:spacing w:after="60"/>
      </w:pPr>
      <w:r>
        <w:rPr>
          <w:rFonts w:ascii="Arial" w:cs="Arial" w:eastAsia="Arial" w:hAnsi="Arial"/>
          <w:color w:val="1A1A2E"/>
          <w:sz w:val="20"/>
          <w:szCs w:val="20"/>
        </w:rPr>
        <w:t xml:space="preserve">9. ReglasDelSistema ← si hubo nuevas reglas operativas</w:t>
      </w:r>
    </w:p>
    <w:p>
      <w:pPr>
        <w:pStyle w:val="ListParagraph"/>
        <w:numPr>
          <w:ilvl w:val="0"/>
          <w:numId w:val="2"/>
        </w:numPr>
        <w:spacing w:after="60"/>
      </w:pPr>
      <w:r>
        <w:rPr>
          <w:rFonts w:ascii="Arial" w:cs="Arial" w:eastAsia="Arial" w:hAnsi="Arial"/>
          <w:color w:val="1A1A2E"/>
          <w:sz w:val="20"/>
          <w:szCs w:val="20"/>
        </w:rPr>
        <w:t xml:space="preserve">10. Spec_ReporteCierre ← si hubo cambios al motor</w:t>
      </w:r>
    </w:p>
    <w:p>
      <w:pPr>
        <w:pStyle w:val="ListParagraph"/>
        <w:numPr>
          <w:ilvl w:val="0"/>
          <w:numId w:val="2"/>
        </w:numPr>
        <w:spacing w:after="60"/>
      </w:pPr>
      <w:r>
        <w:rPr>
          <w:rFonts w:ascii="Arial" w:cs="Arial" w:eastAsia="Arial" w:hAnsi="Arial"/>
          <w:color w:val="1A1A2E"/>
          <w:sz w:val="20"/>
          <w:szCs w:val="20"/>
        </w:rPr>
        <w:t xml:space="preserve">11. ResumenEjecutivo ← actualizar estado y KPIs del sprint</w:t>
      </w:r>
    </w:p>
    <w:p>
      <w:pPr>
        <w:pStyle w:val="ListParagraph"/>
        <w:numPr>
          <w:ilvl w:val="0"/>
          <w:numId w:val="2"/>
        </w:numPr>
        <w:spacing w:after="60"/>
      </w:pPr>
      <w:r>
        <w:rPr>
          <w:rFonts w:ascii="Arial" w:cs="Arial" w:eastAsia="Arial" w:hAnsi="Arial"/>
          <w:color w:val="1A1A2E"/>
          <w:sz w:val="20"/>
          <w:szCs w:val="20"/>
        </w:rPr>
        <w:t xml:space="preserve">12. Explicaciones ← si hubo cambios de contexto o glosario</w:t>
      </w:r>
    </w:p>
    <w:p>
      <w:pPr>
        <w:spacing w:after="40"/>
      </w:pPr>
      <w:r>
        <w:t xml:space="preserve"/>
      </w:r>
    </w:p>
    <w:p>
      <w:pPr>
        <w:spacing w:before="140" w:after="60"/>
      </w:pPr>
      <w:r>
        <w:rPr>
          <w:rFonts w:ascii="Arial" w:cs="Arial" w:eastAsia="Arial" w:hAnsi="Arial"/>
          <w:b/>
          <w:bCs/>
          <w:color w:val="1A1A2E"/>
          <w:sz w:val="20"/>
          <w:szCs w:val="20"/>
        </w:rPr>
        <w:t xml:space="preserve">PASO 4 — Cierre final (siempre):</w:t>
      </w:r>
    </w:p>
    <w:p>
      <w:pPr>
        <w:pStyle w:val="ListParagraph"/>
        <w:numPr>
          <w:ilvl w:val="0"/>
          <w:numId w:val="2"/>
        </w:numPr>
        <w:spacing w:after="60"/>
      </w:pPr>
      <w:r>
        <w:rPr>
          <w:rFonts w:ascii="Arial" w:cs="Arial" w:eastAsia="Arial" w:hAnsi="Arial"/>
          <w:color w:val="1A1A2E"/>
          <w:sz w:val="20"/>
          <w:szCs w:val="20"/>
        </w:rPr>
        <w:t xml:space="preserve">13. CONTEXTO.md ← estado actual completo</w:t>
      </w:r>
    </w:p>
    <w:p>
      <w:pPr>
        <w:pStyle w:val="ListParagraph"/>
        <w:numPr>
          <w:ilvl w:val="0"/>
          <w:numId w:val="2"/>
        </w:numPr>
        <w:spacing w:after="60"/>
      </w:pPr>
      <w:r>
        <w:rPr>
          <w:rFonts w:ascii="Arial" w:cs="Arial" w:eastAsia="Arial" w:hAnsi="Arial"/>
          <w:color w:val="1A1A2E"/>
          <w:sz w:val="20"/>
          <w:szCs w:val="20"/>
        </w:rPr>
        <w:t xml:space="preserve">14. Memoria Claude ← actualizar notas relevantes</w:t>
      </w:r>
    </w:p>
    <w:p>
      <w:pPr>
        <w:spacing w:after="60"/>
      </w:pPr>
      <w:r>
        <w:t xml:space="preserve"/>
      </w:r>
    </w:p>
    <w:p>
      <w:pPr>
        <w:pBdr>
          <w:left w:val="single" w:color="457B9D" w:sz="6" w:space="8"/>
        </w:pBdr>
        <w:spacing w:after="70"/>
        <w:ind w:left="360"/>
      </w:pPr>
      <w:r>
        <w:rPr>
          <w:rFonts w:ascii="Arial" w:cs="Arial" w:eastAsia="Arial" w:hAnsi="Arial"/>
          <w:i/>
          <w:iCs/>
          <w:color w:val="718096"/>
          <w:sz w:val="18"/>
          <w:szCs w:val="18"/>
        </w:rPr>
        <w:t xml:space="preserve">Regla: si al subir un archivo ya existe una versión anterior, siempre se modifica el existente. Solo se crea un archivo nuevo si no existe ninguna versión previa. Esto aplica a todos los documentos maestros y reportes.</w:t>
      </w:r>
    </w:p>
    <w:p>
      <w:pPr>
        <w:spacing w:after="80"/>
      </w:pPr>
      <w:r>
        <w:t xml:space="preserve"/>
      </w:r>
    </w:p>
    <w:p>
      <w:pPr>
        <w:pStyle w:val="Heading2"/>
        <w:spacing w:before="200" w:after="80"/>
      </w:pPr>
      <w:r>
        <w:rPr>
          <w:rFonts w:ascii="Arial" w:cs="Arial" w:eastAsia="Arial" w:hAnsi="Arial"/>
          <w:b/>
          <w:bCs/>
          <w:color w:val="457B9D"/>
        </w:rPr>
        <w:t xml:space="preserve">8.5 Estado actual de reportes — cierre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440"/>
        <w:gridCol w:w="1440"/>
        <w:gridCol w:w="3240"/>
      </w:tblGrid>
      <w:tr>
        <w:tc>
          <w:tcPr>
            <w:tcW w:type="dxa" w:w="3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Reporte</w:t>
            </w:r>
          </w:p>
        </w:tc>
        <w:tc>
          <w:tcPr>
            <w:tcW w:type="dxa" w:w="14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Estado</w:t>
            </w:r>
          </w:p>
        </w:tc>
        <w:tc>
          <w:tcPr>
            <w:tcW w:type="dxa" w:w="14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Versión</w:t>
            </w:r>
          </w:p>
        </w:tc>
        <w:tc>
          <w:tcPr>
            <w:tcW w:type="dxa" w:w="3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Próxima acción</w:t>
            </w:r>
          </w:p>
        </w:tc>
      </w:tr>
      <w:tr>
        <w:tc>
          <w:tcPr>
            <w:tcW w:type="dxa" w:w="32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55724"/>
                <w:sz w:val="17"/>
                <w:szCs w:val="17"/>
              </w:rPr>
              <w:t xml:space="preserve">Reporte_Auditoria_SivarDogs</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 Activo</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7"/>
                <w:szCs w:val="17"/>
              </w:rPr>
              <w:t xml:space="preserve">v1.0</w:t>
            </w:r>
          </w:p>
        </w:tc>
        <w:tc>
          <w:tcPr>
            <w:tcW w:type="dxa" w:w="32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iCs/>
                <w:color w:val="1A1A2E"/>
                <w:sz w:val="16"/>
                <w:szCs w:val="16"/>
              </w:rPr>
              <w:t xml:space="preserve">Actualizar con Sprint 2 al inicio</w:t>
            </w:r>
          </w:p>
        </w:tc>
      </w:tr>
      <w:tr>
        <w:tc>
          <w:tcPr>
            <w:tcW w:type="dxa" w:w="32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55724"/>
                <w:sz w:val="17"/>
                <w:szCs w:val="17"/>
              </w:rPr>
              <w:t xml:space="preserve">Reporte_Historico_SivarDogs</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 Activo</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7"/>
                <w:szCs w:val="17"/>
              </w:rPr>
              <w:t xml:space="preserve">v3 (PDF)</w:t>
            </w:r>
          </w:p>
        </w:tc>
        <w:tc>
          <w:tcPr>
            <w:tcW w:type="dxa" w:w="32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iCs/>
                <w:color w:val="1A1A2E"/>
                <w:sz w:val="16"/>
                <w:szCs w:val="16"/>
              </w:rPr>
              <w:t xml:space="preserve">Regenerar con análisis profundo en Chat 3</w:t>
            </w:r>
          </w:p>
        </w:tc>
      </w:tr>
      <w:tr>
        <w:tc>
          <w:tcPr>
            <w:tcW w:type="dxa" w:w="32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55724"/>
                <w:sz w:val="17"/>
                <w:szCs w:val="17"/>
              </w:rPr>
              <w:t xml:space="preserve">ReporteSprint1_Gerencial</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 Activo</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7"/>
                <w:szCs w:val="17"/>
              </w:rPr>
              <w:t xml:space="preserve">v1</w:t>
            </w:r>
          </w:p>
        </w:tc>
        <w:tc>
          <w:tcPr>
            <w:tcW w:type="dxa" w:w="32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iCs/>
                <w:color w:val="1A1A2E"/>
                <w:sz w:val="16"/>
                <w:szCs w:val="16"/>
              </w:rPr>
              <w:t xml:space="preserve">Referencia del Sprint 1</w:t>
            </w:r>
          </w:p>
        </w:tc>
      </w:tr>
      <w:tr>
        <w:tc>
          <w:tcPr>
            <w:tcW w:type="dxa" w:w="324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bCs/>
                <w:i w:val="false"/>
                <w:iCs w:val="false"/>
                <w:color w:val="721C24"/>
                <w:sz w:val="17"/>
                <w:szCs w:val="17"/>
              </w:rPr>
              <w:t xml:space="preserve">Reporte_CEO</w:t>
            </w:r>
          </w:p>
        </w:tc>
        <w:tc>
          <w:tcPr>
            <w:tcW w:type="dxa" w:w="144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i w:val="false"/>
                <w:iCs w:val="false"/>
                <w:color w:val="721C24"/>
                <w:sz w:val="17"/>
                <w:szCs w:val="17"/>
              </w:rPr>
              <w:t xml:space="preserve">🔴 Pendiente</w:t>
            </w:r>
          </w:p>
        </w:tc>
        <w:tc>
          <w:tcPr>
            <w:tcW w:type="dxa" w:w="144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7"/>
                <w:szCs w:val="17"/>
              </w:rPr>
              <w:t xml:space="preserve">—</w:t>
            </w:r>
          </w:p>
        </w:tc>
        <w:tc>
          <w:tcPr>
            <w:tcW w:type="dxa" w:w="324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val="false"/>
                <w:bCs w:val="false"/>
                <w:i/>
                <w:iCs/>
                <w:color w:val="1A1A2E"/>
                <w:sz w:val="16"/>
                <w:szCs w:val="16"/>
              </w:rPr>
              <w:t xml:space="preserve">Crear en Sprint 2 (primera vez)</w:t>
            </w:r>
          </w:p>
        </w:tc>
      </w:tr>
      <w:tr>
        <w:tc>
          <w:tcPr>
            <w:tcW w:type="dxa" w:w="324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bCs/>
                <w:i w:val="false"/>
                <w:iCs w:val="false"/>
                <w:color w:val="721C24"/>
                <w:sz w:val="17"/>
                <w:szCs w:val="17"/>
              </w:rPr>
              <w:t xml:space="preserve">Reporte_InversionistaPrivado</w:t>
            </w:r>
          </w:p>
        </w:tc>
        <w:tc>
          <w:tcPr>
            <w:tcW w:type="dxa" w:w="144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i w:val="false"/>
                <w:iCs w:val="false"/>
                <w:color w:val="721C24"/>
                <w:sz w:val="17"/>
                <w:szCs w:val="17"/>
              </w:rPr>
              <w:t xml:space="preserve">🔴 Pendiente</w:t>
            </w:r>
          </w:p>
        </w:tc>
        <w:tc>
          <w:tcPr>
            <w:tcW w:type="dxa" w:w="144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7"/>
                <w:szCs w:val="17"/>
              </w:rPr>
              <w:t xml:space="preserve">—</w:t>
            </w:r>
          </w:p>
        </w:tc>
        <w:tc>
          <w:tcPr>
            <w:tcW w:type="dxa" w:w="324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val="false"/>
                <w:bCs w:val="false"/>
                <w:i/>
                <w:iCs/>
                <w:color w:val="1A1A2E"/>
                <w:sz w:val="16"/>
                <w:szCs w:val="16"/>
              </w:rPr>
              <w:t xml:space="preserve">Crear en Sprint 2</w:t>
            </w:r>
          </w:p>
        </w:tc>
      </w:tr>
      <w:tr>
        <w:tc>
          <w:tcPr>
            <w:tcW w:type="dxa" w:w="324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bCs/>
                <w:i w:val="false"/>
                <w:iCs w:val="false"/>
                <w:color w:val="721C24"/>
                <w:sz w:val="17"/>
                <w:szCs w:val="17"/>
              </w:rPr>
              <w:t xml:space="preserve">Reporte_InversionistaFamiliar</w:t>
            </w:r>
          </w:p>
        </w:tc>
        <w:tc>
          <w:tcPr>
            <w:tcW w:type="dxa" w:w="144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i w:val="false"/>
                <w:iCs w:val="false"/>
                <w:color w:val="721C24"/>
                <w:sz w:val="17"/>
                <w:szCs w:val="17"/>
              </w:rPr>
              <w:t xml:space="preserve">🔴 Pendiente</w:t>
            </w:r>
          </w:p>
        </w:tc>
        <w:tc>
          <w:tcPr>
            <w:tcW w:type="dxa" w:w="144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7"/>
                <w:szCs w:val="17"/>
              </w:rPr>
              <w:t xml:space="preserve">—</w:t>
            </w:r>
          </w:p>
        </w:tc>
        <w:tc>
          <w:tcPr>
            <w:tcW w:type="dxa" w:w="324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val="false"/>
                <w:bCs w:val="false"/>
                <w:i/>
                <w:iCs/>
                <w:color w:val="1A1A2E"/>
                <w:sz w:val="16"/>
                <w:szCs w:val="16"/>
              </w:rPr>
              <w:t xml:space="preserve">Crear en Sprint 2</w:t>
            </w:r>
          </w:p>
        </w:tc>
      </w:tr>
      <w:tr>
        <w:tc>
          <w:tcPr>
            <w:tcW w:type="dxa" w:w="324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bCs/>
                <w:i w:val="false"/>
                <w:iCs w:val="false"/>
                <w:color w:val="721C24"/>
                <w:sz w:val="17"/>
                <w:szCs w:val="17"/>
              </w:rPr>
              <w:t xml:space="preserve">Reporte_Prensa</w:t>
            </w:r>
          </w:p>
        </w:tc>
        <w:tc>
          <w:tcPr>
            <w:tcW w:type="dxa" w:w="144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i w:val="false"/>
                <w:iCs w:val="false"/>
                <w:color w:val="721C24"/>
                <w:sz w:val="17"/>
                <w:szCs w:val="17"/>
              </w:rPr>
              <w:t xml:space="preserve">🔴 Pendiente</w:t>
            </w:r>
          </w:p>
        </w:tc>
        <w:tc>
          <w:tcPr>
            <w:tcW w:type="dxa" w:w="144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7"/>
                <w:szCs w:val="17"/>
              </w:rPr>
              <w:t xml:space="preserve">—</w:t>
            </w:r>
          </w:p>
        </w:tc>
        <w:tc>
          <w:tcPr>
            <w:tcW w:type="dxa" w:w="324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val="false"/>
                <w:bCs w:val="false"/>
                <w:i/>
                <w:iCs/>
                <w:color w:val="1A1A2E"/>
                <w:sz w:val="16"/>
                <w:szCs w:val="16"/>
              </w:rPr>
              <w:t xml:space="preserve">Crear en Sprint 2</w:t>
            </w:r>
          </w:p>
        </w:tc>
      </w:tr>
      <w:tr>
        <w:tc>
          <w:tcPr>
            <w:tcW w:type="dxa" w:w="324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bCs/>
                <w:i w:val="false"/>
                <w:iCs w:val="false"/>
                <w:color w:val="721C24"/>
                <w:sz w:val="17"/>
                <w:szCs w:val="17"/>
              </w:rPr>
              <w:t xml:space="preserve">Reporte_Developers</w:t>
            </w:r>
          </w:p>
        </w:tc>
        <w:tc>
          <w:tcPr>
            <w:tcW w:type="dxa" w:w="144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i w:val="false"/>
                <w:iCs w:val="false"/>
                <w:color w:val="721C24"/>
                <w:sz w:val="17"/>
                <w:szCs w:val="17"/>
              </w:rPr>
              <w:t xml:space="preserve">🔴 Pendiente</w:t>
            </w:r>
          </w:p>
        </w:tc>
        <w:tc>
          <w:tcPr>
            <w:tcW w:type="dxa" w:w="144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7"/>
                <w:szCs w:val="17"/>
              </w:rPr>
              <w:t xml:space="preserve">—</w:t>
            </w:r>
          </w:p>
        </w:tc>
        <w:tc>
          <w:tcPr>
            <w:tcW w:type="dxa" w:w="324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val="false"/>
                <w:bCs w:val="false"/>
                <w:i/>
                <w:iCs/>
                <w:color w:val="1A1A2E"/>
                <w:sz w:val="16"/>
                <w:szCs w:val="16"/>
              </w:rPr>
              <w:t xml:space="preserve">Crear en Sprint 2</w:t>
            </w:r>
          </w:p>
        </w:tc>
      </w:tr>
      <w:tr>
        <w:tc>
          <w:tcPr>
            <w:tcW w:type="dxa" w:w="324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bCs/>
                <w:i w:val="false"/>
                <w:iCs w:val="false"/>
                <w:color w:val="721C24"/>
                <w:sz w:val="17"/>
                <w:szCs w:val="17"/>
              </w:rPr>
              <w:t xml:space="preserve">Reporte_ProjectManager</w:t>
            </w:r>
          </w:p>
        </w:tc>
        <w:tc>
          <w:tcPr>
            <w:tcW w:type="dxa" w:w="144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i w:val="false"/>
                <w:iCs w:val="false"/>
                <w:color w:val="721C24"/>
                <w:sz w:val="17"/>
                <w:szCs w:val="17"/>
              </w:rPr>
              <w:t xml:space="preserve">🔴 Pendiente</w:t>
            </w:r>
          </w:p>
        </w:tc>
        <w:tc>
          <w:tcPr>
            <w:tcW w:type="dxa" w:w="144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7"/>
                <w:szCs w:val="17"/>
              </w:rPr>
              <w:t xml:space="preserve">—</w:t>
            </w:r>
          </w:p>
        </w:tc>
        <w:tc>
          <w:tcPr>
            <w:tcW w:type="dxa" w:w="324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val="false"/>
                <w:bCs w:val="false"/>
                <w:i/>
                <w:iCs/>
                <w:color w:val="1A1A2E"/>
                <w:sz w:val="16"/>
                <w:szCs w:val="16"/>
              </w:rPr>
              <w:t xml:space="preserve">Crear en Sprint 2</w:t>
            </w:r>
          </w:p>
        </w:tc>
      </w:tr>
    </w:tbl>
    <w:p>
      <w:pPr>
        <w:pBdr>
          <w:left w:val="single" w:color="457B9D" w:sz="6" w:space="8"/>
        </w:pBdr>
        <w:spacing w:after="70"/>
        <w:ind w:left="360"/>
      </w:pPr>
      <w:r>
        <w:rPr>
          <w:rFonts w:ascii="Arial" w:cs="Arial" w:eastAsia="Arial" w:hAnsi="Arial"/>
          <w:i/>
          <w:iCs/>
          <w:color w:val="718096"/>
          <w:sz w:val="18"/>
          <w:szCs w:val="18"/>
        </w:rPr>
        <w:t xml:space="preserve">Los reportes pendientes se crean una sola vez en Sprint 2. De Sprint 3 en adelante, solo se modifican — nunca se crean nuevos.</w:t>
      </w:r>
    </w:p>
    <w:p>
      <w:pPr>
        <w:spacing w:after="80"/>
      </w:pPr>
      <w:r>
        <w:t xml:space="preserve"/>
      </w:r>
    </w:p>
    <w:p>
      <w:pPr>
        <w:pBdr>
          <w:top w:val="single" w:color="CCCCCC" w:sz="4" w:space="1"/>
        </w:pBdr>
        <w:spacing w:before="400"/>
      </w:pPr>
      <w:r>
        <w:rPr>
          <w:rFonts w:ascii="Arial" w:cs="Arial" w:eastAsia="Arial" w:hAnsi="Arial"/>
          <w:color w:val="718096"/>
          <w:sz w:val="16"/>
          <w:szCs w:val="16"/>
        </w:rPr>
        <w:t xml:space="preserve">Manual de Operaciones Claude IA  ·  Javier Sequeira · Sivar Dogs  ·  v1.4  ·  22 Marzo 2026  ·  Confidencial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00" w:after="120"/>
      <w:outlineLvl w:val="0"/>
    </w:pPr>
    <w:rPr>
      <w:rFonts w:ascii="Arial" w:cs="Arial" w:eastAsia="Arial" w:hAnsi="Arial"/>
      <w:b/>
      <w:bCs/>
      <w:color w:val="1B2A4A"/>
      <w:sz w:val="28"/>
      <w:szCs w:val="28"/>
    </w:rPr>
  </w:style>
  <w:style w:type="paragraph" w:styleId="Heading2">
    <w:name w:val="Heading 2"/>
    <w:basedOn w:val="Normal"/>
    <w:next w:val="Normal"/>
    <w:pPr>
      <w:spacing w:before="200" w:after="80"/>
      <w:outlineLvl w:val="1"/>
    </w:pPr>
    <w:rPr>
      <w:rFonts w:ascii="Arial" w:cs="Arial" w:eastAsia="Arial" w:hAnsi="Arial"/>
      <w:b/>
      <w:bCs/>
      <w:color w:val="457B9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2026-03-22T21:02:05.896Z</dcterms:created>
  <dcterms:modified xsi:type="dcterms:W3CDTF">2026-03-22T21:02:05.897Z</dcterms:modified>
</cp:coreProperties>
</file>

<file path=docProps/custom.xml><?xml version="1.0" encoding="utf-8"?>
<Properties xmlns="http://schemas.openxmlformats.org/officeDocument/2006/custom-properties" xmlns:vt="http://schemas.openxmlformats.org/officeDocument/2006/docPropsVTypes"/>
</file>