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055A" w14:textId="77777777" w:rsidR="007F5501" w:rsidRPr="007F5501" w:rsidRDefault="007F5501" w:rsidP="007F5501">
      <w:pPr>
        <w:rPr>
          <w:b/>
          <w:bCs/>
        </w:rPr>
      </w:pPr>
      <w:r w:rsidRPr="007F5501">
        <w:rPr>
          <w:b/>
          <w:bCs/>
        </w:rPr>
        <w:t>1. Resumen Ejecutivo</w:t>
      </w:r>
    </w:p>
    <w:p w14:paraId="554E1600" w14:textId="18C38648" w:rsidR="007F5501" w:rsidRDefault="007F5501" w:rsidP="0060674A">
      <w:pPr>
        <w:jc w:val="both"/>
      </w:pPr>
      <w:r w:rsidRPr="007F5501">
        <w:t xml:space="preserve">El presente informe detalla el estado del proyecto a fecha de </w:t>
      </w:r>
      <w:r w:rsidRPr="007F5501">
        <w:rPr>
          <w:b/>
          <w:bCs/>
        </w:rPr>
        <w:t>2</w:t>
      </w:r>
      <w:r w:rsidR="001E6E3A">
        <w:rPr>
          <w:b/>
          <w:bCs/>
        </w:rPr>
        <w:t>4</w:t>
      </w:r>
      <w:r w:rsidRPr="007F5501">
        <w:rPr>
          <w:b/>
          <w:bCs/>
        </w:rPr>
        <w:t xml:space="preserve"> de </w:t>
      </w:r>
      <w:r w:rsidR="001E6E3A">
        <w:rPr>
          <w:b/>
          <w:bCs/>
        </w:rPr>
        <w:t>marzo</w:t>
      </w:r>
      <w:r w:rsidRPr="007F5501">
        <w:rPr>
          <w:b/>
          <w:bCs/>
        </w:rPr>
        <w:t xml:space="preserve"> de 2026</w:t>
      </w:r>
      <w:r w:rsidRPr="007F5501">
        <w:t xml:space="preserve">, coincidiendo con el cierre del Sprint 1. Hasta el momento, el proyecto avanza con un </w:t>
      </w:r>
      <w:r w:rsidRPr="007F5501">
        <w:rPr>
          <w:b/>
          <w:bCs/>
        </w:rPr>
        <w:t>24% del trabajo total completado</w:t>
      </w:r>
      <w:r w:rsidRPr="007F5501">
        <w:t xml:space="preserve">, habiendo consolidado las bases del desarrollo. En términos económicos, de un presupuesto total planificado de </w:t>
      </w:r>
      <w:r w:rsidRPr="007F5501">
        <w:rPr>
          <w:b/>
          <w:bCs/>
        </w:rPr>
        <w:t>25.552,50 €</w:t>
      </w:r>
      <w:r w:rsidRPr="007F5501">
        <w:t xml:space="preserve">, se ha incurrido en un coste real de </w:t>
      </w:r>
      <w:r w:rsidRPr="007F5501">
        <w:rPr>
          <w:b/>
          <w:bCs/>
        </w:rPr>
        <w:t>6.211,50 €</w:t>
      </w:r>
      <w:r w:rsidRPr="007F5501">
        <w:t xml:space="preserve">, dejando un remanente de </w:t>
      </w:r>
      <w:r w:rsidRPr="007F5501">
        <w:rPr>
          <w:b/>
          <w:bCs/>
        </w:rPr>
        <w:t>19.341,00</w:t>
      </w:r>
      <w:r w:rsidRPr="007F5501">
        <w:t xml:space="preserve"> € para las siguientes fases.</w:t>
      </w:r>
    </w:p>
    <w:p w14:paraId="348E18F2" w14:textId="4D3804B1" w:rsidR="001E6E3A" w:rsidRDefault="001E6E3A" w:rsidP="0060674A">
      <w:pPr>
        <w:jc w:val="both"/>
      </w:pPr>
      <w:r>
        <w:t>Las imágenes contemplan tienen los limites en el final del proyecto.</w:t>
      </w:r>
    </w:p>
    <w:p w14:paraId="1996E5DC" w14:textId="7777447F" w:rsidR="009B17C3" w:rsidRPr="007F5501" w:rsidRDefault="009B17C3" w:rsidP="0060674A">
      <w:pPr>
        <w:jc w:val="both"/>
      </w:pPr>
      <w:r w:rsidRPr="009B17C3">
        <w:rPr>
          <w:noProof/>
        </w:rPr>
        <w:drawing>
          <wp:inline distT="0" distB="0" distL="0" distR="0" wp14:anchorId="358BC183" wp14:editId="2BBE1DF7">
            <wp:extent cx="5400040" cy="2524760"/>
            <wp:effectExtent l="0" t="0" r="0" b="8890"/>
            <wp:docPr id="213391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E2B4" w14:textId="77777777" w:rsidR="007F5501" w:rsidRPr="007F5501" w:rsidRDefault="007F5501" w:rsidP="007F5501">
      <w:pPr>
        <w:rPr>
          <w:b/>
          <w:bCs/>
        </w:rPr>
      </w:pPr>
      <w:r w:rsidRPr="007F5501">
        <w:rPr>
          <w:b/>
          <w:bCs/>
        </w:rPr>
        <w:t>2. Estado y Evolución del Trabajo</w:t>
      </w:r>
    </w:p>
    <w:p w14:paraId="633BF206" w14:textId="77777777" w:rsidR="007F5501" w:rsidRPr="007F5501" w:rsidRDefault="007F5501" w:rsidP="0060674A">
      <w:pPr>
        <w:jc w:val="both"/>
      </w:pPr>
      <w:r w:rsidRPr="007F5501">
        <w:t>Analizando la gráfica de evolución del trabajo (Burndown Chart), observamos dos fases claramente diferenciadas durante este primer bloque:</w:t>
      </w:r>
    </w:p>
    <w:p w14:paraId="0DC0B9D5" w14:textId="0113DCF2" w:rsidR="007F5501" w:rsidRPr="007F5501" w:rsidRDefault="007F5501" w:rsidP="0060674A">
      <w:pPr>
        <w:numPr>
          <w:ilvl w:val="0"/>
          <w:numId w:val="3"/>
        </w:numPr>
        <w:jc w:val="both"/>
      </w:pPr>
      <w:r w:rsidRPr="007F5501">
        <w:rPr>
          <w:b/>
          <w:bCs/>
        </w:rPr>
        <w:t>Arranque nominal:</w:t>
      </w:r>
      <w:r w:rsidRPr="007F5501">
        <w:t xml:space="preserve"> El equipo de desarrollo mantuvo un ritmo de </w:t>
      </w:r>
      <w:r w:rsidR="009B17C3">
        <w:t>trabajo</w:t>
      </w:r>
      <w:r w:rsidRPr="007F5501">
        <w:t xml:space="preserve"> constante y alineado con la Línea Base planificada (línea azul).</w:t>
      </w:r>
    </w:p>
    <w:p w14:paraId="35A5D834" w14:textId="5FD08CA2" w:rsidR="007F5501" w:rsidRDefault="007F5501" w:rsidP="0060674A">
      <w:pPr>
        <w:numPr>
          <w:ilvl w:val="0"/>
          <w:numId w:val="3"/>
        </w:numPr>
        <w:jc w:val="both"/>
      </w:pPr>
      <w:r w:rsidRPr="007F5501">
        <w:rPr>
          <w:b/>
          <w:bCs/>
        </w:rPr>
        <w:t>Desviación temporal:</w:t>
      </w:r>
      <w:r w:rsidRPr="007F5501">
        <w:t xml:space="preserve"> Como se aprecia en el aplanamiento de la curva de "Trabajo real acumulado restante" (línea naranja), el equipo experimentó un bloqueo técnico significativo. Este estancamiento se debió principalmente a </w:t>
      </w:r>
      <w:r w:rsidR="009B17C3">
        <w:t>motivos externos, e</w:t>
      </w:r>
      <w:r w:rsidRPr="007F5501">
        <w:t>sto impidió el cierre definitivo de las tareas en los plazos previstos, generando una desviación respecto al cronograma inicial.</w:t>
      </w:r>
    </w:p>
    <w:p w14:paraId="4AD3E0A0" w14:textId="3BF4C1F9" w:rsidR="001E6E3A" w:rsidRPr="007F5501" w:rsidRDefault="001E6E3A" w:rsidP="001E6E3A">
      <w:pPr>
        <w:jc w:val="both"/>
      </w:pPr>
      <w:r>
        <w:t xml:space="preserve">El resto de la línea naranja refleja trabajo no </w:t>
      </w:r>
      <w:r w:rsidR="00D7219A">
        <w:t>realizado</w:t>
      </w:r>
      <w:r>
        <w:t xml:space="preserve"> debido a ser de Sprints posteriores.</w:t>
      </w:r>
    </w:p>
    <w:p w14:paraId="366402BB" w14:textId="77777777" w:rsidR="007F5501" w:rsidRPr="007F5501" w:rsidRDefault="007F5501" w:rsidP="007F5501">
      <w:pPr>
        <w:rPr>
          <w:b/>
          <w:bCs/>
        </w:rPr>
      </w:pPr>
      <w:r w:rsidRPr="007F5501">
        <w:rPr>
          <w:b/>
          <w:bCs/>
        </w:rPr>
        <w:t>3. Estado Financiero y Curva S</w:t>
      </w:r>
    </w:p>
    <w:p w14:paraId="35C9907C" w14:textId="77A77049" w:rsidR="007F5501" w:rsidRPr="007F5501" w:rsidRDefault="007F5501" w:rsidP="0060674A">
      <w:pPr>
        <w:jc w:val="both"/>
      </w:pPr>
      <w:r w:rsidRPr="007F5501">
        <w:t>En el apartado financiero, el coste hasta la fecha (6.211,50 €) se distribuye lógicamente en los dos paquetes de trabajo que han estado activos:</w:t>
      </w:r>
    </w:p>
    <w:p w14:paraId="10B8A2A4" w14:textId="77777777" w:rsidR="007F5501" w:rsidRPr="007F5501" w:rsidRDefault="007F5501" w:rsidP="007F5501">
      <w:pPr>
        <w:numPr>
          <w:ilvl w:val="0"/>
          <w:numId w:val="4"/>
        </w:numPr>
      </w:pPr>
      <w:r w:rsidRPr="007F5501">
        <w:rPr>
          <w:b/>
          <w:bCs/>
        </w:rPr>
        <w:t>Gestión y Planificación:</w:t>
      </w:r>
      <w:r w:rsidRPr="007F5501">
        <w:t xml:space="preserve"> 2.378,50 €</w:t>
      </w:r>
    </w:p>
    <w:p w14:paraId="16442CE5" w14:textId="77777777" w:rsidR="007F5501" w:rsidRPr="007F5501" w:rsidRDefault="007F5501" w:rsidP="007F5501">
      <w:pPr>
        <w:numPr>
          <w:ilvl w:val="0"/>
          <w:numId w:val="4"/>
        </w:numPr>
      </w:pPr>
      <w:r w:rsidRPr="007F5501">
        <w:rPr>
          <w:b/>
          <w:bCs/>
        </w:rPr>
        <w:t>Núcleo jugable:</w:t>
      </w:r>
      <w:r w:rsidRPr="007F5501">
        <w:t xml:space="preserve"> 3.833,00 €</w:t>
      </w:r>
    </w:p>
    <w:p w14:paraId="507B1353" w14:textId="2C095C3E" w:rsidR="007F5501" w:rsidRDefault="007F5501" w:rsidP="0060674A">
      <w:pPr>
        <w:jc w:val="both"/>
      </w:pPr>
      <w:r w:rsidRPr="007F5501">
        <w:t xml:space="preserve">El resto de los sistemas globales y fases de calidad permanecen a coste cero al no haber iniciado su ejecución. Al observar la </w:t>
      </w:r>
      <w:r w:rsidRPr="007F5501">
        <w:rPr>
          <w:b/>
          <w:bCs/>
        </w:rPr>
        <w:t>Curva S de costes</w:t>
      </w:r>
      <w:r w:rsidRPr="007F5501">
        <w:t xml:space="preserve">, constatamos que el flujo de gasto acumulado (línea roja) dibuja una pendiente ascendente suave y controlada. Es importante destacar el pico de coste planificado para la </w:t>
      </w:r>
      <w:r w:rsidRPr="007F5501">
        <w:rPr>
          <w:b/>
          <w:bCs/>
        </w:rPr>
        <w:t>Semana 19</w:t>
      </w:r>
      <w:r w:rsidRPr="007F5501">
        <w:t>, el cual corresponde a</w:t>
      </w:r>
      <w:r w:rsidR="00E55F1B">
        <w:t xml:space="preserve"> la memoria </w:t>
      </w:r>
      <w:r w:rsidR="00E55F1B">
        <w:lastRenderedPageBreak/>
        <w:t>del final proyecto</w:t>
      </w:r>
      <w:r w:rsidRPr="007F5501">
        <w:t>, por lo que está debidamente justificado dentro del ciclo de vida del proyecto.</w:t>
      </w:r>
    </w:p>
    <w:p w14:paraId="2075445D" w14:textId="5A2BE77D" w:rsidR="009B17C3" w:rsidRDefault="009B17C3" w:rsidP="0060674A">
      <w:pPr>
        <w:jc w:val="both"/>
      </w:pPr>
      <w:r w:rsidRPr="009B17C3">
        <w:rPr>
          <w:noProof/>
        </w:rPr>
        <w:drawing>
          <wp:inline distT="0" distB="0" distL="0" distR="0" wp14:anchorId="615C97DA" wp14:editId="066A44D0">
            <wp:extent cx="5865562" cy="2500313"/>
            <wp:effectExtent l="0" t="0" r="1905" b="0"/>
            <wp:docPr id="148591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12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9475" cy="251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8FC9" w14:textId="31FE6355" w:rsidR="009B17C3" w:rsidRPr="009B17C3" w:rsidRDefault="009B17C3" w:rsidP="009B17C3">
      <w:pPr>
        <w:jc w:val="both"/>
      </w:pPr>
      <w:r w:rsidRPr="009B17C3">
        <w:rPr>
          <w:noProof/>
        </w:rPr>
        <w:drawing>
          <wp:inline distT="0" distB="0" distL="0" distR="0" wp14:anchorId="4A86E024" wp14:editId="6D8B9A0D">
            <wp:extent cx="5400040" cy="3531235"/>
            <wp:effectExtent l="0" t="0" r="0" b="0"/>
            <wp:docPr id="17629819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3970" w14:textId="77777777" w:rsidR="009B17C3" w:rsidRPr="007F5501" w:rsidRDefault="009B17C3" w:rsidP="0060674A">
      <w:pPr>
        <w:jc w:val="both"/>
      </w:pPr>
    </w:p>
    <w:p w14:paraId="1CA13198" w14:textId="37327FBF" w:rsidR="007F5501" w:rsidRPr="007F5501" w:rsidRDefault="007F5501" w:rsidP="007F5501">
      <w:pPr>
        <w:rPr>
          <w:b/>
          <w:bCs/>
        </w:rPr>
      </w:pPr>
      <w:r w:rsidRPr="007F5501">
        <w:rPr>
          <w:b/>
          <w:bCs/>
        </w:rPr>
        <w:t>4. Conclusiones y Próximos Pasos</w:t>
      </w:r>
    </w:p>
    <w:p w14:paraId="6EF850E8" w14:textId="624CC3A0" w:rsidR="007F5501" w:rsidRPr="007F5501" w:rsidRDefault="007F5501" w:rsidP="0060674A">
      <w:pPr>
        <w:jc w:val="both"/>
      </w:pPr>
      <w:r w:rsidRPr="007F5501">
        <w:t xml:space="preserve">Si bien el progreso actual del 24% y la salud financiera del proyecto son positivos, es </w:t>
      </w:r>
      <w:r w:rsidR="009F42BA">
        <w:t>importante</w:t>
      </w:r>
      <w:r w:rsidRPr="007F5501">
        <w:t xml:space="preserve"> corregir la desviación temporal sufrida en la segunda mitad del Sprint 1 para asegurar la fecha de entrega final.</w:t>
      </w:r>
    </w:p>
    <w:p w14:paraId="56ECD4A8" w14:textId="1E45B98B" w:rsidR="007F5501" w:rsidRPr="007F5501" w:rsidRDefault="007F5501" w:rsidP="0060674A">
      <w:pPr>
        <w:jc w:val="both"/>
      </w:pPr>
      <w:r w:rsidRPr="007F5501">
        <w:t xml:space="preserve">Como medida correctiva durante el inicio del Sprint 2 se </w:t>
      </w:r>
      <w:r w:rsidR="009F42BA">
        <w:t>dedicará más esfuerzo</w:t>
      </w:r>
      <w:r w:rsidRPr="007F5501">
        <w:t xml:space="preserve">. Adicionalmente, la superación del bloqueo técnico del </w:t>
      </w:r>
      <w:r w:rsidRPr="007F5501">
        <w:rPr>
          <w:i/>
          <w:iCs/>
        </w:rPr>
        <w:t>Núcleo jugable</w:t>
      </w:r>
      <w:r w:rsidRPr="007F5501">
        <w:t xml:space="preserve"> ha incrementado la velocidad del equipo, por lo que prevemos que la curva de trabajo real vuelva a converger con la Línea Base en las próximas semanas.</w:t>
      </w:r>
    </w:p>
    <w:sectPr w:rsidR="007F5501" w:rsidRPr="007F55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0DE"/>
    <w:multiLevelType w:val="multilevel"/>
    <w:tmpl w:val="742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4A11"/>
    <w:multiLevelType w:val="multilevel"/>
    <w:tmpl w:val="873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50528"/>
    <w:multiLevelType w:val="multilevel"/>
    <w:tmpl w:val="12D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81F36"/>
    <w:multiLevelType w:val="multilevel"/>
    <w:tmpl w:val="120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282414">
    <w:abstractNumId w:val="0"/>
  </w:num>
  <w:num w:numId="2" w16cid:durableId="1075323333">
    <w:abstractNumId w:val="1"/>
  </w:num>
  <w:num w:numId="3" w16cid:durableId="1373725315">
    <w:abstractNumId w:val="2"/>
  </w:num>
  <w:num w:numId="4" w16cid:durableId="1080253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99"/>
    <w:rsid w:val="00137F04"/>
    <w:rsid w:val="001E6E3A"/>
    <w:rsid w:val="0048777B"/>
    <w:rsid w:val="005D0024"/>
    <w:rsid w:val="0060674A"/>
    <w:rsid w:val="00762499"/>
    <w:rsid w:val="007A51CC"/>
    <w:rsid w:val="007F5501"/>
    <w:rsid w:val="008C08E0"/>
    <w:rsid w:val="009B17C3"/>
    <w:rsid w:val="009F42BA"/>
    <w:rsid w:val="00CC3086"/>
    <w:rsid w:val="00D6075A"/>
    <w:rsid w:val="00D7219A"/>
    <w:rsid w:val="00E5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87107"/>
  <w15:chartTrackingRefBased/>
  <w15:docId w15:val="{9953BAC3-6A44-4125-8960-25DC026D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4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4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4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4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4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4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4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LOS REYES PEREZ</dc:creator>
  <cp:keywords/>
  <dc:description/>
  <cp:lastModifiedBy>ALEJANDRO DE LOS REYES PEREZ</cp:lastModifiedBy>
  <cp:revision>8</cp:revision>
  <dcterms:created xsi:type="dcterms:W3CDTF">2026-04-22T18:11:00Z</dcterms:created>
  <dcterms:modified xsi:type="dcterms:W3CDTF">2026-04-22T18:46:00Z</dcterms:modified>
</cp:coreProperties>
</file>