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Requirements Analysis</w:t>
      </w:r>
    </w:p>
    <w:p>
      <w:pPr>
        <w:pStyle w:val="Subtitle"/>
      </w:pPr>
      <w:r>
        <w:t>Personal Wealth, Property &amp; Family Management Platform</w:t>
      </w:r>
    </w:p>
    <w:p>
      <w:r>
        <w:t>Prepared for Jawad Siddique | 6 September 2026 | Version 0.1 | Draft for stakeholder validation</w:t>
      </w:r>
    </w:p>
    <w:p>
      <w:pPr>
        <w:pStyle w:val="Heading1"/>
      </w:pPr>
      <w:r>
        <w:t>Executive recommendation</w:t>
      </w:r>
    </w:p>
    <w:p>
      <w:r>
        <w:t>Build a private financial operations platform first: a trustworthy register of entities, assets, liabilities, obligations and receipts, with controlled reminders and a consolidated view. Add AI-assisted analysis and wider family/construction capabilities only after the underlying records and calculations are reliable.</w:t>
      </w:r>
    </w:p>
    <w:p>
      <w:r>
        <w:t>The discussion identifies genuine operational pain: renewal penalties, missed recoveries, untracked subscriptions, rental administration and financial information held by one person. However, it does not yet define a production-ready scope, accounting model, permission model or delivery commitment.</w:t>
      </w:r>
    </w:p>
    <w:p>
      <w:pPr>
        <w:pStyle w:val="Heading2"/>
      </w:pPr>
      <w:r>
        <w:t>Critical verdict</w:t>
      </w:r>
    </w:p>
    <w:p>
      <w:r>
        <w:t>The concept is viable as a staged product, but the full vision is not a small app. Combining wealth management, tenancy operations, construction tracking and family planning in the first release creates scope and data-quality risks. A polished dashboard will mislead if it double-counts assets, treats transfers as income, or confuses cash flow with profit.</w:t>
      </w:r>
    </w:p>
    <w:p>
      <w:pPr>
        <w:pStyle w:val="Heading2"/>
      </w:pPr>
      <w:r>
        <w:t>Evidence and limitations</w:t>
      </w:r>
    </w:p>
    <w:p>
      <w:r>
        <w:t>Basis: the four transcript parts of GMT20260905-061258_Recording (1).m4a, recorded 5 September 2026, approximately 42:55. Timestamp references in this document point to that discussion. This analysis uses the transcript already available in the conversation; it is not a new audio verification.</w:t>
      </w:r>
    </w:p>
    <w:p>
      <w:r>
        <w:t>The earlier transcript contains substantial missing passages and edited interpretations. It should not have been described as a verified, complete verbatim record. Amounts, names, legal statements and unclear passages require confirmation. No requirement below relies solely on an unclear segment.</w:t>
      </w:r>
    </w:p>
    <w:p>
      <w:r>
        <w:t>D = directly discussed; R = analyst recommendation. All priorities, detailed acceptance criteria and release allocations are proposed, not stakeholder-approved. Legal, tax, provider pricing and API capabilities have not been validated in this document.</w:t>
      </w:r>
    </w:p>
    <w:p>
      <w:pPr>
        <w:pStyle w:val="Heading2"/>
      </w:pPr>
      <w:r>
        <w:t>Document route</w:t>
      </w:r>
    </w:p>
    <w:p>
      <w:r>
        <w:t>Critical analysis → scope and roles → functional requirements → data and calculations → workflows and integrations → security and quality → delivery, acceptance and open decisions.</w:t>
      </w:r>
    </w:p>
    <w:p>
      <w:r>
        <w:br w:type="page"/>
      </w:r>
    </w:p>
    <w:p>
      <w:pPr>
        <w:pStyle w:val="Heading1"/>
      </w:pPr>
      <w:r>
        <w:t>1. Critical analysis and design corrections</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9DE"/>
          <w:bottom w:val="single" w:sz="4" w:color="D5D9DE"/>
          <w:left w:val="single" w:sz="4" w:color="D5D9DE"/>
          <w:right w:val="single" w:sz="4" w:color="D5D9DE"/>
          <w:insideH w:val="single" w:sz="4" w:color="D5D9DE"/>
          <w:insideV w:val="single" w:sz="4" w:color="D5D9DE"/>
        </w:tblBorders>
      </w:tblPr>
      <w:tblGrid>
        <w:gridCol w:w="1900"/>
        <w:gridCol w:w="3500"/>
        <w:gridCol w:w="3960"/>
      </w:tblGrid>
      <w:tr>
        <w:trPr>
          <w:cantSplit/>
          <w:tblHeader/>
        </w:trPr>
        <w:tc>
          <w:tcPr>
            <w:tcW w:type="dxa" w:w="1900"/>
            <w:vAlign w:val="center"/>
            <w:shd w:fill="F2F4F7"/>
          </w:tcPr>
          <w:p>
            <w:pPr>
              <w:spacing w:after="80" w:line="264" w:lineRule="auto"/>
            </w:pPr>
            <w:r>
              <w:rPr>
                <w:b/>
                <w:sz w:val="18"/>
              </w:rPr>
              <w:t>Issue</w:t>
            </w:r>
          </w:p>
        </w:tc>
        <w:tc>
          <w:tcPr>
            <w:tcW w:type="dxa" w:w="3500"/>
            <w:vAlign w:val="center"/>
            <w:shd w:fill="F2F4F7"/>
          </w:tcPr>
          <w:p>
            <w:pPr>
              <w:spacing w:after="80" w:line="264" w:lineRule="auto"/>
            </w:pPr>
            <w:r>
              <w:rPr>
                <w:b/>
                <w:sz w:val="18"/>
              </w:rPr>
              <w:t>Why it matters</w:t>
            </w:r>
          </w:p>
        </w:tc>
        <w:tc>
          <w:tcPr>
            <w:tcW w:type="dxa" w:w="3960"/>
            <w:vAlign w:val="center"/>
            <w:shd w:fill="F2F4F7"/>
          </w:tcPr>
          <w:p>
            <w:pPr>
              <w:spacing w:after="80" w:line="264" w:lineRule="auto"/>
            </w:pPr>
            <w:r>
              <w:rPr>
                <w:b/>
                <w:sz w:val="18"/>
              </w:rPr>
              <w:t>Proposed response</w:t>
            </w:r>
          </w:p>
        </w:tc>
      </w:tr>
      <w:tr>
        <w:trPr>
          <w:cantSplit/>
        </w:trPr>
        <w:tc>
          <w:tcPr>
            <w:tcW w:type="dxa" w:w="1900"/>
            <w:vAlign w:val="center"/>
          </w:tcPr>
          <w:p>
            <w:pPr>
              <w:spacing w:after="80" w:line="264" w:lineRule="auto"/>
            </w:pPr>
            <w:r>
              <w:rPr>
                <w:b w:val="0"/>
                <w:sz w:val="18"/>
              </w:rPr>
              <w:t>Scope expansion</w:t>
            </w:r>
          </w:p>
        </w:tc>
        <w:tc>
          <w:tcPr>
            <w:tcW w:type="dxa" w:w="3500"/>
            <w:vAlign w:val="center"/>
          </w:tcPr>
          <w:p>
            <w:pPr>
              <w:spacing w:after="80" w:line="264" w:lineRule="auto"/>
            </w:pPr>
            <w:r>
              <w:rPr>
                <w:b w:val="0"/>
                <w:sz w:val="18"/>
              </w:rPr>
              <w:t>Several products have merged into one idea.</w:t>
            </w:r>
          </w:p>
        </w:tc>
        <w:tc>
          <w:tcPr>
            <w:tcW w:type="dxa" w:w="3960"/>
            <w:vAlign w:val="center"/>
          </w:tcPr>
          <w:p>
            <w:pPr>
              <w:spacing w:after="80" w:line="264" w:lineRule="auto"/>
            </w:pPr>
            <w:r>
              <w:rPr>
                <w:b w:val="0"/>
                <w:sz w:val="18"/>
              </w:rPr>
              <w:t>Prioritise obligations, rentals and reliable totals.</w:t>
            </w:r>
          </w:p>
        </w:tc>
      </w:tr>
      <w:tr>
        <w:trPr>
          <w:cantSplit/>
        </w:trPr>
        <w:tc>
          <w:tcPr>
            <w:tcW w:type="dxa" w:w="1900"/>
            <w:vAlign w:val="center"/>
          </w:tcPr>
          <w:p>
            <w:pPr>
              <w:spacing w:after="80" w:line="264" w:lineRule="auto"/>
            </w:pPr>
            <w:r>
              <w:rPr>
                <w:b w:val="0"/>
                <w:sz w:val="18"/>
              </w:rPr>
              <w:t>Wealth vs. income</w:t>
            </w:r>
          </w:p>
        </w:tc>
        <w:tc>
          <w:tcPr>
            <w:tcW w:type="dxa" w:w="3500"/>
            <w:vAlign w:val="center"/>
          </w:tcPr>
          <w:p>
            <w:pPr>
              <w:spacing w:after="80" w:line="264" w:lineRule="auto"/>
            </w:pPr>
            <w:r>
              <w:rPr>
                <w:b w:val="0"/>
                <w:sz w:val="18"/>
              </w:rPr>
              <w:t>A non-rented home is still an asset; family spending is not automatically a liability.</w:t>
            </w:r>
          </w:p>
        </w:tc>
        <w:tc>
          <w:tcPr>
            <w:tcW w:type="dxa" w:w="3960"/>
            <w:vAlign w:val="center"/>
          </w:tcPr>
          <w:p>
            <w:pPr>
              <w:spacing w:after="80" w:line="264" w:lineRule="auto"/>
            </w:pPr>
            <w:r>
              <w:rPr>
                <w:b w:val="0"/>
                <w:sz w:val="18"/>
              </w:rPr>
              <w:t>Separate balance sheet, cash flow and forecasts.</w:t>
            </w:r>
          </w:p>
        </w:tc>
      </w:tr>
      <w:tr>
        <w:trPr>
          <w:cantSplit/>
        </w:trPr>
        <w:tc>
          <w:tcPr>
            <w:tcW w:type="dxa" w:w="1900"/>
            <w:vAlign w:val="center"/>
          </w:tcPr>
          <w:p>
            <w:pPr>
              <w:spacing w:after="80" w:line="264" w:lineRule="auto"/>
            </w:pPr>
            <w:r>
              <w:rPr>
                <w:b w:val="0"/>
                <w:sz w:val="18"/>
              </w:rPr>
              <w:t>Ownership overlap</w:t>
            </w:r>
          </w:p>
        </w:tc>
        <w:tc>
          <w:tcPr>
            <w:tcW w:type="dxa" w:w="3500"/>
            <w:vAlign w:val="center"/>
          </w:tcPr>
          <w:p>
            <w:pPr>
              <w:spacing w:after="80" w:line="264" w:lineRule="auto"/>
            </w:pPr>
            <w:r>
              <w:rPr>
                <w:b w:val="0"/>
                <w:sz w:val="18"/>
              </w:rPr>
              <w:t>Company value and its underlying properties can be counted twice.</w:t>
            </w:r>
          </w:p>
        </w:tc>
        <w:tc>
          <w:tcPr>
            <w:tcW w:type="dxa" w:w="3960"/>
            <w:vAlign w:val="center"/>
          </w:tcPr>
          <w:p>
            <w:pPr>
              <w:spacing w:after="80" w:line="264" w:lineRule="auto"/>
            </w:pPr>
            <w:r>
              <w:rPr>
                <w:b w:val="0"/>
                <w:sz w:val="18"/>
              </w:rPr>
              <w:t>Use explicit ownership and consolidation rules.</w:t>
            </w:r>
          </w:p>
        </w:tc>
      </w:tr>
      <w:tr>
        <w:trPr>
          <w:cantSplit/>
        </w:trPr>
        <w:tc>
          <w:tcPr>
            <w:tcW w:type="dxa" w:w="1900"/>
            <w:vAlign w:val="center"/>
          </w:tcPr>
          <w:p>
            <w:pPr>
              <w:spacing w:after="80" w:line="264" w:lineRule="auto"/>
            </w:pPr>
            <w:r>
              <w:rPr>
                <w:b w:val="0"/>
                <w:sz w:val="18"/>
              </w:rPr>
              <w:t>AI confidence</w:t>
            </w:r>
          </w:p>
        </w:tc>
        <w:tc>
          <w:tcPr>
            <w:tcW w:type="dxa" w:w="3500"/>
            <w:vAlign w:val="center"/>
          </w:tcPr>
          <w:p>
            <w:pPr>
              <w:spacing w:after="80" w:line="264" w:lineRule="auto"/>
            </w:pPr>
            <w:r>
              <w:rPr>
                <w:b w:val="0"/>
                <w:sz w:val="18"/>
              </w:rPr>
              <w:t>A model can invent categories, amounts or explanations.</w:t>
            </w:r>
          </w:p>
        </w:tc>
        <w:tc>
          <w:tcPr>
            <w:tcW w:type="dxa" w:w="3960"/>
            <w:vAlign w:val="center"/>
          </w:tcPr>
          <w:p>
            <w:pPr>
              <w:spacing w:after="80" w:line="264" w:lineRule="auto"/>
            </w:pPr>
            <w:r>
              <w:rPr>
                <w:b w:val="0"/>
                <w:sz w:val="18"/>
              </w:rPr>
              <w:t>Review suggestions; use deterministic calculations.</w:t>
            </w:r>
          </w:p>
        </w:tc>
      </w:tr>
      <w:tr>
        <w:trPr>
          <w:cantSplit/>
        </w:trPr>
        <w:tc>
          <w:tcPr>
            <w:tcW w:type="dxa" w:w="1900"/>
            <w:vAlign w:val="center"/>
          </w:tcPr>
          <w:p>
            <w:pPr>
              <w:spacing w:after="80" w:line="264" w:lineRule="auto"/>
            </w:pPr>
            <w:r>
              <w:rPr>
                <w:b w:val="0"/>
                <w:sz w:val="18"/>
              </w:rPr>
              <w:t>Financial secrecy</w:t>
            </w:r>
          </w:p>
        </w:tc>
        <w:tc>
          <w:tcPr>
            <w:tcW w:type="dxa" w:w="3500"/>
            <w:vAlign w:val="center"/>
          </w:tcPr>
          <w:p>
            <w:pPr>
              <w:spacing w:after="80" w:line="264" w:lineRule="auto"/>
            </w:pPr>
            <w:r>
              <w:rPr>
                <w:b w:val="0"/>
                <w:sz w:val="18"/>
              </w:rPr>
              <w:t>Screen hiding alone does not protect data.</w:t>
            </w:r>
          </w:p>
        </w:tc>
        <w:tc>
          <w:tcPr>
            <w:tcW w:type="dxa" w:w="3960"/>
            <w:vAlign w:val="center"/>
          </w:tcPr>
          <w:p>
            <w:pPr>
              <w:spacing w:after="80" w:line="264" w:lineRule="auto"/>
            </w:pPr>
            <w:r>
              <w:rPr>
                <w:b w:val="0"/>
                <w:sz w:val="18"/>
              </w:rPr>
              <w:t>Enforce permissions in APIs, exports and search.</w:t>
            </w:r>
          </w:p>
        </w:tc>
      </w:tr>
      <w:tr>
        <w:trPr>
          <w:cantSplit/>
        </w:trPr>
        <w:tc>
          <w:tcPr>
            <w:tcW w:type="dxa" w:w="1900"/>
            <w:vAlign w:val="center"/>
          </w:tcPr>
          <w:p>
            <w:pPr>
              <w:spacing w:after="80" w:line="264" w:lineRule="auto"/>
            </w:pPr>
            <w:r>
              <w:rPr>
                <w:b w:val="0"/>
                <w:sz w:val="18"/>
              </w:rPr>
              <w:t>Separate deployments</w:t>
            </w:r>
          </w:p>
        </w:tc>
        <w:tc>
          <w:tcPr>
            <w:tcW w:type="dxa" w:w="3500"/>
            <w:vAlign w:val="center"/>
          </w:tcPr>
          <w:p>
            <w:pPr>
              <w:spacing w:after="80" w:line="264" w:lineRule="auto"/>
            </w:pPr>
            <w:r>
              <w:rPr>
                <w:b w:val="0"/>
                <w:sz w:val="18"/>
              </w:rPr>
              <w:t>Privacy improves but maintenance and backups multiply.</w:t>
            </w:r>
          </w:p>
        </w:tc>
        <w:tc>
          <w:tcPr>
            <w:tcW w:type="dxa" w:w="3960"/>
            <w:vAlign w:val="center"/>
          </w:tcPr>
          <w:p>
            <w:pPr>
              <w:spacing w:after="80" w:line="264" w:lineRule="auto"/>
            </w:pPr>
            <w:r>
              <w:rPr>
                <w:b w:val="0"/>
                <w:sz w:val="18"/>
              </w:rPr>
              <w:t>Common release artifact; isolated data and secrets.</w:t>
            </w:r>
          </w:p>
        </w:tc>
      </w:tr>
      <w:tr>
        <w:trPr>
          <w:cantSplit/>
        </w:trPr>
        <w:tc>
          <w:tcPr>
            <w:tcW w:type="dxa" w:w="1900"/>
            <w:vAlign w:val="center"/>
          </w:tcPr>
          <w:p>
            <w:pPr>
              <w:spacing w:after="80" w:line="264" w:lineRule="auto"/>
            </w:pPr>
            <w:r>
              <w:rPr>
                <w:b w:val="0"/>
                <w:sz w:val="18"/>
              </w:rPr>
              <w:t>Continuity</w:t>
            </w:r>
          </w:p>
        </w:tc>
        <w:tc>
          <w:tcPr>
            <w:tcW w:type="dxa" w:w="3500"/>
            <w:vAlign w:val="center"/>
          </w:tcPr>
          <w:p>
            <w:pPr>
              <w:spacing w:after="80" w:line="264" w:lineRule="auto"/>
            </w:pPr>
            <w:r>
              <w:rPr>
                <w:b w:val="0"/>
                <w:sz w:val="18"/>
              </w:rPr>
              <w:t>A single person holds knowledge and credentials.</w:t>
            </w:r>
          </w:p>
        </w:tc>
        <w:tc>
          <w:tcPr>
            <w:tcW w:type="dxa" w:w="3960"/>
            <w:vAlign w:val="center"/>
          </w:tcPr>
          <w:p>
            <w:pPr>
              <w:spacing w:after="80" w:line="264" w:lineRule="auto"/>
            </w:pPr>
            <w:r>
              <w:rPr>
                <w:b w:val="0"/>
                <w:sz w:val="18"/>
              </w:rPr>
              <w:t>Controlled handover; no raw-password notebook.</w:t>
            </w:r>
          </w:p>
        </w:tc>
      </w:tr>
      <w:tr>
        <w:trPr>
          <w:cantSplit/>
        </w:trPr>
        <w:tc>
          <w:tcPr>
            <w:tcW w:type="dxa" w:w="1900"/>
            <w:vAlign w:val="center"/>
          </w:tcPr>
          <w:p>
            <w:pPr>
              <w:spacing w:after="80" w:line="264" w:lineRule="auto"/>
            </w:pPr>
            <w:r>
              <w:rPr>
                <w:b w:val="0"/>
                <w:sz w:val="18"/>
              </w:rPr>
              <w:t>Delivery assumptions</w:t>
            </w:r>
          </w:p>
        </w:tc>
        <w:tc>
          <w:tcPr>
            <w:tcW w:type="dxa" w:w="3500"/>
            <w:vAlign w:val="center"/>
          </w:tcPr>
          <w:p>
            <w:pPr>
              <w:spacing w:after="80" w:line="264" w:lineRule="auto"/>
            </w:pPr>
            <w:r>
              <w:rPr>
                <w:b w:val="0"/>
                <w:sz w:val="18"/>
              </w:rPr>
              <w:t>A few weeks and low SMS costs were conversational estimates.</w:t>
            </w:r>
          </w:p>
        </w:tc>
        <w:tc>
          <w:tcPr>
            <w:tcW w:type="dxa" w:w="3960"/>
            <w:vAlign w:val="center"/>
          </w:tcPr>
          <w:p>
            <w:pPr>
              <w:spacing w:after="80" w:line="264" w:lineRule="auto"/>
            </w:pPr>
            <w:r>
              <w:rPr>
                <w:b w:val="0"/>
                <w:sz w:val="18"/>
              </w:rPr>
              <w:t>Estimate only after scope, samples and dependencies.</w:t>
            </w:r>
          </w:p>
        </w:tc>
      </w:tr>
    </w:tbl>
    <w:p>
      <w:pPr>
        <w:pStyle w:val="Heading2"/>
      </w:pPr>
      <w:r>
        <w:t>Do not encode unverified rules</w:t>
      </w:r>
    </w:p>
    <w:p>
      <w:r>
        <w:t>Statements about CGT discounts, utility recovery deadlines, insurance adequacy and depreciation are not approved business rules. Do not hard-code the transcript’s 30-day recovery claim or auto-calculate tax outcomes from conversational statements. Capture dates and documents; obtain professional validation before activating jurisdiction-specific rules.</w:t>
      </w:r>
    </w:p>
    <w:p>
      <w:pPr>
        <w:pStyle w:val="Heading2"/>
      </w:pPr>
      <w:r>
        <w:t>Business outcomes and proposed pilot measures</w:t>
      </w:r>
    </w:p>
    <w:p>
      <w:r>
        <w:t>Track: percentage of obligations with a responsible owner and verified due date; missed obligations attributable to the app; weekly reconciliation time; unresolved transaction age; and reminder delivery failures. Proposed pilot target: all seeded due events visible, no duplicated sends in retry tests, and at least a 30% reduction in weekly administration time against a measured baseline. The time-reduction target needs owner approval.</w:t>
      </w:r>
    </w:p>
    <w:p>
      <w:r>
        <w:br w:type="page"/>
      </w:r>
    </w:p>
    <w:p>
      <w:pPr>
        <w:pStyle w:val="Heading1"/>
      </w:pPr>
      <w:r>
        <w:t>2. Scope, users and release boundaries</w:t>
      </w:r>
    </w:p>
    <w:p>
      <w:pPr>
        <w:pStyle w:val="Heading2"/>
      </w:pPr>
      <w:r>
        <w:t>Proposed first release: controlled private pilot</w:t>
      </w:r>
    </w:p>
    <w:p>
      <w:r>
        <w:t>One private deployment per participating household/portfolio, with multiple authorised users and legal entities. Responsive web interface; AUD reporting initially. Support manual entry and a defined CSV import format, documents, property/room leases, payment reconciliation, obligations, in-app/email reminders, audit history and basic financial views. Pilot size and capacity targets are proposed in section 8.</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9DE"/>
          <w:bottom w:val="single" w:sz="4" w:color="D5D9DE"/>
          <w:left w:val="single" w:sz="4" w:color="D5D9DE"/>
          <w:right w:val="single" w:sz="4" w:color="D5D9DE"/>
          <w:insideH w:val="single" w:sz="4" w:color="D5D9DE"/>
          <w:insideV w:val="single" w:sz="4" w:color="D5D9DE"/>
        </w:tblBorders>
      </w:tblPr>
      <w:tblGrid>
        <w:gridCol w:w="2200"/>
        <w:gridCol w:w="3660"/>
        <w:gridCol w:w="3500"/>
      </w:tblGrid>
      <w:tr>
        <w:trPr>
          <w:cantSplit/>
          <w:tblHeader/>
        </w:trPr>
        <w:tc>
          <w:tcPr>
            <w:tcW w:type="dxa" w:w="2200"/>
            <w:vAlign w:val="center"/>
            <w:shd w:fill="F2F4F7"/>
          </w:tcPr>
          <w:p>
            <w:pPr>
              <w:spacing w:after="80" w:line="264" w:lineRule="auto"/>
            </w:pPr>
            <w:r>
              <w:rPr>
                <w:b/>
                <w:sz w:val="18"/>
              </w:rPr>
              <w:t>Role</w:t>
            </w:r>
          </w:p>
        </w:tc>
        <w:tc>
          <w:tcPr>
            <w:tcW w:type="dxa" w:w="3660"/>
            <w:vAlign w:val="center"/>
            <w:shd w:fill="F2F4F7"/>
          </w:tcPr>
          <w:p>
            <w:pPr>
              <w:spacing w:after="80" w:line="264" w:lineRule="auto"/>
            </w:pPr>
            <w:r>
              <w:rPr>
                <w:b/>
                <w:sz w:val="18"/>
              </w:rPr>
              <w:t>Permitted work</w:t>
            </w:r>
          </w:p>
        </w:tc>
        <w:tc>
          <w:tcPr>
            <w:tcW w:type="dxa" w:w="3500"/>
            <w:vAlign w:val="center"/>
            <w:shd w:fill="F2F4F7"/>
          </w:tcPr>
          <w:p>
            <w:pPr>
              <w:spacing w:after="80" w:line="264" w:lineRule="auto"/>
            </w:pPr>
            <w:r>
              <w:rPr>
                <w:b/>
                <w:sz w:val="18"/>
              </w:rPr>
              <w:t>Default restrictions</w:t>
            </w:r>
          </w:p>
        </w:tc>
      </w:tr>
      <w:tr>
        <w:trPr>
          <w:cantSplit/>
        </w:trPr>
        <w:tc>
          <w:tcPr>
            <w:tcW w:type="dxa" w:w="2200"/>
            <w:vAlign w:val="center"/>
          </w:tcPr>
          <w:p>
            <w:pPr>
              <w:spacing w:after="80" w:line="264" w:lineRule="auto"/>
            </w:pPr>
            <w:r>
              <w:rPr>
                <w:b w:val="0"/>
                <w:sz w:val="18"/>
              </w:rPr>
              <w:t>Portfolio owner</w:t>
            </w:r>
          </w:p>
        </w:tc>
        <w:tc>
          <w:tcPr>
            <w:tcW w:type="dxa" w:w="3660"/>
            <w:vAlign w:val="center"/>
          </w:tcPr>
          <w:p>
            <w:pPr>
              <w:spacing w:after="80" w:line="264" w:lineRule="auto"/>
            </w:pPr>
            <w:r>
              <w:rPr>
                <w:b w:val="0"/>
                <w:sz w:val="18"/>
              </w:rPr>
              <w:t>Approve data, access, reports and reminders</w:t>
            </w:r>
          </w:p>
        </w:tc>
        <w:tc>
          <w:tcPr>
            <w:tcW w:type="dxa" w:w="3500"/>
            <w:vAlign w:val="center"/>
          </w:tcPr>
          <w:p>
            <w:pPr>
              <w:spacing w:after="80" w:line="264" w:lineRule="auto"/>
            </w:pPr>
            <w:r>
              <w:rPr>
                <w:b w:val="0"/>
                <w:sz w:val="18"/>
              </w:rPr>
              <w:t>Cannot access another private deployment</w:t>
            </w:r>
          </w:p>
        </w:tc>
      </w:tr>
      <w:tr>
        <w:trPr>
          <w:cantSplit/>
        </w:trPr>
        <w:tc>
          <w:tcPr>
            <w:tcW w:type="dxa" w:w="2200"/>
            <w:vAlign w:val="center"/>
          </w:tcPr>
          <w:p>
            <w:pPr>
              <w:spacing w:after="80" w:line="264" w:lineRule="auto"/>
            </w:pPr>
            <w:r>
              <w:rPr>
                <w:b w:val="0"/>
                <w:sz w:val="18"/>
              </w:rPr>
              <w:t>Operations delegate</w:t>
            </w:r>
          </w:p>
        </w:tc>
        <w:tc>
          <w:tcPr>
            <w:tcW w:type="dxa" w:w="3660"/>
            <w:vAlign w:val="center"/>
          </w:tcPr>
          <w:p>
            <w:pPr>
              <w:spacing w:after="80" w:line="264" w:lineRule="auto"/>
            </w:pPr>
            <w:r>
              <w:rPr>
                <w:b w:val="0"/>
                <w:sz w:val="18"/>
              </w:rPr>
              <w:t>Assigned properties, bills and rent tasks</w:t>
            </w:r>
          </w:p>
        </w:tc>
        <w:tc>
          <w:tcPr>
            <w:tcW w:type="dxa" w:w="3500"/>
            <w:vAlign w:val="center"/>
          </w:tcPr>
          <w:p>
            <w:pPr>
              <w:spacing w:after="80" w:line="264" w:lineRule="auto"/>
            </w:pPr>
            <w:r>
              <w:rPr>
                <w:b w:val="0"/>
                <w:sz w:val="18"/>
              </w:rPr>
              <w:t>No whole-portfolio wealth or unrelated family data</w:t>
            </w:r>
          </w:p>
        </w:tc>
      </w:tr>
      <w:tr>
        <w:trPr>
          <w:cantSplit/>
        </w:trPr>
        <w:tc>
          <w:tcPr>
            <w:tcW w:type="dxa" w:w="2200"/>
            <w:vAlign w:val="center"/>
          </w:tcPr>
          <w:p>
            <w:pPr>
              <w:spacing w:after="80" w:line="264" w:lineRule="auto"/>
            </w:pPr>
            <w:r>
              <w:rPr>
                <w:b w:val="0"/>
                <w:sz w:val="18"/>
              </w:rPr>
              <w:t>Family contributor</w:t>
            </w:r>
          </w:p>
        </w:tc>
        <w:tc>
          <w:tcPr>
            <w:tcW w:type="dxa" w:w="3660"/>
            <w:vAlign w:val="center"/>
          </w:tcPr>
          <w:p>
            <w:pPr>
              <w:spacing w:after="80" w:line="264" w:lineRule="auto"/>
            </w:pPr>
            <w:r>
              <w:rPr>
                <w:b w:val="0"/>
                <w:sz w:val="18"/>
              </w:rPr>
              <w:t>Assigned budgets, tasks and limited views</w:t>
            </w:r>
          </w:p>
        </w:tc>
        <w:tc>
          <w:tcPr>
            <w:tcW w:type="dxa" w:w="3500"/>
            <w:vAlign w:val="center"/>
          </w:tcPr>
          <w:p>
            <w:pPr>
              <w:spacing w:after="80" w:line="264" w:lineRule="auto"/>
            </w:pPr>
            <w:r>
              <w:rPr>
                <w:b w:val="0"/>
                <w:sz w:val="18"/>
              </w:rPr>
              <w:t>No sensitive totals unless explicitly granted</w:t>
            </w:r>
          </w:p>
        </w:tc>
      </w:tr>
      <w:tr>
        <w:trPr>
          <w:cantSplit/>
        </w:trPr>
        <w:tc>
          <w:tcPr>
            <w:tcW w:type="dxa" w:w="2200"/>
            <w:vAlign w:val="center"/>
          </w:tcPr>
          <w:p>
            <w:pPr>
              <w:spacing w:after="80" w:line="264" w:lineRule="auto"/>
            </w:pPr>
            <w:r>
              <w:rPr>
                <w:b w:val="0"/>
                <w:sz w:val="18"/>
              </w:rPr>
              <w:t>Accountant / reviewer</w:t>
            </w:r>
          </w:p>
        </w:tc>
        <w:tc>
          <w:tcPr>
            <w:tcW w:type="dxa" w:w="3660"/>
            <w:vAlign w:val="center"/>
          </w:tcPr>
          <w:p>
            <w:pPr>
              <w:spacing w:after="80" w:line="264" w:lineRule="auto"/>
            </w:pPr>
            <w:r>
              <w:rPr>
                <w:b w:val="0"/>
                <w:sz w:val="18"/>
              </w:rPr>
              <w:t>Approved read-only records and exports</w:t>
            </w:r>
          </w:p>
        </w:tc>
        <w:tc>
          <w:tcPr>
            <w:tcW w:type="dxa" w:w="3500"/>
            <w:vAlign w:val="center"/>
          </w:tcPr>
          <w:p>
            <w:pPr>
              <w:spacing w:after="80" w:line="264" w:lineRule="auto"/>
            </w:pPr>
            <w:r>
              <w:rPr>
                <w:b w:val="0"/>
                <w:sz w:val="18"/>
              </w:rPr>
              <w:t>No messages, edits or access grants</w:t>
            </w:r>
          </w:p>
        </w:tc>
      </w:tr>
      <w:tr>
        <w:trPr>
          <w:cantSplit/>
        </w:trPr>
        <w:tc>
          <w:tcPr>
            <w:tcW w:type="dxa" w:w="2200"/>
            <w:vAlign w:val="center"/>
          </w:tcPr>
          <w:p>
            <w:pPr>
              <w:spacing w:after="80" w:line="264" w:lineRule="auto"/>
            </w:pPr>
            <w:r>
              <w:rPr>
                <w:b w:val="0"/>
                <w:sz w:val="18"/>
              </w:rPr>
              <w:t>Technical operator</w:t>
            </w:r>
          </w:p>
        </w:tc>
        <w:tc>
          <w:tcPr>
            <w:tcW w:type="dxa" w:w="3660"/>
            <w:vAlign w:val="center"/>
          </w:tcPr>
          <w:p>
            <w:pPr>
              <w:spacing w:after="80" w:line="264" w:lineRule="auto"/>
            </w:pPr>
            <w:r>
              <w:rPr>
                <w:b w:val="0"/>
                <w:sz w:val="18"/>
              </w:rPr>
              <w:t>Deployment, monitoring and recovery</w:t>
            </w:r>
          </w:p>
        </w:tc>
        <w:tc>
          <w:tcPr>
            <w:tcW w:type="dxa" w:w="3500"/>
            <w:vAlign w:val="center"/>
          </w:tcPr>
          <w:p>
            <w:pPr>
              <w:spacing w:after="80" w:line="264" w:lineRule="auto"/>
            </w:pPr>
            <w:r>
              <w:rPr>
                <w:b w:val="0"/>
                <w:sz w:val="18"/>
              </w:rPr>
              <w:t>No routine business-data access; audited exception</w:t>
            </w:r>
          </w:p>
        </w:tc>
      </w:tr>
    </w:tbl>
    <w:p>
      <w:pPr>
        <w:pStyle w:val="Heading2"/>
      </w:pPr>
      <w:r>
        <w:t>Later releases</w:t>
      </w:r>
    </w:p>
    <w:p>
      <w:r>
        <w:t>Release 2: assisted PDF bank-statement extraction, subscription detection, approved SMS reminders, feasibility scenarios, imported depreciation schedules, household budgets, personal lending and read-only equity/SMSF summaries. Release 3: construction-system integration, family holiday planning, birthday messaging, live feeds and richer portfolio analytics.</w:t>
      </w:r>
    </w:p>
    <w:p>
      <w:pPr>
        <w:pStyle w:val="Heading2"/>
      </w:pPr>
      <w:r>
        <w:t>Explicit exclusions from the first release</w:t>
      </w:r>
    </w:p>
    <w:p>
      <w:r>
        <w:t>Payment initiation, trading, payroll, full accounting or tax lodgement, automated legal advice, tenant-facing portals, production storage of raw passwords, autonomous AI financial actions and a complete construction ERP. Automated external property valuations and bank feeds require a separately agreed provider, licensing and integration scope.</w:t>
      </w:r>
    </w:p>
    <w:p>
      <w:pPr>
        <w:pStyle w:val="Heading2"/>
      </w:pPr>
      <w:r>
        <w:t>Assumptions needing approval</w:t>
      </w:r>
    </w:p>
    <w:p>
      <w:r>
        <w:t>The initial product is private-use software, not a public multi-tenant SaaS. Users maintain source data; the platform does not replace their accountant or property-management agreements. English UI initially, with Unicode text supported. Overseas assets, exchange-rate policy, taxation periods and shared household boundaries remain decisions, not defaults inferred from the discussion.</w:t>
      </w:r>
    </w:p>
    <w:p>
      <w:r>
        <w:br w:type="page"/>
      </w:r>
    </w:p>
    <w:p>
      <w:pPr>
        <w:pStyle w:val="Heading1"/>
      </w:pPr>
      <w:r>
        <w:t>3. Core functional requirements</w:t>
      </w:r>
    </w:p>
    <w:p>
      <w:pPr>
        <w:pStyle w:val="Heading2"/>
      </w:pPr>
      <w:r>
        <w:t>FR-01 | Entity and relationship register</w:t>
      </w:r>
    </w:p>
    <w:p>
      <w:r>
        <w:t>MVP | D • 00:11–01:30</w:t>
      </w:r>
    </w:p>
    <w:p>
      <w:r>
        <w:t>The system shall record individuals, companies, trusts and SMSFs as distinct entity types, with appropriate identifiers, contacts, directors, trustees and beneficiary relationships. Relationships shall be dated and linked to supporting documents. Do not require a company-only identifier for every entity type.</w:t>
      </w:r>
    </w:p>
    <w:p>
      <w:r>
        <w:t>Acceptance: A user can link a corporate trustee to a trust and an asset without duplicating the asset; inactive relationships remain visible historically.</w:t>
      </w:r>
    </w:p>
    <w:p>
      <w:pPr>
        <w:pStyle w:val="Heading2"/>
      </w:pPr>
      <w:r>
        <w:t>FR-02 | Assets, ownership and valuations</w:t>
      </w:r>
    </w:p>
    <w:p>
      <w:r>
        <w:t>MVP | D + R • 01:30–03:14; 18:40–19:15</w:t>
      </w:r>
    </w:p>
    <w:p>
      <w:r>
        <w:t>The system shall record property address, purchase and settlement costs, ownership interests, dwelling/room components and dated valuations with source and confidence. Rooms are operational components, not extra property assets for net-worth totals. Stale valuations shall be flagged.</w:t>
      </w:r>
    </w:p>
    <w:p>
      <w:r>
        <w:t>Acceptance: A property with six rooms appears once in consolidated asset value; partial ownership is reflected and the valuation date is displayed.</w:t>
      </w:r>
    </w:p>
    <w:p>
      <w:pPr>
        <w:pStyle w:val="Heading2"/>
      </w:pPr>
      <w:r>
        <w:t>FR-03 | Loans and obligations</w:t>
      </w:r>
    </w:p>
    <w:p>
      <w:r>
        <w:t>MVP | D • 00:27–00:58; 02:54–03:29; 05:23–05:34</w:t>
      </w:r>
    </w:p>
    <w:p>
      <w:r>
        <w:t>The system shall record lender, borrower, balance as-of date, interest rate, repayment type, scheduled amount, review date and linked securities. Renewal, insurance, rates and utility obligations shall have owner, due date, recurrence, amount, evidence and status. Payment evidence closes an obligation; a sent reminder does not.</w:t>
      </w:r>
    </w:p>
    <w:p>
      <w:r>
        <w:t>Acceptance: A shared loan linked to two properties counts once in total liabilities; an unpaid due obligation remains overdue after notification.</w:t>
      </w:r>
    </w:p>
    <w:p>
      <w:pPr>
        <w:pStyle w:val="Heading2"/>
      </w:pPr>
      <w:r>
        <w:t>FR-04 | Document and expense records</w:t>
      </w:r>
    </w:p>
    <w:p>
      <w:r>
        <w:t>MVP | D + R • 11:09–11:30; 23:06–24:27</w:t>
      </w:r>
    </w:p>
    <w:p>
      <w:r>
        <w:t>The system shall attach invoices, policies, lease files and receipts to the relevant record. Expenses shall retain transaction date, amount, currency, category, entity, allocation and source. Corrections shall be versioned; deletion must not erase audit history.</w:t>
      </w:r>
    </w:p>
    <w:p>
      <w:r>
        <w:t>Acceptance: A reviewer can navigate from a report total to its allocated expenses and original evidence; a correction records who changed what and when.</w:t>
      </w:r>
    </w:p>
    <w:p>
      <w:r>
        <w:br w:type="page"/>
      </w:r>
    </w:p>
    <w:p>
      <w:pPr>
        <w:pStyle w:val="Heading1"/>
      </w:pPr>
      <w:r>
        <w:t>4. Rental operations and reminders</w:t>
      </w:r>
    </w:p>
    <w:p>
      <w:pPr>
        <w:pStyle w:val="Heading2"/>
      </w:pPr>
      <w:r>
        <w:t>FR-05 | Leases and payment schedules</w:t>
      </w:r>
    </w:p>
    <w:p>
      <w:r>
        <w:t>MVP | D + R • 18:40–21:44</w:t>
      </w:r>
    </w:p>
    <w:p>
      <w:r>
        <w:t>The system shall support property-level and room-level leases with tenant, start/end dates, rent, frequency, effective rent changes and billing reference. Create expected charges from lease dates. Amendments must preserve paid history and stop future charges after termination. Proration rules require approval.</w:t>
      </w:r>
    </w:p>
    <w:p>
      <w:r>
        <w:t>Acceptance: A fortnightly lease generates the agreed due dates; an early termination removes only unearned future charges and leaves receipts intact.</w:t>
      </w:r>
    </w:p>
    <w:p>
      <w:pPr>
        <w:pStyle w:val="Heading2"/>
      </w:pPr>
      <w:r>
        <w:t>FR-06 | Receipt reconciliation and arrears</w:t>
      </w:r>
    </w:p>
    <w:p>
      <w:r>
        <w:t>MVP | D + R • 19:27–21:04</w:t>
      </w:r>
    </w:p>
    <w:p>
      <w:r>
        <w:t>The system shall import a defined bank CSV, detect duplicate imports and allow receipts to be allocated across charges. Support partial, combined and advance payments, reversals and unmatched transactions. Suggested matches require confirmation. Disputed balances are visible and suppress collection reminders.</w:t>
      </w:r>
    </w:p>
    <w:p>
      <w:r>
        <w:t>Acceptance: For a $500 charge and $300 receipt, arrears are $200; importing that receipt twice does not change the balance. A reversal restores the correct outstanding amount.</w:t>
      </w:r>
    </w:p>
    <w:p>
      <w:pPr>
        <w:pStyle w:val="Heading2"/>
      </w:pPr>
      <w:r>
        <w:t>FR-07 | Shared bills and recoveries</w:t>
      </w:r>
    </w:p>
    <w:p>
      <w:r>
        <w:t>MVP | D + R • 16:26–16:51; 21:45–22:16</w:t>
      </w:r>
    </w:p>
    <w:p>
      <w:r>
        <w:t>The system shall allocate utilities or shared costs by approved fixed amount or percentage across active leases and retain the agreement and source bill. Separate recoverable tenant charges from owner expenses. Recoverability and deadlines are reviewed inputs, not conclusions inferred from the transcript.</w:t>
      </w:r>
    </w:p>
    <w:p>
      <w:r>
        <w:t>Acceptance: A $200 bill split 60/40 creates $120 and $80 charges, with no duplicate owner expense in consolidation; an invalid allocation is rejected.</w:t>
      </w:r>
    </w:p>
    <w:p>
      <w:pPr>
        <w:pStyle w:val="Heading2"/>
      </w:pPr>
      <w:r>
        <w:t>FR-08 | Reminders and escalation</w:t>
      </w:r>
    </w:p>
    <w:p>
      <w:r>
        <w:t>MVP in-app/email; SMS later | D + R • 12:56–13:15; 20:41–21:27</w:t>
      </w:r>
    </w:p>
    <w:p>
      <w:r>
        <w:t>The system shall support configurable notice offsets, recipient, time zone, quiet hours, channel, approval and escalation. Before sending, recheck paid/disputed status and permissions. Record queued, sent, delivered where supported, failed and cancelled states. Retry safely using a unique event-recipient-channel key.</w:t>
      </w:r>
    </w:p>
    <w:p>
      <w:r>
        <w:t>Acceptance: Paid items cancel queued notices. Repeated job execution does not duplicate sends. Failure creates an owner task. External messages require verified recipients and approved templates.</w:t>
      </w:r>
    </w:p>
    <w:p>
      <w:r>
        <w:br w:type="page"/>
      </w:r>
    </w:p>
    <w:p>
      <w:pPr>
        <w:pStyle w:val="Heading1"/>
      </w:pPr>
      <w:r>
        <w:t>5. Reporting and later functional modules</w:t>
      </w:r>
    </w:p>
    <w:p>
      <w:pPr>
        <w:pStyle w:val="Heading2"/>
      </w:pPr>
      <w:r>
        <w:t>FR-09 | Financial dashboard and exports</w:t>
      </w:r>
    </w:p>
    <w:p>
      <w:r>
        <w:t>MVP | D + R • 05:48–07:23; 26:24–28:26; 40:26–40:43</w:t>
      </w:r>
    </w:p>
    <w:p>
      <w:r>
        <w:t>The system shall show as-of assets, liabilities, net worth, receipts, cash outgoings, arrears and upcoming obligations. Drill-down must explain every total. Filter by authorised entity/property/period and show missing or stale data. Exports must apply the same permissions as the screen.</w:t>
      </w:r>
    </w:p>
    <w:p>
      <w:r>
        <w:t>Acceptance: Dashboard totals reconcile to a seeded test dataset to the cent; transfers and duplicate ownership paths do not inflate income or wealth.</w:t>
      </w:r>
    </w:p>
    <w:p>
      <w:pPr>
        <w:pStyle w:val="Heading2"/>
      </w:pPr>
      <w:r>
        <w:t>FR-10 | Assisted statement analysis</w:t>
      </w:r>
    </w:p>
    <w:p>
      <w:r>
        <w:t>Release 2 | D + R • 13:45–14:22; 31:04–32:34</w:t>
      </w:r>
    </w:p>
    <w:p>
      <w:r>
        <w:t>Extract candidate transactions from supported PDFs with page/line evidence. Suggest categories, recurring subscriptions and unusual payments; never label a payment fraudulent solely from a model result. Review before posting; preserve raw and corrected values.</w:t>
      </w:r>
    </w:p>
    <w:p>
      <w:r>
        <w:t>Acceptance: A low-confidence amount remains unposted; re-uploaded statements are detected; a reviewer can correct and trace every accepted row.</w:t>
      </w:r>
    </w:p>
    <w:p>
      <w:pPr>
        <w:pStyle w:val="Heading2"/>
      </w:pPr>
      <w:r>
        <w:t>FR-11 | Budgeting, lending and scenarios</w:t>
      </w:r>
    </w:p>
    <w:p>
      <w:r>
        <w:t>Release 2 | D + R • 12:48–13:03; 14:35–18:33; 37:34–40:43</w:t>
      </w:r>
    </w:p>
    <w:p>
      <w:r>
        <w:t>Provide versioned actual-versus-budget views, family/charity categories, personal loan agreements and repayment reminders. Feasibility scenarios shall contain user-set holding period, costs, rent, vacancy, growth, finance and sale assumptions. Separate scenarios from actual records; include downside cases.</w:t>
      </w:r>
    </w:p>
    <w:p>
      <w:r>
        <w:t>Acceptance: Changing growth changes only the scenario; principal lent is a receivable, not a household expense. A cancelled subscription is not reported as a verified saving until confirmed.</w:t>
      </w:r>
    </w:p>
    <w:p>
      <w:pPr>
        <w:pStyle w:val="Heading2"/>
      </w:pPr>
      <w:r>
        <w:t>FR-12 | Extended portfolio and family modules</w:t>
      </w:r>
    </w:p>
    <w:p>
      <w:r>
        <w:t>Later | D • 09:49–10:45; 23:54–24:46; 30:34–37:34</w:t>
      </w:r>
    </w:p>
    <w:p>
      <w:r>
        <w:t>Support uploaded depreciation schedules for reviewed reporting; manual equity/SMSF summaries; project progress and aggregate construction costs; holiday and learning goals; birthdays; property exit-strategy notes; insurance review dates and continuity instructions. Full operational integrations require separate specifications.</w:t>
      </w:r>
    </w:p>
    <w:p>
      <w:r>
        <w:t>Acceptance: Turning off a module does not erase its records. Restricted family users see sample or authorised data only. Imported project totals cannot duplicate individual project expenses.</w:t>
      </w:r>
    </w:p>
    <w:p>
      <w:r>
        <w:br w:type="page"/>
      </w:r>
    </w:p>
    <w:p>
      <w:pPr>
        <w:pStyle w:val="Heading1"/>
      </w:pPr>
      <w:r>
        <w:t>6. Data model and calculation rules</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9DE"/>
          <w:bottom w:val="single" w:sz="4" w:color="D5D9DE"/>
          <w:left w:val="single" w:sz="4" w:color="D5D9DE"/>
          <w:right w:val="single" w:sz="4" w:color="D5D9DE"/>
          <w:insideH w:val="single" w:sz="4" w:color="D5D9DE"/>
          <w:insideV w:val="single" w:sz="4" w:color="D5D9DE"/>
        </w:tblBorders>
      </w:tblPr>
      <w:tblGrid>
        <w:gridCol w:w="2600"/>
        <w:gridCol w:w="6760"/>
      </w:tblGrid>
      <w:tr>
        <w:trPr>
          <w:cantSplit/>
          <w:tblHeader/>
        </w:trPr>
        <w:tc>
          <w:tcPr>
            <w:tcW w:type="dxa" w:w="2600"/>
            <w:vAlign w:val="center"/>
            <w:shd w:fill="F2F4F7"/>
          </w:tcPr>
          <w:p>
            <w:pPr>
              <w:spacing w:after="80" w:line="264" w:lineRule="auto"/>
            </w:pPr>
            <w:r>
              <w:rPr>
                <w:b/>
                <w:sz w:val="18"/>
              </w:rPr>
              <w:t>Record group</w:t>
            </w:r>
          </w:p>
        </w:tc>
        <w:tc>
          <w:tcPr>
            <w:tcW w:type="dxa" w:w="6760"/>
            <w:vAlign w:val="center"/>
            <w:shd w:fill="F2F4F7"/>
          </w:tcPr>
          <w:p>
            <w:pPr>
              <w:spacing w:after="80" w:line="264" w:lineRule="auto"/>
            </w:pPr>
            <w:r>
              <w:rPr>
                <w:b/>
                <w:sz w:val="18"/>
              </w:rPr>
              <w:t>Essential data / links</w:t>
            </w:r>
          </w:p>
        </w:tc>
      </w:tr>
      <w:tr>
        <w:trPr>
          <w:cantSplit/>
        </w:trPr>
        <w:tc>
          <w:tcPr>
            <w:tcW w:type="dxa" w:w="2600"/>
            <w:vAlign w:val="center"/>
          </w:tcPr>
          <w:p>
            <w:pPr>
              <w:spacing w:after="80" w:line="264" w:lineRule="auto"/>
            </w:pPr>
            <w:r>
              <w:rPr>
                <w:b w:val="0"/>
                <w:sz w:val="18"/>
              </w:rPr>
              <w:t>Access boundary</w:t>
            </w:r>
          </w:p>
        </w:tc>
        <w:tc>
          <w:tcPr>
            <w:tcW w:type="dxa" w:w="6760"/>
            <w:vAlign w:val="center"/>
          </w:tcPr>
          <w:p>
            <w:pPr>
              <w:spacing w:after="80" w:line="264" w:lineRule="auto"/>
            </w:pPr>
            <w:r>
              <w:rPr>
                <w:b w:val="0"/>
                <w:sz w:val="18"/>
              </w:rPr>
              <w:t>Deployment/portfolio → users → scoped grants → audit events</w:t>
            </w:r>
          </w:p>
        </w:tc>
      </w:tr>
      <w:tr>
        <w:trPr>
          <w:cantSplit/>
        </w:trPr>
        <w:tc>
          <w:tcPr>
            <w:tcW w:type="dxa" w:w="2600"/>
            <w:vAlign w:val="center"/>
          </w:tcPr>
          <w:p>
            <w:pPr>
              <w:spacing w:after="80" w:line="264" w:lineRule="auto"/>
            </w:pPr>
            <w:r>
              <w:rPr>
                <w:b w:val="0"/>
                <w:sz w:val="18"/>
              </w:rPr>
              <w:t>Legal ownership</w:t>
            </w:r>
          </w:p>
        </w:tc>
        <w:tc>
          <w:tcPr>
            <w:tcW w:type="dxa" w:w="6760"/>
            <w:vAlign w:val="center"/>
          </w:tcPr>
          <w:p>
            <w:pPr>
              <w:spacing w:after="80" w:line="264" w:lineRule="auto"/>
            </w:pPr>
            <w:r>
              <w:rPr>
                <w:b w:val="0"/>
                <w:sz w:val="18"/>
              </w:rPr>
              <w:t>Entity → dated ownership interest → asset; trustee links kept separately</w:t>
            </w:r>
          </w:p>
        </w:tc>
      </w:tr>
      <w:tr>
        <w:trPr>
          <w:cantSplit/>
        </w:trPr>
        <w:tc>
          <w:tcPr>
            <w:tcW w:type="dxa" w:w="2600"/>
            <w:vAlign w:val="center"/>
          </w:tcPr>
          <w:p>
            <w:pPr>
              <w:spacing w:after="80" w:line="264" w:lineRule="auto"/>
            </w:pPr>
            <w:r>
              <w:rPr>
                <w:b w:val="0"/>
                <w:sz w:val="18"/>
              </w:rPr>
              <w:t>Property operations</w:t>
            </w:r>
          </w:p>
        </w:tc>
        <w:tc>
          <w:tcPr>
            <w:tcW w:type="dxa" w:w="6760"/>
            <w:vAlign w:val="center"/>
          </w:tcPr>
          <w:p>
            <w:pPr>
              <w:spacing w:after="80" w:line="264" w:lineRule="auto"/>
            </w:pPr>
            <w:r>
              <w:rPr>
                <w:b w:val="0"/>
                <w:sz w:val="18"/>
              </w:rPr>
              <w:t>Property → rentable component → lease → expected charge</w:t>
            </w:r>
          </w:p>
        </w:tc>
      </w:tr>
      <w:tr>
        <w:trPr>
          <w:cantSplit/>
        </w:trPr>
        <w:tc>
          <w:tcPr>
            <w:tcW w:type="dxa" w:w="2600"/>
            <w:vAlign w:val="center"/>
          </w:tcPr>
          <w:p>
            <w:pPr>
              <w:spacing w:after="80" w:line="264" w:lineRule="auto"/>
            </w:pPr>
            <w:r>
              <w:rPr>
                <w:b w:val="0"/>
                <w:sz w:val="18"/>
              </w:rPr>
              <w:t>Money movement</w:t>
            </w:r>
          </w:p>
        </w:tc>
        <w:tc>
          <w:tcPr>
            <w:tcW w:type="dxa" w:w="6760"/>
            <w:vAlign w:val="center"/>
          </w:tcPr>
          <w:p>
            <w:pPr>
              <w:spacing w:after="80" w:line="264" w:lineRule="auto"/>
            </w:pPr>
            <w:r>
              <w:rPr>
                <w:b w:val="0"/>
                <w:sz w:val="18"/>
              </w:rPr>
              <w:t>Bank account → import batch → transaction → charge/expense allocation</w:t>
            </w:r>
          </w:p>
        </w:tc>
      </w:tr>
      <w:tr>
        <w:trPr>
          <w:cantSplit/>
        </w:trPr>
        <w:tc>
          <w:tcPr>
            <w:tcW w:type="dxa" w:w="2600"/>
            <w:vAlign w:val="center"/>
          </w:tcPr>
          <w:p>
            <w:pPr>
              <w:spacing w:after="80" w:line="264" w:lineRule="auto"/>
            </w:pPr>
            <w:r>
              <w:rPr>
                <w:b w:val="0"/>
                <w:sz w:val="18"/>
              </w:rPr>
              <w:t>Debt</w:t>
            </w:r>
          </w:p>
        </w:tc>
        <w:tc>
          <w:tcPr>
            <w:tcW w:type="dxa" w:w="6760"/>
            <w:vAlign w:val="center"/>
          </w:tcPr>
          <w:p>
            <w:pPr>
              <w:spacing w:after="80" w:line="264" w:lineRule="auto"/>
            </w:pPr>
            <w:r>
              <w:rPr>
                <w:b w:val="0"/>
                <w:sz w:val="18"/>
              </w:rPr>
              <w:t>Loan → borrower; separate collateral links and balance snapshots</w:t>
            </w:r>
          </w:p>
        </w:tc>
      </w:tr>
      <w:tr>
        <w:trPr>
          <w:cantSplit/>
        </w:trPr>
        <w:tc>
          <w:tcPr>
            <w:tcW w:type="dxa" w:w="2600"/>
            <w:vAlign w:val="center"/>
          </w:tcPr>
          <w:p>
            <w:pPr>
              <w:spacing w:after="80" w:line="264" w:lineRule="auto"/>
            </w:pPr>
            <w:r>
              <w:rPr>
                <w:b w:val="0"/>
                <w:sz w:val="18"/>
              </w:rPr>
              <w:t>Work and evidence</w:t>
            </w:r>
          </w:p>
        </w:tc>
        <w:tc>
          <w:tcPr>
            <w:tcW w:type="dxa" w:w="6760"/>
            <w:vAlign w:val="center"/>
          </w:tcPr>
          <w:p>
            <w:pPr>
              <w:spacing w:after="80" w:line="264" w:lineRule="auto"/>
            </w:pPr>
            <w:r>
              <w:rPr>
                <w:b w:val="0"/>
                <w:sz w:val="18"/>
              </w:rPr>
              <w:t>Obligation → reminder events; documents linked to source records</w:t>
            </w:r>
          </w:p>
        </w:tc>
      </w:tr>
      <w:tr>
        <w:trPr>
          <w:cantSplit/>
        </w:trPr>
        <w:tc>
          <w:tcPr>
            <w:tcW w:type="dxa" w:w="2600"/>
            <w:vAlign w:val="center"/>
          </w:tcPr>
          <w:p>
            <w:pPr>
              <w:spacing w:after="80" w:line="264" w:lineRule="auto"/>
            </w:pPr>
            <w:r>
              <w:rPr>
                <w:b w:val="0"/>
                <w:sz w:val="18"/>
              </w:rPr>
              <w:t>Analysis</w:t>
            </w:r>
          </w:p>
        </w:tc>
        <w:tc>
          <w:tcPr>
            <w:tcW w:type="dxa" w:w="6760"/>
            <w:vAlign w:val="center"/>
          </w:tcPr>
          <w:p>
            <w:pPr>
              <w:spacing w:after="80" w:line="264" w:lineRule="auto"/>
            </w:pPr>
            <w:r>
              <w:rPr>
                <w:b w:val="0"/>
                <w:sz w:val="18"/>
              </w:rPr>
              <w:t>Dated valuations; budget versions; scenario assumptions; report snapshots</w:t>
            </w:r>
          </w:p>
        </w:tc>
      </w:tr>
    </w:tbl>
    <w:p>
      <w:pPr>
        <w:pStyle w:val="Heading2"/>
      </w:pPr>
      <w:r>
        <w:t>Rules for implementation and review</w:t>
      </w:r>
    </w:p>
    <w:p>
      <w:r>
        <w:t>BR-01: Net worth = included asset interests minus included liabilities at a stated date. A principal residence remains an asset even if it produces no rent. Expenses reduce cash; only unpaid amounts or debts are liabilities. Never classify all family spending as a liability.</w:t>
      </w:r>
    </w:p>
    <w:p>
      <w:r>
        <w:t>BR-02: Consolidation must select either a look-through value for an entity’s underlying assets/debts or an approved equity valuation for that entity, not both. Beneficiary status alone must not automatically assign a fixed ownership percentage. Cross-collateral debt requires an explicit allocation policy for property-level metrics.</w:t>
      </w:r>
    </w:p>
    <w:p>
      <w:r>
        <w:t>BR-03: Cash flow = cash receipts minus cash outgoings for the period. Internal transfers and loan proceeds are not operating income. Loan principal is a cash outflow but not interest expense. Depreciation is non-cash. Report cash flow, operating result and tax estimates separately.</w:t>
      </w:r>
    </w:p>
    <w:p>
      <w:r>
        <w:t>BR-04: LVR uses debt divided by an eligible collateral valuation. A zero/missing denominator returns unavailable, never zero risk. Label single-property and collateral-pool LVR separately. Display valuation date, debt date and allocation basis.</w:t>
      </w:r>
    </w:p>
    <w:p>
      <w:r>
        <w:t>BR-05: Arrears = due charges less allocated receipts and approved credits, adjusted for reversals. Future rent is not arrears. Keep refundable deposits/bonds separate from rent and obtain a validated handling policy before supporting them.</w:t>
      </w:r>
    </w:p>
    <w:p>
      <w:r>
        <w:t>BR-06: Use decimal money values with currency codes; define rounding at allocation boundaries so totals balance. Record effective dates separately from posting dates. Keep actual, forecast and manually estimated amounts visibly distinct. Multi-currency consolidation is deferred until an exchange-rate policy is approved.</w:t>
      </w:r>
    </w:p>
    <w:p>
      <w:r>
        <w:br w:type="page"/>
      </w:r>
    </w:p>
    <w:p>
      <w:pPr>
        <w:pStyle w:val="Heading1"/>
      </w:pPr>
      <w:r>
        <w:t>7. Workflows, architecture and integrations</w:t>
      </w:r>
    </w:p>
    <w:p>
      <w:pPr>
        <w:pStyle w:val="Heading2"/>
      </w:pPr>
      <w:r>
        <w:t>Onboard → validate → activate</w:t>
      </w:r>
    </w:p>
    <w:p>
      <w:r>
        <w:t>Owner creates entities and assets, imports opening balances and documents, checks ownership and debt links, then approves the baseline. Incomplete fields go into a review queue. Only validated obligations become eligible for automated reminders.</w:t>
      </w:r>
    </w:p>
    <w:p>
      <w:pPr>
        <w:pStyle w:val="Heading2"/>
      </w:pPr>
      <w:r>
        <w:t>Import → reconcile → notify</w:t>
      </w:r>
    </w:p>
    <w:p>
      <w:r>
        <w:t>Upload → file validation → duplicate detection → staged rows → proposed matches → human confirmation → ledger update → arrears recalculation → recipient/status recheck → approved reminder. Imported text is data, never an instruction to execute actions or disclose records.</w:t>
      </w:r>
    </w:p>
    <w:p>
      <w:pPr>
        <w:pStyle w:val="Heading2"/>
      </w:pPr>
      <w:r>
        <w:t>Quarterly review → snapshot → handover</w:t>
      </w:r>
    </w:p>
    <w:p>
      <w:r>
        <w:t>Owner reviews stale valuations, loan rates, renewals, subscriptions and budget variances; records decisions and creates a dated snapshot. An authorised family/reviewer account receives only its permitted view. Delegation and emergency access are explicit grants, not shared logins.</w:t>
      </w:r>
    </w:p>
    <w:p>
      <w:pPr>
        <w:pStyle w:val="Heading2"/>
      </w:pPr>
      <w:r>
        <w:t>Proposed architecture, not a mandated technology stack</w:t>
      </w:r>
    </w:p>
    <w:p>
      <w:r>
        <w:t>Use a modular web application, relational financial store, protected document storage and durable background-job queue. Centralise calculation and permission rules. Keep audit events, document provenance and reminder state independent of presentation screens. AI is an optional assisted-processing service, never the financial system of record.</w:t>
      </w:r>
    </w:p>
    <w:p>
      <w:r>
        <w:t>The conversation favours separate AWS accounts/servers. Proposed implementation: one versioned codebase and release artifact with isolated deployment configuration, databases and secrets. Avoid permanent household-specific code branches. Decide who owns patching, migrations, key recovery, monitoring and restore tests before deploying.</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9DE"/>
          <w:bottom w:val="single" w:sz="4" w:color="D5D9DE"/>
          <w:left w:val="single" w:sz="4" w:color="D5D9DE"/>
          <w:right w:val="single" w:sz="4" w:color="D5D9DE"/>
          <w:insideH w:val="single" w:sz="4" w:color="D5D9DE"/>
          <w:insideV w:val="single" w:sz="4" w:color="D5D9DE"/>
        </w:tblBorders>
      </w:tblPr>
      <w:tblGrid>
        <w:gridCol w:w="2100"/>
        <w:gridCol w:w="3200"/>
        <w:gridCol w:w="4060"/>
      </w:tblGrid>
      <w:tr>
        <w:trPr>
          <w:cantSplit/>
          <w:tblHeader/>
        </w:trPr>
        <w:tc>
          <w:tcPr>
            <w:tcW w:type="dxa" w:w="2100"/>
            <w:vAlign w:val="center"/>
            <w:shd w:fill="F2F4F7"/>
          </w:tcPr>
          <w:p>
            <w:pPr>
              <w:spacing w:after="80" w:line="264" w:lineRule="auto"/>
            </w:pPr>
            <w:r>
              <w:rPr>
                <w:b/>
                <w:sz w:val="18"/>
              </w:rPr>
              <w:t>Interface</w:t>
            </w:r>
          </w:p>
        </w:tc>
        <w:tc>
          <w:tcPr>
            <w:tcW w:type="dxa" w:w="3200"/>
            <w:vAlign w:val="center"/>
            <w:shd w:fill="F2F4F7"/>
          </w:tcPr>
          <w:p>
            <w:pPr>
              <w:spacing w:after="80" w:line="264" w:lineRule="auto"/>
            </w:pPr>
            <w:r>
              <w:rPr>
                <w:b/>
                <w:sz w:val="18"/>
              </w:rPr>
              <w:t>Initial approach</w:t>
            </w:r>
          </w:p>
        </w:tc>
        <w:tc>
          <w:tcPr>
            <w:tcW w:type="dxa" w:w="4060"/>
            <w:vAlign w:val="center"/>
            <w:shd w:fill="F2F4F7"/>
          </w:tcPr>
          <w:p>
            <w:pPr>
              <w:spacing w:after="80" w:line="264" w:lineRule="auto"/>
            </w:pPr>
            <w:r>
              <w:rPr>
                <w:b/>
                <w:sz w:val="18"/>
              </w:rPr>
              <w:t>Dependency / control</w:t>
            </w:r>
          </w:p>
        </w:tc>
      </w:tr>
      <w:tr>
        <w:trPr>
          <w:cantSplit/>
        </w:trPr>
        <w:tc>
          <w:tcPr>
            <w:tcW w:type="dxa" w:w="2100"/>
            <w:vAlign w:val="center"/>
          </w:tcPr>
          <w:p>
            <w:pPr>
              <w:spacing w:after="80" w:line="264" w:lineRule="auto"/>
            </w:pPr>
            <w:r>
              <w:rPr>
                <w:b w:val="0"/>
                <w:sz w:val="18"/>
              </w:rPr>
              <w:t>Bank transactions</w:t>
            </w:r>
          </w:p>
        </w:tc>
        <w:tc>
          <w:tcPr>
            <w:tcW w:type="dxa" w:w="3200"/>
            <w:vAlign w:val="center"/>
          </w:tcPr>
          <w:p>
            <w:pPr>
              <w:spacing w:after="80" w:line="264" w:lineRule="auto"/>
            </w:pPr>
            <w:r>
              <w:rPr>
                <w:b w:val="0"/>
                <w:sz w:val="18"/>
              </w:rPr>
              <w:t>Defined CSV first</w:t>
            </w:r>
          </w:p>
        </w:tc>
        <w:tc>
          <w:tcPr>
            <w:tcW w:type="dxa" w:w="4060"/>
            <w:vAlign w:val="center"/>
          </w:tcPr>
          <w:p>
            <w:pPr>
              <w:spacing w:after="80" w:line="264" w:lineRule="auto"/>
            </w:pPr>
            <w:r>
              <w:rPr>
                <w:b w:val="0"/>
                <w:sz w:val="18"/>
              </w:rPr>
              <w:t>Sample files; dates, sign and currency validation</w:t>
            </w:r>
          </w:p>
        </w:tc>
      </w:tr>
      <w:tr>
        <w:trPr>
          <w:cantSplit/>
        </w:trPr>
        <w:tc>
          <w:tcPr>
            <w:tcW w:type="dxa" w:w="2100"/>
            <w:vAlign w:val="center"/>
          </w:tcPr>
          <w:p>
            <w:pPr>
              <w:spacing w:after="80" w:line="264" w:lineRule="auto"/>
            </w:pPr>
            <w:r>
              <w:rPr>
                <w:b w:val="0"/>
                <w:sz w:val="18"/>
              </w:rPr>
              <w:t>Email / SMS</w:t>
            </w:r>
          </w:p>
        </w:tc>
        <w:tc>
          <w:tcPr>
            <w:tcW w:type="dxa" w:w="3200"/>
            <w:vAlign w:val="center"/>
          </w:tcPr>
          <w:p>
            <w:pPr>
              <w:spacing w:after="80" w:line="264" w:lineRule="auto"/>
            </w:pPr>
            <w:r>
              <w:rPr>
                <w:b w:val="0"/>
                <w:sz w:val="18"/>
              </w:rPr>
              <w:t>Email first; SMS later</w:t>
            </w:r>
          </w:p>
        </w:tc>
        <w:tc>
          <w:tcPr>
            <w:tcW w:type="dxa" w:w="4060"/>
            <w:vAlign w:val="center"/>
          </w:tcPr>
          <w:p>
            <w:pPr>
              <w:spacing w:after="80" w:line="264" w:lineRule="auto"/>
            </w:pPr>
            <w:r>
              <w:rPr>
                <w:b w:val="0"/>
                <w:sz w:val="18"/>
              </w:rPr>
              <w:t>Configured provider, consent, delivery events, cost cap</w:t>
            </w:r>
          </w:p>
        </w:tc>
      </w:tr>
      <w:tr>
        <w:trPr>
          <w:cantSplit/>
        </w:trPr>
        <w:tc>
          <w:tcPr>
            <w:tcW w:type="dxa" w:w="2100"/>
            <w:vAlign w:val="center"/>
          </w:tcPr>
          <w:p>
            <w:pPr>
              <w:spacing w:after="80" w:line="264" w:lineRule="auto"/>
            </w:pPr>
            <w:r>
              <w:rPr>
                <w:b w:val="0"/>
                <w:sz w:val="18"/>
              </w:rPr>
              <w:t>Document AI</w:t>
            </w:r>
          </w:p>
        </w:tc>
        <w:tc>
          <w:tcPr>
            <w:tcW w:type="dxa" w:w="3200"/>
            <w:vAlign w:val="center"/>
          </w:tcPr>
          <w:p>
            <w:pPr>
              <w:spacing w:after="80" w:line="264" w:lineRule="auto"/>
            </w:pPr>
            <w:r>
              <w:rPr>
                <w:b w:val="0"/>
                <w:sz w:val="18"/>
              </w:rPr>
              <w:t>Deferred assisted extraction</w:t>
            </w:r>
          </w:p>
        </w:tc>
        <w:tc>
          <w:tcPr>
            <w:tcW w:type="dxa" w:w="4060"/>
            <w:vAlign w:val="center"/>
          </w:tcPr>
          <w:p>
            <w:pPr>
              <w:spacing w:after="80" w:line="264" w:lineRule="auto"/>
            </w:pPr>
            <w:r>
              <w:rPr>
                <w:b w:val="0"/>
                <w:sz w:val="18"/>
              </w:rPr>
              <w:t>Provider/privacy approval; extraction benchmark</w:t>
            </w:r>
          </w:p>
        </w:tc>
      </w:tr>
      <w:tr>
        <w:trPr>
          <w:cantSplit/>
        </w:trPr>
        <w:tc>
          <w:tcPr>
            <w:tcW w:type="dxa" w:w="2100"/>
            <w:vAlign w:val="center"/>
          </w:tcPr>
          <w:p>
            <w:pPr>
              <w:spacing w:after="80" w:line="264" w:lineRule="auto"/>
            </w:pPr>
            <w:r>
              <w:rPr>
                <w:b w:val="0"/>
                <w:sz w:val="18"/>
              </w:rPr>
              <w:t>Property valuations</w:t>
            </w:r>
          </w:p>
        </w:tc>
        <w:tc>
          <w:tcPr>
            <w:tcW w:type="dxa" w:w="3200"/>
            <w:vAlign w:val="center"/>
          </w:tcPr>
          <w:p>
            <w:pPr>
              <w:spacing w:after="80" w:line="264" w:lineRule="auto"/>
            </w:pPr>
            <w:r>
              <w:rPr>
                <w:b w:val="0"/>
                <w:sz w:val="18"/>
              </w:rPr>
              <w:t>Manual dated entry</w:t>
            </w:r>
          </w:p>
        </w:tc>
        <w:tc>
          <w:tcPr>
            <w:tcW w:type="dxa" w:w="4060"/>
            <w:vAlign w:val="center"/>
          </w:tcPr>
          <w:p>
            <w:pPr>
              <w:spacing w:after="80" w:line="264" w:lineRule="auto"/>
            </w:pPr>
            <w:r>
              <w:rPr>
                <w:b w:val="0"/>
                <w:sz w:val="18"/>
              </w:rPr>
              <w:t>External data rights and provider scope unresolved</w:t>
            </w:r>
          </w:p>
        </w:tc>
      </w:tr>
      <w:tr>
        <w:trPr>
          <w:cantSplit/>
        </w:trPr>
        <w:tc>
          <w:tcPr>
            <w:tcW w:type="dxa" w:w="2100"/>
            <w:vAlign w:val="center"/>
          </w:tcPr>
          <w:p>
            <w:pPr>
              <w:spacing w:after="80" w:line="264" w:lineRule="auto"/>
            </w:pPr>
            <w:r>
              <w:rPr>
                <w:b w:val="0"/>
                <w:sz w:val="18"/>
              </w:rPr>
              <w:t>Construction / accounting</w:t>
            </w:r>
          </w:p>
        </w:tc>
        <w:tc>
          <w:tcPr>
            <w:tcW w:type="dxa" w:w="3200"/>
            <w:vAlign w:val="center"/>
          </w:tcPr>
          <w:p>
            <w:pPr>
              <w:spacing w:after="80" w:line="264" w:lineRule="auto"/>
            </w:pPr>
            <w:r>
              <w:rPr>
                <w:b w:val="0"/>
                <w:sz w:val="18"/>
              </w:rPr>
              <w:t>Export first</w:t>
            </w:r>
          </w:p>
        </w:tc>
        <w:tc>
          <w:tcPr>
            <w:tcW w:type="dxa" w:w="4060"/>
            <w:vAlign w:val="center"/>
          </w:tcPr>
          <w:p>
            <w:pPr>
              <w:spacing w:after="80" w:line="264" w:lineRule="auto"/>
            </w:pPr>
            <w:r>
              <w:rPr>
                <w:b w:val="0"/>
                <w:sz w:val="18"/>
              </w:rPr>
              <w:t>API schema and double-count prevention later</w:t>
            </w:r>
          </w:p>
        </w:tc>
      </w:tr>
      <w:tr>
        <w:trPr>
          <w:cantSplit/>
        </w:trPr>
        <w:tc>
          <w:tcPr>
            <w:tcW w:type="dxa" w:w="2100"/>
            <w:vAlign w:val="center"/>
          </w:tcPr>
          <w:p>
            <w:pPr>
              <w:spacing w:after="80" w:line="264" w:lineRule="auto"/>
            </w:pPr>
            <w:r>
              <w:rPr>
                <w:b w:val="0"/>
                <w:sz w:val="18"/>
              </w:rPr>
              <w:t>Personal backup drive</w:t>
            </w:r>
          </w:p>
        </w:tc>
        <w:tc>
          <w:tcPr>
            <w:tcW w:type="dxa" w:w="3200"/>
            <w:vAlign w:val="center"/>
          </w:tcPr>
          <w:p>
            <w:pPr>
              <w:spacing w:after="80" w:line="264" w:lineRule="auto"/>
            </w:pPr>
            <w:r>
              <w:rPr>
                <w:b w:val="0"/>
                <w:sz w:val="18"/>
              </w:rPr>
              <w:t>Optional, not primary</w:t>
            </w:r>
          </w:p>
        </w:tc>
        <w:tc>
          <w:tcPr>
            <w:tcW w:type="dxa" w:w="4060"/>
            <w:vAlign w:val="center"/>
          </w:tcPr>
          <w:p>
            <w:pPr>
              <w:spacing w:after="80" w:line="264" w:lineRule="auto"/>
            </w:pPr>
            <w:r>
              <w:rPr>
                <w:b w:val="0"/>
                <w:sz w:val="18"/>
              </w:rPr>
              <w:t>Encryption, owner approval and tested recovery</w:t>
            </w:r>
          </w:p>
        </w:tc>
      </w:tr>
    </w:tbl>
    <w:p>
      <w:r>
        <w:br w:type="page"/>
      </w:r>
    </w:p>
    <w:p>
      <w:pPr>
        <w:pStyle w:val="Heading1"/>
      </w:pPr>
      <w:r>
        <w:t>8. Security, reliability and quality requirements</w:t>
      </w:r>
    </w:p>
    <w:p>
      <w:r>
        <w:t>The following are analyst-proposed acceptance targets. Validate them against pilot size, hosting cost and operational ownership before baselining.</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9DE"/>
          <w:bottom w:val="single" w:sz="4" w:color="D5D9DE"/>
          <w:left w:val="single" w:sz="4" w:color="D5D9DE"/>
          <w:right w:val="single" w:sz="4" w:color="D5D9DE"/>
          <w:insideH w:val="single" w:sz="4" w:color="D5D9DE"/>
          <w:insideV w:val="single" w:sz="4" w:color="D5D9DE"/>
        </w:tblBorders>
      </w:tblPr>
      <w:tblGrid>
        <w:gridCol w:w="1350"/>
        <w:gridCol w:w="8010"/>
      </w:tblGrid>
      <w:tr>
        <w:trPr>
          <w:cantSplit/>
          <w:tblHeader/>
        </w:trPr>
        <w:tc>
          <w:tcPr>
            <w:tcW w:type="dxa" w:w="1350"/>
            <w:vAlign w:val="center"/>
            <w:shd w:fill="F2F4F7"/>
          </w:tcPr>
          <w:p>
            <w:pPr>
              <w:spacing w:after="80" w:line="264" w:lineRule="auto"/>
            </w:pPr>
            <w:r>
              <w:rPr>
                <w:b/>
                <w:sz w:val="18"/>
              </w:rPr>
              <w:t>ID</w:t>
            </w:r>
          </w:p>
        </w:tc>
        <w:tc>
          <w:tcPr>
            <w:tcW w:type="dxa" w:w="8010"/>
            <w:vAlign w:val="center"/>
            <w:shd w:fill="F2F4F7"/>
          </w:tcPr>
          <w:p>
            <w:pPr>
              <w:spacing w:after="80" w:line="264" w:lineRule="auto"/>
            </w:pPr>
            <w:r>
              <w:rPr>
                <w:b/>
                <w:sz w:val="18"/>
              </w:rPr>
              <w:t>Requirement / testable target</w:t>
            </w:r>
          </w:p>
        </w:tc>
      </w:tr>
      <w:tr>
        <w:trPr>
          <w:cantSplit/>
        </w:trPr>
        <w:tc>
          <w:tcPr>
            <w:tcW w:type="dxa" w:w="1350"/>
            <w:vAlign w:val="center"/>
          </w:tcPr>
          <w:p>
            <w:pPr>
              <w:spacing w:after="80" w:line="264" w:lineRule="auto"/>
            </w:pPr>
            <w:r>
              <w:rPr>
                <w:b w:val="0"/>
                <w:sz w:val="18"/>
              </w:rPr>
              <w:t>NFR-01</w:t>
            </w:r>
          </w:p>
        </w:tc>
        <w:tc>
          <w:tcPr>
            <w:tcW w:type="dxa" w:w="8010"/>
            <w:vAlign w:val="center"/>
          </w:tcPr>
          <w:p>
            <w:pPr>
              <w:spacing w:after="80" w:line="264" w:lineRule="auto"/>
            </w:pPr>
            <w:r>
              <w:rPr>
                <w:b w:val="0"/>
                <w:sz w:val="18"/>
              </w:rPr>
              <w:t>Require MFA for privileged users. Deny by default; enforce record/entity permissions server-side across views, search, jobs, downloads and exports. Test cross-user and cross-deployment isolation.</w:t>
            </w:r>
          </w:p>
        </w:tc>
      </w:tr>
      <w:tr>
        <w:trPr>
          <w:cantSplit/>
        </w:trPr>
        <w:tc>
          <w:tcPr>
            <w:tcW w:type="dxa" w:w="1350"/>
            <w:vAlign w:val="center"/>
          </w:tcPr>
          <w:p>
            <w:pPr>
              <w:spacing w:after="80" w:line="264" w:lineRule="auto"/>
            </w:pPr>
            <w:r>
              <w:rPr>
                <w:b w:val="0"/>
                <w:sz w:val="18"/>
              </w:rPr>
              <w:t>NFR-02</w:t>
            </w:r>
          </w:p>
        </w:tc>
        <w:tc>
          <w:tcPr>
            <w:tcW w:type="dxa" w:w="8010"/>
            <w:vAlign w:val="center"/>
          </w:tcPr>
          <w:p>
            <w:pPr>
              <w:spacing w:after="80" w:line="264" w:lineRule="auto"/>
            </w:pPr>
            <w:r>
              <w:rPr>
                <w:b w:val="0"/>
                <w:sz w:val="18"/>
              </w:rPr>
              <w:t>Encrypt transport, stored documents and backups. Keep secrets in a managed secret store. No raw bank credentials or family password lists in ordinary records, prompts or logs.</w:t>
            </w:r>
          </w:p>
        </w:tc>
      </w:tr>
      <w:tr>
        <w:trPr>
          <w:cantSplit/>
        </w:trPr>
        <w:tc>
          <w:tcPr>
            <w:tcW w:type="dxa" w:w="1350"/>
            <w:vAlign w:val="center"/>
          </w:tcPr>
          <w:p>
            <w:pPr>
              <w:spacing w:after="80" w:line="264" w:lineRule="auto"/>
            </w:pPr>
            <w:r>
              <w:rPr>
                <w:b w:val="0"/>
                <w:sz w:val="18"/>
              </w:rPr>
              <w:t>NFR-03</w:t>
            </w:r>
          </w:p>
        </w:tc>
        <w:tc>
          <w:tcPr>
            <w:tcW w:type="dxa" w:w="8010"/>
            <w:vAlign w:val="center"/>
          </w:tcPr>
          <w:p>
            <w:pPr>
              <w:spacing w:after="80" w:line="264" w:lineRule="auto"/>
            </w:pPr>
            <w:r>
              <w:rPr>
                <w:b w:val="0"/>
                <w:sz w:val="18"/>
              </w:rPr>
              <w:t>Log edits, approvals, access grants, exports and notification events with actor, time and affected record. Protect logs from ordinary-user modification; log access itself is restricted.</w:t>
            </w:r>
          </w:p>
        </w:tc>
      </w:tr>
      <w:tr>
        <w:trPr>
          <w:cantSplit/>
        </w:trPr>
        <w:tc>
          <w:tcPr>
            <w:tcW w:type="dxa" w:w="1350"/>
            <w:vAlign w:val="center"/>
          </w:tcPr>
          <w:p>
            <w:pPr>
              <w:spacing w:after="80" w:line="264" w:lineRule="auto"/>
            </w:pPr>
            <w:r>
              <w:rPr>
                <w:b w:val="0"/>
                <w:sz w:val="18"/>
              </w:rPr>
              <w:t>NFR-04</w:t>
            </w:r>
          </w:p>
        </w:tc>
        <w:tc>
          <w:tcPr>
            <w:tcW w:type="dxa" w:w="8010"/>
            <w:vAlign w:val="center"/>
          </w:tcPr>
          <w:p>
            <w:pPr>
              <w:spacing w:after="80" w:line="264" w:lineRule="auto"/>
            </w:pPr>
            <w:r>
              <w:rPr>
                <w:b w:val="0"/>
                <w:sz w:val="18"/>
              </w:rPr>
              <w:t>Proposed RPO 24 hours and RTO 8 hours for the pilot. Daily automated backups; complete a restore test before go-live and quarterly thereafter. Alert an operator on failures.</w:t>
            </w:r>
          </w:p>
        </w:tc>
      </w:tr>
      <w:tr>
        <w:trPr>
          <w:cantSplit/>
        </w:trPr>
        <w:tc>
          <w:tcPr>
            <w:tcW w:type="dxa" w:w="1350"/>
            <w:vAlign w:val="center"/>
          </w:tcPr>
          <w:p>
            <w:pPr>
              <w:spacing w:after="80" w:line="264" w:lineRule="auto"/>
            </w:pPr>
            <w:r>
              <w:rPr>
                <w:b w:val="0"/>
                <w:sz w:val="18"/>
              </w:rPr>
              <w:t>NFR-05</w:t>
            </w:r>
          </w:p>
        </w:tc>
        <w:tc>
          <w:tcPr>
            <w:tcW w:type="dxa" w:w="8010"/>
            <w:vAlign w:val="center"/>
          </w:tcPr>
          <w:p>
            <w:pPr>
              <w:spacing w:after="80" w:line="264" w:lineRule="auto"/>
            </w:pPr>
            <w:r>
              <w:rPr>
                <w:b w:val="0"/>
                <w:sz w:val="18"/>
              </w:rPr>
              <w:t>Proposed 99.5% monthly availability excluding agreed maintenance; notification jobs start within 5 minutes of scheduled time. Provider delivery is monitored, not guaranteed.</w:t>
            </w:r>
          </w:p>
        </w:tc>
      </w:tr>
      <w:tr>
        <w:trPr>
          <w:cantSplit/>
        </w:trPr>
        <w:tc>
          <w:tcPr>
            <w:tcW w:type="dxa" w:w="1350"/>
            <w:vAlign w:val="center"/>
          </w:tcPr>
          <w:p>
            <w:pPr>
              <w:spacing w:after="80" w:line="264" w:lineRule="auto"/>
            </w:pPr>
            <w:r>
              <w:rPr>
                <w:b w:val="0"/>
                <w:sz w:val="18"/>
              </w:rPr>
              <w:t>NFR-06</w:t>
            </w:r>
          </w:p>
        </w:tc>
        <w:tc>
          <w:tcPr>
            <w:tcW w:type="dxa" w:w="8010"/>
            <w:vAlign w:val="center"/>
          </w:tcPr>
          <w:p>
            <w:pPr>
              <w:spacing w:after="80" w:line="264" w:lineRule="auto"/>
            </w:pPr>
            <w:r>
              <w:rPr>
                <w:b w:val="0"/>
                <w:sz w:val="18"/>
              </w:rPr>
              <w:t>Pilot benchmark: 5 concurrent users, 50 properties, 250 leases and 100,000 transactions per deployment. Common read screens: p95 under 3 seconds; 10,000-row CSV staging under 2 minutes.</w:t>
            </w:r>
          </w:p>
        </w:tc>
      </w:tr>
      <w:tr>
        <w:trPr>
          <w:cantSplit/>
        </w:trPr>
        <w:tc>
          <w:tcPr>
            <w:tcW w:type="dxa" w:w="1350"/>
            <w:vAlign w:val="center"/>
          </w:tcPr>
          <w:p>
            <w:pPr>
              <w:spacing w:after="80" w:line="264" w:lineRule="auto"/>
            </w:pPr>
            <w:r>
              <w:rPr>
                <w:b w:val="0"/>
                <w:sz w:val="18"/>
              </w:rPr>
              <w:t>NFR-07</w:t>
            </w:r>
          </w:p>
        </w:tc>
        <w:tc>
          <w:tcPr>
            <w:tcW w:type="dxa" w:w="8010"/>
            <w:vAlign w:val="center"/>
          </w:tcPr>
          <w:p>
            <w:pPr>
              <w:spacing w:after="80" w:line="264" w:lineRule="auto"/>
            </w:pPr>
            <w:r>
              <w:rPr>
                <w:b w:val="0"/>
                <w:sz w:val="18"/>
              </w:rPr>
              <w:t>Responsive mobile/desktop UI, keyboard access, labelled fields, clear validation and no colour-only statuses. Unicode text supported. Accessible design target: WCAG 2.2 AA, not a certification claim.</w:t>
            </w:r>
          </w:p>
        </w:tc>
      </w:tr>
      <w:tr>
        <w:trPr>
          <w:cantSplit/>
        </w:trPr>
        <w:tc>
          <w:tcPr>
            <w:tcW w:type="dxa" w:w="1350"/>
            <w:vAlign w:val="center"/>
          </w:tcPr>
          <w:p>
            <w:pPr>
              <w:spacing w:after="80" w:line="264" w:lineRule="auto"/>
            </w:pPr>
            <w:r>
              <w:rPr>
                <w:b w:val="0"/>
                <w:sz w:val="18"/>
              </w:rPr>
              <w:t>NFR-08</w:t>
            </w:r>
          </w:p>
        </w:tc>
        <w:tc>
          <w:tcPr>
            <w:tcW w:type="dxa" w:w="8010"/>
            <w:vAlign w:val="center"/>
          </w:tcPr>
          <w:p>
            <w:pPr>
              <w:spacing w:after="80" w:line="264" w:lineRule="auto"/>
            </w:pPr>
            <w:r>
              <w:rPr>
                <w:b w:val="0"/>
                <w:sz w:val="18"/>
              </w:rPr>
              <w:t>Define retention, deletion, export, processor access and data region before production. Never send unapproved financial documents to a model. Test malicious document instructions and unauthorised retrieval.</w:t>
            </w:r>
          </w:p>
        </w:tc>
      </w:tr>
    </w:tbl>
    <w:p>
      <w:pPr>
        <w:pStyle w:val="Heading2"/>
      </w:pPr>
      <w:r>
        <w:t>Operational ownership</w:t>
      </w:r>
    </w:p>
    <w:p>
      <w:r>
        <w:t>Nominate one business data owner and one technical operator per deployment. Runbooks must cover failed imports, false arrears, stuck reminders, revoked access, lost keys, rollback and restoration. Sensitive emergency access requires explicit approval, a time limit and an audit trail. Notification failures must be visible, not silently retried indefinitely.</w:t>
      </w:r>
    </w:p>
    <w:p>
      <w:r>
        <w:br w:type="page"/>
      </w:r>
    </w:p>
    <w:p>
      <w:pPr>
        <w:pStyle w:val="Heading1"/>
      </w:pPr>
      <w:r>
        <w:t>9. Delivery plan, validation and release gates</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9DE"/>
          <w:bottom w:val="single" w:sz="4" w:color="D5D9DE"/>
          <w:left w:val="single" w:sz="4" w:color="D5D9DE"/>
          <w:right w:val="single" w:sz="4" w:color="D5D9DE"/>
          <w:insideH w:val="single" w:sz="4" w:color="D5D9DE"/>
          <w:insideV w:val="single" w:sz="4" w:color="D5D9DE"/>
        </w:tblBorders>
      </w:tblPr>
      <w:tblGrid>
        <w:gridCol w:w="1800"/>
        <w:gridCol w:w="3500"/>
        <w:gridCol w:w="4060"/>
      </w:tblGrid>
      <w:tr>
        <w:trPr>
          <w:cantSplit/>
          <w:tblHeader/>
        </w:trPr>
        <w:tc>
          <w:tcPr>
            <w:tcW w:type="dxa" w:w="1800"/>
            <w:vAlign w:val="center"/>
            <w:shd w:fill="F2F4F7"/>
          </w:tcPr>
          <w:p>
            <w:pPr>
              <w:spacing w:after="80" w:line="264" w:lineRule="auto"/>
            </w:pPr>
            <w:r>
              <w:rPr>
                <w:b/>
                <w:sz w:val="18"/>
              </w:rPr>
              <w:t>Stage</w:t>
            </w:r>
          </w:p>
        </w:tc>
        <w:tc>
          <w:tcPr>
            <w:tcW w:type="dxa" w:w="3500"/>
            <w:vAlign w:val="center"/>
            <w:shd w:fill="F2F4F7"/>
          </w:tcPr>
          <w:p>
            <w:pPr>
              <w:spacing w:after="80" w:line="264" w:lineRule="auto"/>
            </w:pPr>
            <w:r>
              <w:rPr>
                <w:b/>
                <w:sz w:val="18"/>
              </w:rPr>
              <w:t>Deliverable</w:t>
            </w:r>
          </w:p>
        </w:tc>
        <w:tc>
          <w:tcPr>
            <w:tcW w:type="dxa" w:w="4060"/>
            <w:vAlign w:val="center"/>
            <w:shd w:fill="F2F4F7"/>
          </w:tcPr>
          <w:p>
            <w:pPr>
              <w:spacing w:after="80" w:line="264" w:lineRule="auto"/>
            </w:pPr>
            <w:r>
              <w:rPr>
                <w:b/>
                <w:sz w:val="18"/>
              </w:rPr>
              <w:t>Exit gate</w:t>
            </w:r>
          </w:p>
        </w:tc>
      </w:tr>
      <w:tr>
        <w:trPr>
          <w:cantSplit/>
        </w:trPr>
        <w:tc>
          <w:tcPr>
            <w:tcW w:type="dxa" w:w="1800"/>
            <w:vAlign w:val="center"/>
          </w:tcPr>
          <w:p>
            <w:pPr>
              <w:spacing w:after="80" w:line="264" w:lineRule="auto"/>
            </w:pPr>
            <w:r>
              <w:rPr>
                <w:b w:val="0"/>
                <w:sz w:val="18"/>
              </w:rPr>
              <w:t>Discovery</w:t>
            </w:r>
          </w:p>
        </w:tc>
        <w:tc>
          <w:tcPr>
            <w:tcW w:type="dxa" w:w="3500"/>
            <w:vAlign w:val="center"/>
          </w:tcPr>
          <w:p>
            <w:pPr>
              <w:spacing w:after="80" w:line="264" w:lineRule="auto"/>
            </w:pPr>
            <w:r>
              <w:rPr>
                <w:b w:val="0"/>
                <w:sz w:val="18"/>
              </w:rPr>
              <w:t>Approved scope, glossary and sample records</w:t>
            </w:r>
          </w:p>
        </w:tc>
        <w:tc>
          <w:tcPr>
            <w:tcW w:type="dxa" w:w="4060"/>
            <w:vAlign w:val="center"/>
          </w:tcPr>
          <w:p>
            <w:pPr>
              <w:spacing w:after="80" w:line="264" w:lineRule="auto"/>
            </w:pPr>
            <w:r>
              <w:rPr>
                <w:b w:val="0"/>
                <w:sz w:val="18"/>
              </w:rPr>
              <w:t>Resolve blocking decisions below</w:t>
            </w:r>
          </w:p>
        </w:tc>
      </w:tr>
      <w:tr>
        <w:trPr>
          <w:cantSplit/>
        </w:trPr>
        <w:tc>
          <w:tcPr>
            <w:tcW w:type="dxa" w:w="1800"/>
            <w:vAlign w:val="center"/>
          </w:tcPr>
          <w:p>
            <w:pPr>
              <w:spacing w:after="80" w:line="264" w:lineRule="auto"/>
            </w:pPr>
            <w:r>
              <w:rPr>
                <w:b w:val="0"/>
                <w:sz w:val="18"/>
              </w:rPr>
              <w:t>Prototype</w:t>
            </w:r>
          </w:p>
        </w:tc>
        <w:tc>
          <w:tcPr>
            <w:tcW w:type="dxa" w:w="3500"/>
            <w:vAlign w:val="center"/>
          </w:tcPr>
          <w:p>
            <w:pPr>
              <w:spacing w:after="80" w:line="264" w:lineRule="auto"/>
            </w:pPr>
            <w:r>
              <w:rPr>
                <w:b w:val="0"/>
                <w:sz w:val="18"/>
              </w:rPr>
              <w:t>Property/lease/obligation journey with synthetic data</w:t>
            </w:r>
          </w:p>
        </w:tc>
        <w:tc>
          <w:tcPr>
            <w:tcW w:type="dxa" w:w="4060"/>
            <w:vAlign w:val="center"/>
          </w:tcPr>
          <w:p>
            <w:pPr>
              <w:spacing w:after="80" w:line="264" w:lineRule="auto"/>
            </w:pPr>
            <w:r>
              <w:rPr>
                <w:b w:val="0"/>
                <w:sz w:val="18"/>
              </w:rPr>
              <w:t>Owner and delegate review; no production claims</w:t>
            </w:r>
          </w:p>
        </w:tc>
      </w:tr>
      <w:tr>
        <w:trPr>
          <w:cantSplit/>
        </w:trPr>
        <w:tc>
          <w:tcPr>
            <w:tcW w:type="dxa" w:w="1800"/>
            <w:vAlign w:val="center"/>
          </w:tcPr>
          <w:p>
            <w:pPr>
              <w:spacing w:after="80" w:line="264" w:lineRule="auto"/>
            </w:pPr>
            <w:r>
              <w:rPr>
                <w:b w:val="0"/>
                <w:sz w:val="18"/>
              </w:rPr>
              <w:t>MVP build</w:t>
            </w:r>
          </w:p>
        </w:tc>
        <w:tc>
          <w:tcPr>
            <w:tcW w:type="dxa" w:w="3500"/>
            <w:vAlign w:val="center"/>
          </w:tcPr>
          <w:p>
            <w:pPr>
              <w:spacing w:after="80" w:line="264" w:lineRule="auto"/>
            </w:pPr>
            <w:r>
              <w:rPr>
                <w:b w:val="0"/>
                <w:sz w:val="18"/>
              </w:rPr>
              <w:t>FR-01–09 plus security and audit controls</w:t>
            </w:r>
          </w:p>
        </w:tc>
        <w:tc>
          <w:tcPr>
            <w:tcW w:type="dxa" w:w="4060"/>
            <w:vAlign w:val="center"/>
          </w:tcPr>
          <w:p>
            <w:pPr>
              <w:spacing w:after="80" w:line="264" w:lineRule="auto"/>
            </w:pPr>
            <w:r>
              <w:rPr>
                <w:b w:val="0"/>
                <w:sz w:val="18"/>
              </w:rPr>
              <w:t>Automated tests and reconciliation pass</w:t>
            </w:r>
          </w:p>
        </w:tc>
      </w:tr>
      <w:tr>
        <w:trPr>
          <w:cantSplit/>
        </w:trPr>
        <w:tc>
          <w:tcPr>
            <w:tcW w:type="dxa" w:w="1800"/>
            <w:vAlign w:val="center"/>
          </w:tcPr>
          <w:p>
            <w:pPr>
              <w:spacing w:after="80" w:line="264" w:lineRule="auto"/>
            </w:pPr>
            <w:r>
              <w:rPr>
                <w:b w:val="0"/>
                <w:sz w:val="18"/>
              </w:rPr>
              <w:t>Private pilot</w:t>
            </w:r>
          </w:p>
        </w:tc>
        <w:tc>
          <w:tcPr>
            <w:tcW w:type="dxa" w:w="3500"/>
            <w:vAlign w:val="center"/>
          </w:tcPr>
          <w:p>
            <w:pPr>
              <w:spacing w:after="80" w:line="264" w:lineRule="auto"/>
            </w:pPr>
            <w:r>
              <w:rPr>
                <w:b w:val="0"/>
                <w:sz w:val="18"/>
              </w:rPr>
              <w:t>Limited portfolio with parallel manual checking</w:t>
            </w:r>
          </w:p>
        </w:tc>
        <w:tc>
          <w:tcPr>
            <w:tcW w:type="dxa" w:w="4060"/>
            <w:vAlign w:val="center"/>
          </w:tcPr>
          <w:p>
            <w:pPr>
              <w:spacing w:after="80" w:line="264" w:lineRule="auto"/>
            </w:pPr>
            <w:r>
              <w:rPr>
                <w:b w:val="0"/>
                <w:sz w:val="18"/>
              </w:rPr>
              <w:t>Two complete rent cycles and renewal tests pass</w:t>
            </w:r>
          </w:p>
        </w:tc>
      </w:tr>
      <w:tr>
        <w:trPr>
          <w:cantSplit/>
        </w:trPr>
        <w:tc>
          <w:tcPr>
            <w:tcW w:type="dxa" w:w="1800"/>
            <w:vAlign w:val="center"/>
          </w:tcPr>
          <w:p>
            <w:pPr>
              <w:spacing w:after="80" w:line="264" w:lineRule="auto"/>
            </w:pPr>
            <w:r>
              <w:rPr>
                <w:b w:val="0"/>
                <w:sz w:val="18"/>
              </w:rPr>
              <w:t>Expansion</w:t>
            </w:r>
          </w:p>
        </w:tc>
        <w:tc>
          <w:tcPr>
            <w:tcW w:type="dxa" w:w="3500"/>
            <w:vAlign w:val="center"/>
          </w:tcPr>
          <w:p>
            <w:pPr>
              <w:spacing w:after="80" w:line="264" w:lineRule="auto"/>
            </w:pPr>
            <w:r>
              <w:rPr>
                <w:b w:val="0"/>
                <w:sz w:val="18"/>
              </w:rPr>
              <w:t>FR-10–12 in separately accepted increments</w:t>
            </w:r>
          </w:p>
        </w:tc>
        <w:tc>
          <w:tcPr>
            <w:tcW w:type="dxa" w:w="4060"/>
            <w:vAlign w:val="center"/>
          </w:tcPr>
          <w:p>
            <w:pPr>
              <w:spacing w:after="80" w:line="264" w:lineRule="auto"/>
            </w:pPr>
            <w:r>
              <w:rPr>
                <w:b w:val="0"/>
                <w:sz w:val="18"/>
              </w:rPr>
              <w:t>Benchmarked accuracy and scoped integration approval</w:t>
            </w:r>
          </w:p>
        </w:tc>
      </w:tr>
    </w:tbl>
    <w:p>
      <w:pPr>
        <w:pStyle w:val="Heading2"/>
      </w:pPr>
      <w:r>
        <w:t>Mandatory acceptance scenarios</w:t>
      </w:r>
    </w:p>
    <w:p>
      <w:r>
        <w:t>UAT-01: Joint ownership, a corporate trustee, a home and a two-property secured loan consolidate without duplicate assets/debt. UAT-02: Partial/advance/combined rent payments, refunds and duplicate CSV imports reconcile exactly. UAT-03: Paid or disputed obligations suppress queued messages; retries produce no duplicates.</w:t>
      </w:r>
    </w:p>
    <w:p>
      <w:r>
        <w:t>UAT-04: A delegate cannot retrieve restricted totals through direct URLs, exports, search or document links. UAT-05: Dashboard cash flow and net worth match independently calculated fixtures. UAT-06: Restore the deployment from backup and reconcile record counts and sample balances. UAT-07: Stale valuations, missing due dates and unmatched transactions are clearly flagged.</w:t>
      </w:r>
    </w:p>
    <w:p>
      <w:pPr>
        <w:pStyle w:val="Heading2"/>
      </w:pPr>
      <w:r>
        <w:t>Release decision</w:t>
      </w:r>
    </w:p>
    <w:p>
      <w:r>
        <w:t>Go-live requires owner sign-off of the opening dataset, all financial and permission tests passing, no unresolved critical/high security defects, approved recipients/templates, a tested restore and a named support owner. AI extraction and automated tenant communications stay disabled until separately approved. The transcript’s two-to-four-week remark is not a delivery commitment.</w:t>
      </w:r>
    </w:p>
    <w:p>
      <w:pPr>
        <w:pStyle w:val="Heading2"/>
      </w:pPr>
      <w:r>
        <w:t>Estimation inputs and recurring costs</w:t>
      </w:r>
    </w:p>
    <w:p>
      <w:r>
        <w:t>Estimate after agreeing screens, import formats, deployment count, sample document quality, migration volume and acceptance scope. Cost the database, storage, backups, email/SMS usage, AI calls, monitoring and support separately. No provider prices or fixed build quote are asserted here. Use a spend cap and usage dashboard before enabling paid integrations.</w:t>
      </w:r>
    </w:p>
    <w:p>
      <w:r>
        <w:br w:type="page"/>
      </w:r>
    </w:p>
    <w:p>
      <w:pPr>
        <w:pStyle w:val="Heading1"/>
      </w:pPr>
      <w:r>
        <w:t>10. Decisions, assumptions and traceability</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9DE"/>
          <w:bottom w:val="single" w:sz="4" w:color="D5D9DE"/>
          <w:left w:val="single" w:sz="4" w:color="D5D9DE"/>
          <w:right w:val="single" w:sz="4" w:color="D5D9DE"/>
          <w:insideH w:val="single" w:sz="4" w:color="D5D9DE"/>
          <w:insideV w:val="single" w:sz="4" w:color="D5D9DE"/>
        </w:tblBorders>
      </w:tblPr>
      <w:tblGrid>
        <w:gridCol w:w="4850"/>
        <w:gridCol w:w="2300"/>
        <w:gridCol w:w="2210"/>
      </w:tblGrid>
      <w:tr>
        <w:trPr>
          <w:cantSplit/>
          <w:tblHeader/>
        </w:trPr>
        <w:tc>
          <w:tcPr>
            <w:tcW w:type="dxa" w:w="4850"/>
            <w:vAlign w:val="center"/>
            <w:shd w:fill="F2F4F7"/>
          </w:tcPr>
          <w:p>
            <w:pPr>
              <w:spacing w:after="80" w:line="264" w:lineRule="auto"/>
            </w:pPr>
            <w:r>
              <w:rPr>
                <w:b/>
                <w:sz w:val="18"/>
              </w:rPr>
              <w:t>Decision</w:t>
            </w:r>
          </w:p>
        </w:tc>
        <w:tc>
          <w:tcPr>
            <w:tcW w:type="dxa" w:w="2300"/>
            <w:vAlign w:val="center"/>
            <w:shd w:fill="F2F4F7"/>
          </w:tcPr>
          <w:p>
            <w:pPr>
              <w:spacing w:after="80" w:line="264" w:lineRule="auto"/>
            </w:pPr>
            <w:r>
              <w:rPr>
                <w:b/>
                <w:sz w:val="18"/>
              </w:rPr>
              <w:t>Proposed owner</w:t>
            </w:r>
          </w:p>
        </w:tc>
        <w:tc>
          <w:tcPr>
            <w:tcW w:type="dxa" w:w="2210"/>
            <w:vAlign w:val="center"/>
            <w:shd w:fill="F2F4F7"/>
          </w:tcPr>
          <w:p>
            <w:pPr>
              <w:spacing w:after="80" w:line="264" w:lineRule="auto"/>
            </w:pPr>
            <w:r>
              <w:rPr>
                <w:b/>
                <w:sz w:val="18"/>
              </w:rPr>
              <w:t>Needed before</w:t>
            </w:r>
          </w:p>
        </w:tc>
      </w:tr>
      <w:tr>
        <w:trPr>
          <w:cantSplit/>
        </w:trPr>
        <w:tc>
          <w:tcPr>
            <w:tcW w:type="dxa" w:w="4850"/>
            <w:vAlign w:val="center"/>
          </w:tcPr>
          <w:p>
            <w:pPr>
              <w:spacing w:after="80" w:line="264" w:lineRule="auto"/>
            </w:pPr>
            <w:r>
              <w:rPr>
                <w:b w:val="0"/>
                <w:sz w:val="18"/>
              </w:rPr>
              <w:t>Private deployments or shared SaaS? Who supports each?</w:t>
            </w:r>
          </w:p>
        </w:tc>
        <w:tc>
          <w:tcPr>
            <w:tcW w:type="dxa" w:w="2300"/>
            <w:vAlign w:val="center"/>
          </w:tcPr>
          <w:p>
            <w:pPr>
              <w:spacing w:after="80" w:line="264" w:lineRule="auto"/>
            </w:pPr>
            <w:r>
              <w:rPr>
                <w:b w:val="0"/>
                <w:sz w:val="18"/>
              </w:rPr>
              <w:t>Owner + architect</w:t>
            </w:r>
          </w:p>
        </w:tc>
        <w:tc>
          <w:tcPr>
            <w:tcW w:type="dxa" w:w="2210"/>
            <w:vAlign w:val="center"/>
          </w:tcPr>
          <w:p>
            <w:pPr>
              <w:spacing w:after="80" w:line="264" w:lineRule="auto"/>
            </w:pPr>
            <w:r>
              <w:rPr>
                <w:b w:val="0"/>
                <w:sz w:val="18"/>
              </w:rPr>
              <w:t>Architecture baseline</w:t>
            </w:r>
          </w:p>
        </w:tc>
      </w:tr>
      <w:tr>
        <w:trPr>
          <w:cantSplit/>
        </w:trPr>
        <w:tc>
          <w:tcPr>
            <w:tcW w:type="dxa" w:w="4850"/>
            <w:vAlign w:val="center"/>
          </w:tcPr>
          <w:p>
            <w:pPr>
              <w:spacing w:after="80" w:line="264" w:lineRule="auto"/>
            </w:pPr>
            <w:r>
              <w:rPr>
                <w:b w:val="0"/>
                <w:sz w:val="18"/>
              </w:rPr>
              <w:t>Exact MVP modules and priority pain point?</w:t>
            </w:r>
          </w:p>
        </w:tc>
        <w:tc>
          <w:tcPr>
            <w:tcW w:type="dxa" w:w="2300"/>
            <w:vAlign w:val="center"/>
          </w:tcPr>
          <w:p>
            <w:pPr>
              <w:spacing w:after="80" w:line="264" w:lineRule="auto"/>
            </w:pPr>
            <w:r>
              <w:rPr>
                <w:b w:val="0"/>
                <w:sz w:val="18"/>
              </w:rPr>
              <w:t>Portfolio owner</w:t>
            </w:r>
          </w:p>
        </w:tc>
        <w:tc>
          <w:tcPr>
            <w:tcW w:type="dxa" w:w="2210"/>
            <w:vAlign w:val="center"/>
          </w:tcPr>
          <w:p>
            <w:pPr>
              <w:spacing w:after="80" w:line="264" w:lineRule="auto"/>
            </w:pPr>
            <w:r>
              <w:rPr>
                <w:b w:val="0"/>
                <w:sz w:val="18"/>
              </w:rPr>
              <w:t>Estimate / scope approval</w:t>
            </w:r>
          </w:p>
        </w:tc>
      </w:tr>
      <w:tr>
        <w:trPr>
          <w:cantSplit/>
        </w:trPr>
        <w:tc>
          <w:tcPr>
            <w:tcW w:type="dxa" w:w="4850"/>
            <w:vAlign w:val="center"/>
          </w:tcPr>
          <w:p>
            <w:pPr>
              <w:spacing w:after="80" w:line="264" w:lineRule="auto"/>
            </w:pPr>
            <w:r>
              <w:rPr>
                <w:b w:val="0"/>
                <w:sz w:val="18"/>
              </w:rPr>
              <w:t>Ownership, trustee treatment and consolidation method?</w:t>
            </w:r>
          </w:p>
        </w:tc>
        <w:tc>
          <w:tcPr>
            <w:tcW w:type="dxa" w:w="2300"/>
            <w:vAlign w:val="center"/>
          </w:tcPr>
          <w:p>
            <w:pPr>
              <w:spacing w:after="80" w:line="264" w:lineRule="auto"/>
            </w:pPr>
            <w:r>
              <w:rPr>
                <w:b w:val="0"/>
                <w:sz w:val="18"/>
              </w:rPr>
              <w:t>Owner + accountant</w:t>
            </w:r>
          </w:p>
        </w:tc>
        <w:tc>
          <w:tcPr>
            <w:tcW w:type="dxa" w:w="2210"/>
            <w:vAlign w:val="center"/>
          </w:tcPr>
          <w:p>
            <w:pPr>
              <w:spacing w:after="80" w:line="264" w:lineRule="auto"/>
            </w:pPr>
            <w:r>
              <w:rPr>
                <w:b w:val="0"/>
                <w:sz w:val="18"/>
              </w:rPr>
              <w:t>Financial model</w:t>
            </w:r>
          </w:p>
        </w:tc>
      </w:tr>
      <w:tr>
        <w:trPr>
          <w:cantSplit/>
        </w:trPr>
        <w:tc>
          <w:tcPr>
            <w:tcW w:type="dxa" w:w="4850"/>
            <w:vAlign w:val="center"/>
          </w:tcPr>
          <w:p>
            <w:pPr>
              <w:spacing w:after="80" w:line="264" w:lineRule="auto"/>
            </w:pPr>
            <w:r>
              <w:rPr>
                <w:b w:val="0"/>
                <w:sz w:val="18"/>
              </w:rPr>
              <w:t>Rent due-date, proration, credit and dispute rules?</w:t>
            </w:r>
          </w:p>
        </w:tc>
        <w:tc>
          <w:tcPr>
            <w:tcW w:type="dxa" w:w="2300"/>
            <w:vAlign w:val="center"/>
          </w:tcPr>
          <w:p>
            <w:pPr>
              <w:spacing w:after="80" w:line="264" w:lineRule="auto"/>
            </w:pPr>
            <w:r>
              <w:rPr>
                <w:b w:val="0"/>
                <w:sz w:val="18"/>
              </w:rPr>
              <w:t>Owner + property adviser</w:t>
            </w:r>
          </w:p>
        </w:tc>
        <w:tc>
          <w:tcPr>
            <w:tcW w:type="dxa" w:w="2210"/>
            <w:vAlign w:val="center"/>
          </w:tcPr>
          <w:p>
            <w:pPr>
              <w:spacing w:after="80" w:line="264" w:lineRule="auto"/>
            </w:pPr>
            <w:r>
              <w:rPr>
                <w:b w:val="0"/>
                <w:sz w:val="18"/>
              </w:rPr>
              <w:t>Lease implementation</w:t>
            </w:r>
          </w:p>
        </w:tc>
      </w:tr>
      <w:tr>
        <w:trPr>
          <w:cantSplit/>
        </w:trPr>
        <w:tc>
          <w:tcPr>
            <w:tcW w:type="dxa" w:w="4850"/>
            <w:vAlign w:val="center"/>
          </w:tcPr>
          <w:p>
            <w:pPr>
              <w:spacing w:after="80" w:line="264" w:lineRule="auto"/>
            </w:pPr>
            <w:r>
              <w:rPr>
                <w:b w:val="0"/>
                <w:sz w:val="18"/>
              </w:rPr>
              <w:t>Recoverable bills, tax/depreciation and bond rules?</w:t>
            </w:r>
          </w:p>
        </w:tc>
        <w:tc>
          <w:tcPr>
            <w:tcW w:type="dxa" w:w="2300"/>
            <w:vAlign w:val="center"/>
          </w:tcPr>
          <w:p>
            <w:pPr>
              <w:spacing w:after="80" w:line="264" w:lineRule="auto"/>
            </w:pPr>
            <w:r>
              <w:rPr>
                <w:b w:val="0"/>
                <w:sz w:val="18"/>
              </w:rPr>
              <w:t>Qualified adviser</w:t>
            </w:r>
          </w:p>
        </w:tc>
        <w:tc>
          <w:tcPr>
            <w:tcW w:type="dxa" w:w="2210"/>
            <w:vAlign w:val="center"/>
          </w:tcPr>
          <w:p>
            <w:pPr>
              <w:spacing w:after="80" w:line="264" w:lineRule="auto"/>
            </w:pPr>
            <w:r>
              <w:rPr>
                <w:b w:val="0"/>
                <w:sz w:val="18"/>
              </w:rPr>
              <w:t>Activation of those rules</w:t>
            </w:r>
          </w:p>
        </w:tc>
      </w:tr>
      <w:tr>
        <w:trPr>
          <w:cantSplit/>
        </w:trPr>
        <w:tc>
          <w:tcPr>
            <w:tcW w:type="dxa" w:w="4850"/>
            <w:vAlign w:val="center"/>
          </w:tcPr>
          <w:p>
            <w:pPr>
              <w:spacing w:after="80" w:line="264" w:lineRule="auto"/>
            </w:pPr>
            <w:r>
              <w:rPr>
                <w:b w:val="0"/>
                <w:sz w:val="18"/>
              </w:rPr>
              <w:t>Bank samples, imports and opening balances?</w:t>
            </w:r>
          </w:p>
        </w:tc>
        <w:tc>
          <w:tcPr>
            <w:tcW w:type="dxa" w:w="2300"/>
            <w:vAlign w:val="center"/>
          </w:tcPr>
          <w:p>
            <w:pPr>
              <w:spacing w:after="80" w:line="264" w:lineRule="auto"/>
            </w:pPr>
            <w:r>
              <w:rPr>
                <w:b w:val="0"/>
                <w:sz w:val="18"/>
              </w:rPr>
              <w:t>Data owner</w:t>
            </w:r>
          </w:p>
        </w:tc>
        <w:tc>
          <w:tcPr>
            <w:tcW w:type="dxa" w:w="2210"/>
            <w:vAlign w:val="center"/>
          </w:tcPr>
          <w:p>
            <w:pPr>
              <w:spacing w:after="80" w:line="264" w:lineRule="auto"/>
            </w:pPr>
            <w:r>
              <w:rPr>
                <w:b w:val="0"/>
                <w:sz w:val="18"/>
              </w:rPr>
              <w:t>Import design</w:t>
            </w:r>
          </w:p>
        </w:tc>
      </w:tr>
      <w:tr>
        <w:trPr>
          <w:cantSplit/>
        </w:trPr>
        <w:tc>
          <w:tcPr>
            <w:tcW w:type="dxa" w:w="4850"/>
            <w:vAlign w:val="center"/>
          </w:tcPr>
          <w:p>
            <w:pPr>
              <w:spacing w:after="80" w:line="264" w:lineRule="auto"/>
            </w:pPr>
            <w:r>
              <w:rPr>
                <w:b w:val="0"/>
                <w:sz w:val="18"/>
              </w:rPr>
              <w:t>Who can see family wealth; emergency handover policy?</w:t>
            </w:r>
          </w:p>
        </w:tc>
        <w:tc>
          <w:tcPr>
            <w:tcW w:type="dxa" w:w="2300"/>
            <w:vAlign w:val="center"/>
          </w:tcPr>
          <w:p>
            <w:pPr>
              <w:spacing w:after="80" w:line="264" w:lineRule="auto"/>
            </w:pPr>
            <w:r>
              <w:rPr>
                <w:b w:val="0"/>
                <w:sz w:val="18"/>
              </w:rPr>
              <w:t>Owner + family</w:t>
            </w:r>
          </w:p>
        </w:tc>
        <w:tc>
          <w:tcPr>
            <w:tcW w:type="dxa" w:w="2210"/>
            <w:vAlign w:val="center"/>
          </w:tcPr>
          <w:p>
            <w:pPr>
              <w:spacing w:after="80" w:line="264" w:lineRule="auto"/>
            </w:pPr>
            <w:r>
              <w:rPr>
                <w:b w:val="0"/>
                <w:sz w:val="18"/>
              </w:rPr>
              <w:t>Permission setup</w:t>
            </w:r>
          </w:p>
        </w:tc>
      </w:tr>
      <w:tr>
        <w:trPr>
          <w:cantSplit/>
        </w:trPr>
        <w:tc>
          <w:tcPr>
            <w:tcW w:type="dxa" w:w="4850"/>
            <w:vAlign w:val="center"/>
          </w:tcPr>
          <w:p>
            <w:pPr>
              <w:spacing w:after="80" w:line="264" w:lineRule="auto"/>
            </w:pPr>
            <w:r>
              <w:rPr>
                <w:b w:val="0"/>
                <w:sz w:val="18"/>
              </w:rPr>
              <w:t>Jurisdictions, currencies and financial year?</w:t>
            </w:r>
          </w:p>
        </w:tc>
        <w:tc>
          <w:tcPr>
            <w:tcW w:type="dxa" w:w="2300"/>
            <w:vAlign w:val="center"/>
          </w:tcPr>
          <w:p>
            <w:pPr>
              <w:spacing w:after="80" w:line="264" w:lineRule="auto"/>
            </w:pPr>
            <w:r>
              <w:rPr>
                <w:b w:val="0"/>
                <w:sz w:val="18"/>
              </w:rPr>
              <w:t>Owner + accountant</w:t>
            </w:r>
          </w:p>
        </w:tc>
        <w:tc>
          <w:tcPr>
            <w:tcW w:type="dxa" w:w="2210"/>
            <w:vAlign w:val="center"/>
          </w:tcPr>
          <w:p>
            <w:pPr>
              <w:spacing w:after="80" w:line="264" w:lineRule="auto"/>
            </w:pPr>
            <w:r>
              <w:rPr>
                <w:b w:val="0"/>
                <w:sz w:val="18"/>
              </w:rPr>
              <w:t>Reporting baseline</w:t>
            </w:r>
          </w:p>
        </w:tc>
      </w:tr>
      <w:tr>
        <w:trPr>
          <w:cantSplit/>
        </w:trPr>
        <w:tc>
          <w:tcPr>
            <w:tcW w:type="dxa" w:w="4850"/>
            <w:vAlign w:val="center"/>
          </w:tcPr>
          <w:p>
            <w:pPr>
              <w:spacing w:after="80" w:line="264" w:lineRule="auto"/>
            </w:pPr>
            <w:r>
              <w:rPr>
                <w:b w:val="0"/>
                <w:sz w:val="18"/>
              </w:rPr>
              <w:t>Reminder channels, consent, costs and templates?</w:t>
            </w:r>
          </w:p>
        </w:tc>
        <w:tc>
          <w:tcPr>
            <w:tcW w:type="dxa" w:w="2300"/>
            <w:vAlign w:val="center"/>
          </w:tcPr>
          <w:p>
            <w:pPr>
              <w:spacing w:after="80" w:line="264" w:lineRule="auto"/>
            </w:pPr>
            <w:r>
              <w:rPr>
                <w:b w:val="0"/>
                <w:sz w:val="18"/>
              </w:rPr>
              <w:t>Owner + operator</w:t>
            </w:r>
          </w:p>
        </w:tc>
        <w:tc>
          <w:tcPr>
            <w:tcW w:type="dxa" w:w="2210"/>
            <w:vAlign w:val="center"/>
          </w:tcPr>
          <w:p>
            <w:pPr>
              <w:spacing w:after="80" w:line="264" w:lineRule="auto"/>
            </w:pPr>
            <w:r>
              <w:rPr>
                <w:b w:val="0"/>
                <w:sz w:val="18"/>
              </w:rPr>
              <w:t>External messaging</w:t>
            </w:r>
          </w:p>
        </w:tc>
      </w:tr>
      <w:tr>
        <w:trPr>
          <w:cantSplit/>
        </w:trPr>
        <w:tc>
          <w:tcPr>
            <w:tcW w:type="dxa" w:w="4850"/>
            <w:vAlign w:val="center"/>
          </w:tcPr>
          <w:p>
            <w:pPr>
              <w:spacing w:after="80" w:line="264" w:lineRule="auto"/>
            </w:pPr>
            <w:r>
              <w:rPr>
                <w:b w:val="0"/>
                <w:sz w:val="18"/>
              </w:rPr>
              <w:t>Hosting region, retention and AI processors?</w:t>
            </w:r>
          </w:p>
        </w:tc>
        <w:tc>
          <w:tcPr>
            <w:tcW w:type="dxa" w:w="2300"/>
            <w:vAlign w:val="center"/>
          </w:tcPr>
          <w:p>
            <w:pPr>
              <w:spacing w:after="80" w:line="264" w:lineRule="auto"/>
            </w:pPr>
            <w:r>
              <w:rPr>
                <w:b w:val="0"/>
                <w:sz w:val="18"/>
              </w:rPr>
              <w:t>Owner + security lead</w:t>
            </w:r>
          </w:p>
        </w:tc>
        <w:tc>
          <w:tcPr>
            <w:tcW w:type="dxa" w:w="2210"/>
            <w:vAlign w:val="center"/>
          </w:tcPr>
          <w:p>
            <w:pPr>
              <w:spacing w:after="80" w:line="264" w:lineRule="auto"/>
            </w:pPr>
            <w:r>
              <w:rPr>
                <w:b w:val="0"/>
                <w:sz w:val="18"/>
              </w:rPr>
              <w:t>Production data use</w:t>
            </w:r>
          </w:p>
        </w:tc>
      </w:tr>
    </w:tbl>
    <w:p>
      <w:pPr>
        <w:pStyle w:val="Heading2"/>
      </w:pPr>
      <w:r>
        <w:t>Source-to-requirement map</w:t>
      </w:r>
    </w:p>
    <w:p>
      <w:r>
        <w:t>00:11–03:29 → FR-01–03, entity ownership, loans and renewals. 03:33–05:23 → roles, isolated deployment and backups. 05:48–07:23 → FR-09 and financial definitions. 09:49–15:37 → extended assets, FR-04, FR-10–12. 16:09–22:40 → FR-05–08, recovery validation and feasibility. 23:06–28:26 → maintenance, depreciation, construction and consolidation. 28:26–37:34 → family expenses, access, continuity and risk notes. 37:34–42:55 → lending records, budget review and scenarios.</w:t>
      </w:r>
    </w:p>
    <w:p>
      <w:pPr>
        <w:pStyle w:val="Heading2"/>
      </w:pPr>
      <w:r>
        <w:t>Evidence gaps and sign-off</w:t>
      </w:r>
    </w:p>
    <w:p>
      <w:r>
        <w:t>Material missing intervals include 07:33–09:49, 19:40–20:10, 24:46–26:03 and 29:14–30:04, with further gaps near the end. The earlier edited chat transcription is not a reliable source for exact names, amounts or legal terms. Clarify these with participants or re-check the audio before contractual scope or implementation rules are approved.</w:t>
      </w:r>
    </w:p>
    <w:p>
      <w:r>
        <w:t>Business scope approved by: __________________  Date: __________</w:t>
        <w:br/>
        <w:t>Financial rules reviewed by: _________________  Date: __________</w:t>
        <w:br/>
        <w:t>Security / operations approved by: _____________  Date: __________</w:t>
        <w:br/>
        <w:t>Version baseline and change-control owner: ____________________</w:t>
      </w:r>
    </w:p>
    <w:p>
      <w:r>
        <w:t>Change control: additions require a requirement ID, rationale, impact on cost/security/data, acceptance criteria and owner approval. This document is a discovery baseline, not legal/tax advice or an agreed fixed-price statement of work.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0.1  |  Confidential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PERSONAL WEALTH &amp; PROPERTY PLATFORM  |  REQUIREMENTS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666666"/>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666666"/>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4" w:lineRule="auto" w:before="0"/>
      <w:contextualSpacing/>
    </w:pPr>
    <w:rPr>
      <w:rFonts w:asciiTheme="majorHAnsi" w:eastAsiaTheme="majorEastAsia" w:hAnsiTheme="majorHAnsi" w:cstheme="majorBidi" w:ascii="Calibri" w:hAnsi="Calibri"/>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64" w:lineRule="auto"/>
    </w:pPr>
    <w:rPr>
      <w:rFonts w:asciiTheme="majorHAnsi" w:eastAsiaTheme="majorEastAsia" w:hAnsiTheme="majorHAnsi" w:cstheme="majorBidi" w:ascii="Calibri" w:hAnsi="Calibri"/>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Wealth Platform - Critical Analysis and Requirements</dc:title>
  <dc:subject>Draft requirements analysis based on discovery transcript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