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56"/>
          <w:szCs w:val="56"/>
        </w:rPr>
        <w:t xml:space="preserve">Production Heat Risk</w:t>
      </w:r>
    </w:p>
    <w:p>
      <w:pPr>
        <w:spacing w:after="400"/>
        <w:jc w:val="center"/>
      </w:pPr>
      <w:r>
        <w:rPr>
          <w:b/>
          <w:bCs/>
          <w:color w:val="1F3864"/>
          <w:sz w:val="56"/>
          <w:szCs w:val="56"/>
        </w:rPr>
        <w:t xml:space="preserve">Classification Model</w:t>
      </w:r>
    </w:p>
    <w:p>
      <w:pPr>
        <w:spacing w:after="100"/>
        <w:jc w:val="center"/>
      </w:pPr>
      <w:r>
        <w:rPr>
          <w:i/>
          <w:iCs/>
          <w:color w:val="C55A11"/>
          <w:sz w:val="28"/>
          <w:szCs w:val="28"/>
        </w:rPr>
        <w:t xml:space="preserve">Technical Documentation</w:t>
      </w:r>
    </w:p>
    <w:p>
      <w:pPr>
        <w:spacing w:before="800"/>
        <w:jc w:val="center"/>
      </w:pPr>
      <w:r>
        <w:rPr>
          <w:color w:val="595959"/>
          <w:sz w:val="22"/>
          <w:szCs w:val="22"/>
        </w:rPr>
        <w:t xml:space="preserve">Dataset: heat_risk_dataset_with_noaa.csv</w:t>
      </w:r>
    </w:p>
    <w:p>
      <w:pPr>
        <w:jc w:val="center"/>
      </w:pPr>
      <w:r>
        <w:rPr>
          <w:color w:val="595959"/>
          <w:sz w:val="22"/>
          <w:szCs w:val="22"/>
        </w:rPr>
        <w:t xml:space="preserve">Model: XGBoost Multi-Class Classifier</w:t>
      </w:r>
    </w:p>
    <w:p>
      <w:pPr>
        <w:jc w:val="center"/>
      </w:pPr>
      <w:r>
        <w:rPr>
          <w:color w:val="595959"/>
          <w:sz w:val="22"/>
          <w:szCs w:val="22"/>
        </w:rPr>
        <w:t xml:space="preserve">August 2026</w:t>
      </w:r>
    </w:p>
    <w:p>
      <w:r>
        <w:br w:type="page"/>
      </w:r>
    </w:p>
    <w:p>
      <w:pPr>
        <w:pStyle w:val="Heading1"/>
        <w:spacing w:after="200" w:before="400"/>
      </w:pPr>
      <w:r>
        <w:t xml:space="preserve">1. Project Overview</w:t>
      </w:r>
    </w:p>
    <w:p>
      <w:pPr>
        <w:spacing w:after="160"/>
      </w:pPr>
      <w:r>
        <w:t xml:space="preserve">This model classifies agricultural heat risk into four levels — Low, Moderate, High, and Critical — using environmental sensor data and real NOAA weather records. The goal is to give growers early warning of dangerous heat conditions so they can take protective action before crops are damaged.</w:t>
      </w:r>
    </w:p>
    <w:p>
      <w:pPr>
        <w:spacing w:after="80"/>
      </w:pPr>
      <w:r>
        <w:rPr>
          <w:b/>
          <w:bCs/>
        </w:rPr>
        <w:t xml:space="preserve">Target variable: </w:t>
      </w:r>
      <w:r>
        <w:t xml:space="preserve">heat_risk_class (Low / Moderate / High / Critical)</w:t>
      </w:r>
    </w:p>
    <w:p>
      <w:pPr>
        <w:spacing w:after="80"/>
      </w:pPr>
      <w:r>
        <w:rPr>
          <w:b/>
          <w:bCs/>
        </w:rPr>
        <w:t xml:space="preserve">Algorithm: </w:t>
      </w:r>
      <w:r>
        <w:t xml:space="preserve">XGBoost (gradient-boosted trees), multi-class softprob objective</w:t>
      </w:r>
    </w:p>
    <w:p>
      <w:pPr>
        <w:spacing w:after="80"/>
      </w:pPr>
      <w:r>
        <w:rPr>
          <w:b/>
          <w:bCs/>
        </w:rPr>
        <w:t xml:space="preserve">Records: </w:t>
      </w:r>
      <w:r>
        <w:t xml:space="preserve">20,621 hourly observations covering the growing season (day-of-year 116–314)</w:t>
      </w:r>
    </w:p>
    <w:p>
      <w:pPr>
        <w:spacing w:after="80"/>
      </w:pPr>
      <w:r>
        <w:rPr>
          <w:b/>
          <w:bCs/>
        </w:rPr>
        <w:t xml:space="preserve">Features: </w:t>
      </w:r>
      <w:r>
        <w:t xml:space="preserve">14 environmental and crop-specific inputs (see Section 3)</w:t>
      </w:r>
    </w:p>
    <w:p>
      <w:pPr>
        <w:pStyle w:val="Heading2"/>
        <w:spacing w:after="150" w:before="300"/>
      </w:pPr>
      <w:r>
        <w:t xml:space="preserve">Data Sources</w:t>
      </w:r>
    </w:p>
    <w:p>
      <w:pPr>
        <w:pStyle w:val="ListParagraph"/>
        <w:numPr>
          <w:ilvl w:val="0"/>
          <w:numId w:val="1"/>
        </w:numPr>
        <w:spacing w:after="80"/>
      </w:pPr>
      <w:r>
        <w:t xml:space="preserve">Real NOAA daily temperature data from Chicago O'Hare station (USW00094846), 2020–2023, expanded to hourly patterns</w:t>
      </w:r>
    </w:p>
    <w:p>
      <w:pPr>
        <w:pStyle w:val="ListParagraph"/>
        <w:numPr>
          <w:ilvl w:val="0"/>
          <w:numId w:val="1"/>
        </w:numPr>
        <w:spacing w:after="80"/>
      </w:pPr>
      <w:r>
        <w:t xml:space="preserve">Simulated/derived solar radiation (GHI, DNI, DHI) and relative humidity</w:t>
      </w:r>
    </w:p>
    <w:p>
      <w:pPr>
        <w:pStyle w:val="ListParagraph"/>
        <w:numPr>
          <w:ilvl w:val="0"/>
          <w:numId w:val="1"/>
        </w:numPr>
        <w:spacing w:after="80"/>
      </w:pPr>
      <w:r>
        <w:t xml:space="preserve">Soybean growth-stage timing adapted from Severo et al. (2020)</w:t>
      </w:r>
    </w:p>
    <w:p>
      <w:pPr>
        <w:pStyle w:val="ListParagraph"/>
        <w:numPr>
          <w:ilvl w:val="0"/>
          <w:numId w:val="1"/>
        </w:numPr>
        <w:spacing w:after="80"/>
      </w:pPr>
      <w:r>
        <w:t xml:space="preserve">Five growing locations: Virginia, Minnesota, Wisconsin, Arkansas, Ohio</w:t>
      </w:r>
    </w:p>
    <w:p>
      <w:pPr>
        <w:pStyle w:val="Heading1"/>
        <w:spacing w:after="200" w:before="400"/>
      </w:pPr>
      <w:r>
        <w:t xml:space="preserve">2.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100"/>
              <w:left w:type="dxa" w:w="120"/>
              <w:bottom w:type="dxa" w:w="100"/>
              <w:right w:type="dxa" w:w="120"/>
            </w:tcMar>
          </w:tcPr>
          <w:p>
            <w:r>
              <w:rPr>
                <w:b/>
                <w:bCs/>
                <w:color w:val="FFFFFF"/>
                <w:sz w:val="20"/>
                <w:szCs w:val="20"/>
              </w:rPr>
              <w:t xml:space="preserve">Property</w:t>
            </w:r>
          </w:p>
        </w:tc>
        <w:tc>
          <w:tcPr>
            <w:tcW w:type="dxa" w:w="4500"/>
            <w:shd w:fill="1F3864" w:val="clear"/>
            <w:tcMar>
              <w:top w:type="dxa" w:w="100"/>
              <w:left w:type="dxa" w:w="120"/>
              <w:bottom w:type="dxa" w:w="100"/>
              <w:right w:type="dxa" w:w="120"/>
            </w:tcMar>
          </w:tcPr>
          <w:p>
            <w:r>
              <w:rPr>
                <w:b/>
                <w:bCs/>
                <w:color w:val="FFFFFF"/>
                <w:sz w:val="20"/>
                <w:szCs w:val="20"/>
              </w:rPr>
              <w:t xml:space="preserve">Value</w:t>
            </w:r>
          </w:p>
        </w:tc>
      </w:tr>
      <w:tr>
        <w:tc>
          <w:tcPr>
            <w:tcW w:type="dxa" w:w="4500"/>
            <w:tcMar>
              <w:top w:type="dxa" w:w="100"/>
              <w:left w:type="dxa" w:w="120"/>
              <w:bottom w:type="dxa" w:w="100"/>
              <w:right w:type="dxa" w:w="120"/>
            </w:tcMar>
          </w:tcPr>
          <w:p>
            <w:r>
              <w:rPr>
                <w:b w:val="false"/>
                <w:bCs w:val="false"/>
                <w:color w:val="000000"/>
                <w:sz w:val="20"/>
                <w:szCs w:val="20"/>
              </w:rPr>
              <w:t xml:space="preserve">Total records</w:t>
            </w:r>
          </w:p>
        </w:tc>
        <w:tc>
          <w:tcPr>
            <w:tcW w:type="dxa" w:w="4500"/>
            <w:tcMar>
              <w:top w:type="dxa" w:w="100"/>
              <w:left w:type="dxa" w:w="120"/>
              <w:bottom w:type="dxa" w:w="100"/>
              <w:right w:type="dxa" w:w="120"/>
            </w:tcMar>
          </w:tcPr>
          <w:p>
            <w:r>
              <w:rPr>
                <w:b w:val="false"/>
                <w:bCs w:val="false"/>
                <w:color w:val="000000"/>
                <w:sz w:val="20"/>
                <w:szCs w:val="20"/>
              </w:rPr>
              <w:t xml:space="preserve">20,621</w:t>
            </w:r>
          </w:p>
        </w:tc>
      </w:tr>
      <w:tr>
        <w:tc>
          <w:tcPr>
            <w:tcW w:type="dxa" w:w="4500"/>
            <w:shd w:fill="F2F2F2" w:val="clear"/>
            <w:tcMar>
              <w:top w:type="dxa" w:w="100"/>
              <w:left w:type="dxa" w:w="120"/>
              <w:bottom w:type="dxa" w:w="100"/>
              <w:right w:type="dxa" w:w="120"/>
            </w:tcMar>
          </w:tcPr>
          <w:p>
            <w:r>
              <w:rPr>
                <w:b w:val="false"/>
                <w:bCs w:val="false"/>
                <w:color w:val="000000"/>
                <w:sz w:val="20"/>
                <w:szCs w:val="20"/>
              </w:rPr>
              <w:t xml:space="preserve">Total columns</w:t>
            </w:r>
          </w:p>
        </w:tc>
        <w:tc>
          <w:tcPr>
            <w:tcW w:type="dxa" w:w="4500"/>
            <w:shd w:fill="F2F2F2" w:val="clear"/>
            <w:tcMar>
              <w:top w:type="dxa" w:w="100"/>
              <w:left w:type="dxa" w:w="120"/>
              <w:bottom w:type="dxa" w:w="100"/>
              <w:right w:type="dxa" w:w="120"/>
            </w:tcMar>
          </w:tcPr>
          <w:p>
            <w:r>
              <w:rPr>
                <w:b w:val="false"/>
                <w:bCs w:val="false"/>
                <w:color w:val="000000"/>
                <w:sz w:val="20"/>
                <w:szCs w:val="20"/>
              </w:rPr>
              <w:t xml:space="preserve">15 (14 features + 1 target)</w:t>
            </w:r>
          </w:p>
        </w:tc>
      </w:tr>
      <w:tr>
        <w:tc>
          <w:tcPr>
            <w:tcW w:type="dxa" w:w="4500"/>
            <w:tcMar>
              <w:top w:type="dxa" w:w="100"/>
              <w:left w:type="dxa" w:w="120"/>
              <w:bottom w:type="dxa" w:w="100"/>
              <w:right w:type="dxa" w:w="120"/>
            </w:tcMar>
          </w:tcPr>
          <w:p>
            <w:r>
              <w:rPr>
                <w:b w:val="false"/>
                <w:bCs w:val="false"/>
                <w:color w:val="000000"/>
                <w:sz w:val="20"/>
                <w:szCs w:val="20"/>
              </w:rPr>
              <w:t xml:space="preserve">Missing values</w:t>
            </w:r>
          </w:p>
        </w:tc>
        <w:tc>
          <w:tcPr>
            <w:tcW w:type="dxa" w:w="4500"/>
            <w:tcMar>
              <w:top w:type="dxa" w:w="100"/>
              <w:left w:type="dxa" w:w="120"/>
              <w:bottom w:type="dxa" w:w="100"/>
              <w:right w:type="dxa" w:w="120"/>
            </w:tcMar>
          </w:tcPr>
          <w:p>
            <w:r>
              <w:rPr>
                <w:b w:val="false"/>
                <w:bCs w:val="false"/>
                <w:color w:val="000000"/>
                <w:sz w:val="20"/>
                <w:szCs w:val="20"/>
              </w:rPr>
              <w:t xml:space="preserve">None</w:t>
            </w:r>
          </w:p>
        </w:tc>
      </w:tr>
      <w:tr>
        <w:tc>
          <w:tcPr>
            <w:tcW w:type="dxa" w:w="4500"/>
            <w:shd w:fill="F2F2F2" w:val="clear"/>
            <w:tcMar>
              <w:top w:type="dxa" w:w="100"/>
              <w:left w:type="dxa" w:w="120"/>
              <w:bottom w:type="dxa" w:w="100"/>
              <w:right w:type="dxa" w:w="120"/>
            </w:tcMar>
          </w:tcPr>
          <w:p>
            <w:r>
              <w:rPr>
                <w:b w:val="false"/>
                <w:bCs w:val="false"/>
                <w:color w:val="000000"/>
                <w:sz w:val="20"/>
                <w:szCs w:val="20"/>
              </w:rPr>
              <w:t xml:space="preserve">Locations</w:t>
            </w:r>
          </w:p>
        </w:tc>
        <w:tc>
          <w:tcPr>
            <w:tcW w:type="dxa" w:w="4500"/>
            <w:shd w:fill="F2F2F2" w:val="clear"/>
            <w:tcMar>
              <w:top w:type="dxa" w:w="100"/>
              <w:left w:type="dxa" w:w="120"/>
              <w:bottom w:type="dxa" w:w="100"/>
              <w:right w:type="dxa" w:w="120"/>
            </w:tcMar>
          </w:tcPr>
          <w:p>
            <w:r>
              <w:rPr>
                <w:b w:val="false"/>
                <w:bCs w:val="false"/>
                <w:color w:val="000000"/>
                <w:sz w:val="20"/>
                <w:szCs w:val="20"/>
              </w:rPr>
              <w:t xml:space="preserve">5 (Virginia, Minnesota, Wisconsin, Arkansas, Ohio)</w:t>
            </w:r>
          </w:p>
        </w:tc>
      </w:tr>
      <w:tr>
        <w:tc>
          <w:tcPr>
            <w:tcW w:type="dxa" w:w="4500"/>
            <w:tcMar>
              <w:top w:type="dxa" w:w="100"/>
              <w:left w:type="dxa" w:w="120"/>
              <w:bottom w:type="dxa" w:w="100"/>
              <w:right w:type="dxa" w:w="120"/>
            </w:tcMar>
          </w:tcPr>
          <w:p>
            <w:r>
              <w:rPr>
                <w:b w:val="false"/>
                <w:bCs w:val="false"/>
                <w:color w:val="000000"/>
                <w:sz w:val="20"/>
                <w:szCs w:val="20"/>
              </w:rPr>
              <w:t xml:space="preserve">Growth stages</w:t>
            </w:r>
          </w:p>
        </w:tc>
        <w:tc>
          <w:tcPr>
            <w:tcW w:type="dxa" w:w="4500"/>
            <w:tcMar>
              <w:top w:type="dxa" w:w="100"/>
              <w:left w:type="dxa" w:w="120"/>
              <w:bottom w:type="dxa" w:w="100"/>
              <w:right w:type="dxa" w:w="120"/>
            </w:tcMar>
          </w:tcPr>
          <w:p>
            <w:r>
              <w:rPr>
                <w:b w:val="false"/>
                <w:bCs w:val="false"/>
                <w:color w:val="000000"/>
                <w:sz w:val="20"/>
                <w:szCs w:val="20"/>
              </w:rPr>
              <w:t xml:space="preserve">4 (planted, vegetative, reproductive, maturity)</w:t>
            </w:r>
          </w:p>
        </w:tc>
      </w:tr>
    </w:tbl>
    <w:p>
      <w:pPr>
        <w:spacing w:before="300"/>
      </w:pPr>
    </w:p>
    <w:p>
      <w:pPr>
        <w:pStyle w:val="Heading2"/>
        <w:spacing w:after="150" w:before="300"/>
      </w:pPr>
      <w:r>
        <w:t xml:space="preserve">Class Distribution</w:t>
      </w:r>
    </w:p>
    <w:p>
      <w:pPr>
        <w:spacing w:after="160"/>
      </w:pPr>
      <w:r>
        <w:t xml:space="preserve">The dataset is heavily imbalanced — the vast majority of observations fall in the 'Low' risk category, while genuinely dangerous 'Critical' events are rare. This imbalance is the central modeling challenge and is addressed with inverse-frequency sample weighting (Section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Mar>
              <w:top w:type="dxa" w:w="100"/>
              <w:left w:type="dxa" w:w="120"/>
              <w:bottom w:type="dxa" w:w="100"/>
              <w:right w:type="dxa" w:w="120"/>
            </w:tcMar>
          </w:tcPr>
          <w:p>
            <w:r>
              <w:rPr>
                <w:b/>
                <w:bCs/>
                <w:color w:val="FFFFFF"/>
                <w:sz w:val="20"/>
                <w:szCs w:val="20"/>
              </w:rPr>
              <w:t xml:space="preserve">Class</w:t>
            </w:r>
          </w:p>
        </w:tc>
        <w:tc>
          <w:tcPr>
            <w:tcW w:type="dxa" w:w="3000"/>
            <w:shd w:fill="1F3864" w:val="clear"/>
            <w:tcMar>
              <w:top w:type="dxa" w:w="100"/>
              <w:left w:type="dxa" w:w="120"/>
              <w:bottom w:type="dxa" w:w="100"/>
              <w:right w:type="dxa" w:w="120"/>
            </w:tcMar>
          </w:tcPr>
          <w:p>
            <w:r>
              <w:rPr>
                <w:b/>
                <w:bCs/>
                <w:color w:val="FFFFFF"/>
                <w:sz w:val="20"/>
                <w:szCs w:val="20"/>
              </w:rPr>
              <w:t xml:space="preserve">Count</w:t>
            </w:r>
          </w:p>
        </w:tc>
        <w:tc>
          <w:tcPr>
            <w:tcW w:type="dxa" w:w="3000"/>
            <w:shd w:fill="1F3864" w:val="clear"/>
            <w:tcMar>
              <w:top w:type="dxa" w:w="100"/>
              <w:left w:type="dxa" w:w="120"/>
              <w:bottom w:type="dxa" w:w="100"/>
              <w:right w:type="dxa" w:w="120"/>
            </w:tcMar>
          </w:tcPr>
          <w:p>
            <w:r>
              <w:rPr>
                <w:b/>
                <w:bCs/>
                <w:color w:val="FFFFFF"/>
                <w:sz w:val="20"/>
                <w:szCs w:val="20"/>
              </w:rPr>
              <w:t xml:space="preserve">% of Data</w:t>
            </w:r>
          </w:p>
        </w:tc>
      </w:tr>
      <w:tr>
        <w:tc>
          <w:tcPr>
            <w:tcW w:type="dxa" w:w="3000"/>
            <w:tcMar>
              <w:top w:type="dxa" w:w="100"/>
              <w:left w:type="dxa" w:w="120"/>
              <w:bottom w:type="dxa" w:w="100"/>
              <w:right w:type="dxa" w:w="120"/>
            </w:tcMar>
          </w:tcPr>
          <w:p>
            <w:r>
              <w:rPr>
                <w:b w:val="false"/>
                <w:bCs w:val="false"/>
                <w:color w:val="000000"/>
                <w:sz w:val="20"/>
                <w:szCs w:val="20"/>
              </w:rPr>
              <w:t xml:space="preserve">Low</w:t>
            </w:r>
          </w:p>
        </w:tc>
        <w:tc>
          <w:tcPr>
            <w:tcW w:type="dxa" w:w="3000"/>
            <w:tcMar>
              <w:top w:type="dxa" w:w="100"/>
              <w:left w:type="dxa" w:w="120"/>
              <w:bottom w:type="dxa" w:w="100"/>
              <w:right w:type="dxa" w:w="120"/>
            </w:tcMar>
          </w:tcPr>
          <w:p>
            <w:r>
              <w:rPr>
                <w:b w:val="false"/>
                <w:bCs w:val="false"/>
                <w:color w:val="000000"/>
                <w:sz w:val="20"/>
                <w:szCs w:val="20"/>
              </w:rPr>
              <w:t xml:space="preserve">18,434</w:t>
            </w:r>
          </w:p>
        </w:tc>
        <w:tc>
          <w:tcPr>
            <w:tcW w:type="dxa" w:w="3000"/>
            <w:tcMar>
              <w:top w:type="dxa" w:w="100"/>
              <w:left w:type="dxa" w:w="120"/>
              <w:bottom w:type="dxa" w:w="100"/>
              <w:right w:type="dxa" w:w="120"/>
            </w:tcMar>
          </w:tcPr>
          <w:p>
            <w:r>
              <w:rPr>
                <w:b w:val="false"/>
                <w:bCs w:val="false"/>
                <w:color w:val="000000"/>
                <w:sz w:val="20"/>
                <w:szCs w:val="20"/>
              </w:rPr>
              <w:t xml:space="preserve">89.4%</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Moderate</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1,428</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6.9%</w:t>
            </w:r>
          </w:p>
        </w:tc>
      </w:tr>
      <w:tr>
        <w:tc>
          <w:tcPr>
            <w:tcW w:type="dxa" w:w="3000"/>
            <w:tcMar>
              <w:top w:type="dxa" w:w="100"/>
              <w:left w:type="dxa" w:w="120"/>
              <w:bottom w:type="dxa" w:w="100"/>
              <w:right w:type="dxa" w:w="120"/>
            </w:tcMar>
          </w:tcPr>
          <w:p>
            <w:r>
              <w:rPr>
                <w:b w:val="false"/>
                <w:bCs w:val="false"/>
                <w:color w:val="000000"/>
                <w:sz w:val="20"/>
                <w:szCs w:val="20"/>
              </w:rPr>
              <w:t xml:space="preserve">High</w:t>
            </w:r>
          </w:p>
        </w:tc>
        <w:tc>
          <w:tcPr>
            <w:tcW w:type="dxa" w:w="3000"/>
            <w:tcMar>
              <w:top w:type="dxa" w:w="100"/>
              <w:left w:type="dxa" w:w="120"/>
              <w:bottom w:type="dxa" w:w="100"/>
              <w:right w:type="dxa" w:w="120"/>
            </w:tcMar>
          </w:tcPr>
          <w:p>
            <w:r>
              <w:rPr>
                <w:b w:val="false"/>
                <w:bCs w:val="false"/>
                <w:color w:val="000000"/>
                <w:sz w:val="20"/>
                <w:szCs w:val="20"/>
              </w:rPr>
              <w:t xml:space="preserve">577</w:t>
            </w:r>
          </w:p>
        </w:tc>
        <w:tc>
          <w:tcPr>
            <w:tcW w:type="dxa" w:w="3000"/>
            <w:tcMar>
              <w:top w:type="dxa" w:w="100"/>
              <w:left w:type="dxa" w:w="120"/>
              <w:bottom w:type="dxa" w:w="100"/>
              <w:right w:type="dxa" w:w="120"/>
            </w:tcMar>
          </w:tcPr>
          <w:p>
            <w:r>
              <w:rPr>
                <w:b w:val="false"/>
                <w:bCs w:val="false"/>
                <w:color w:val="000000"/>
                <w:sz w:val="20"/>
                <w:szCs w:val="20"/>
              </w:rPr>
              <w:t xml:space="preserve">2.8%</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Critical</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182</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0.9%</w:t>
            </w:r>
          </w:p>
        </w:tc>
      </w:tr>
    </w:tbl>
    <w:p>
      <w:pPr>
        <w:spacing w:after="200" w:before="10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95575"/>
                    </a:xfrm>
                    <a:prstGeom prst="rect">
                      <a:avLst/>
                    </a:prstGeom>
                  </pic:spPr>
                </pic:pic>
              </a:graphicData>
            </a:graphic>
          </wp:inline>
        </w:drawing>
      </w:r>
    </w:p>
    <w:p>
      <w:pPr>
        <w:pStyle w:val="Heading2"/>
        <w:spacing w:after="150" w:before="300"/>
      </w:pPr>
      <w:r>
        <w:t xml:space="preserve">Feature List</w:t>
      </w:r>
    </w:p>
    <w:p>
      <w:pPr>
        <w:pStyle w:val="ListParagraph"/>
        <w:numPr>
          <w:ilvl w:val="0"/>
          <w:numId w:val="1"/>
        </w:numPr>
        <w:spacing w:after="80"/>
      </w:pPr>
      <w:r>
        <w:t xml:space="preserve">hour, day_of_year, month — temporal context</w:t>
      </w:r>
    </w:p>
    <w:p>
      <w:pPr>
        <w:pStyle w:val="ListParagraph"/>
        <w:numPr>
          <w:ilvl w:val="0"/>
          <w:numId w:val="1"/>
        </w:numPr>
        <w:spacing w:after="80"/>
      </w:pPr>
      <w:r>
        <w:t xml:space="preserve">temperature_c, relative_humidity_percent — core weather conditions</w:t>
      </w:r>
    </w:p>
    <w:p>
      <w:pPr>
        <w:pStyle w:val="ListParagraph"/>
        <w:numPr>
          <w:ilvl w:val="0"/>
          <w:numId w:val="1"/>
        </w:numPr>
        <w:spacing w:after="80"/>
      </w:pPr>
      <w:r>
        <w:t xml:space="preserve">ghi_w_m2, dni_w_m2, dhi_w_m2 — solar radiation components</w:t>
      </w:r>
    </w:p>
    <w:p>
      <w:pPr>
        <w:pStyle w:val="ListParagraph"/>
        <w:numPr>
          <w:ilvl w:val="0"/>
          <w:numId w:val="1"/>
        </w:numPr>
        <w:spacing w:after="80"/>
      </w:pPr>
      <w:r>
        <w:t xml:space="preserve">location, latitude, longitude — geographic context</w:t>
      </w:r>
    </w:p>
    <w:p>
      <w:pPr>
        <w:pStyle w:val="ListParagraph"/>
        <w:numPr>
          <w:ilvl w:val="0"/>
          <w:numId w:val="1"/>
        </w:numPr>
        <w:spacing w:after="80"/>
      </w:pPr>
      <w:r>
        <w:t xml:space="preserve">days_since_planting, growth_stage — crop growth timing (more sensitive stages carry more risk)</w:t>
      </w:r>
    </w:p>
    <w:p>
      <w:pPr>
        <w:pStyle w:val="ListParagraph"/>
        <w:numPr>
          <w:ilvl w:val="0"/>
          <w:numId w:val="1"/>
        </w:numPr>
        <w:spacing w:after="80"/>
      </w:pPr>
      <w:r>
        <w:t xml:space="preserve">heat_index_approx — derived heat-stress indicator combining temperature and humidity</w:t>
      </w:r>
    </w:p>
    <w:p>
      <w:pPr>
        <w:pStyle w:val="Heading1"/>
        <w:spacing w:after="200" w:before="400"/>
      </w:pPr>
      <w:r>
        <w:t xml:space="preserve">3. Data Preprocessing</w:t>
      </w:r>
    </w:p>
    <w:p>
      <w:pPr>
        <w:pStyle w:val="ListParagraph"/>
        <w:numPr>
          <w:ilvl w:val="0"/>
          <w:numId w:val="1"/>
        </w:numPr>
        <w:spacing w:after="80"/>
      </w:pPr>
      <w:r>
        <w:t xml:space="preserve">Missing values: checked programmatically; none present in this dataset, but the pipeline fills any numeric gaps with the column median as a safeguard.</w:t>
      </w:r>
    </w:p>
    <w:p>
      <w:pPr>
        <w:pStyle w:val="ListParagraph"/>
        <w:numPr>
          <w:ilvl w:val="0"/>
          <w:numId w:val="1"/>
        </w:numPr>
        <w:spacing w:after="80"/>
      </w:pPr>
      <w:r>
        <w:t xml:space="preserve">Categorical encoding: location and growth_stage are label-encoded (LabelEncoder) into location_encoded and growth_stage_encoded.</w:t>
      </w:r>
    </w:p>
    <w:p>
      <w:pPr>
        <w:pStyle w:val="ListParagraph"/>
        <w:numPr>
          <w:ilvl w:val="0"/>
          <w:numId w:val="1"/>
        </w:numPr>
        <w:spacing w:after="80"/>
      </w:pPr>
      <w:r>
        <w:t xml:space="preserve">Target encoding: heat_risk_class is label-encoded into heat_risk_class_encoded for XGBoost's multi-class objective.</w:t>
      </w:r>
    </w:p>
    <w:p>
      <w:pPr>
        <w:pStyle w:val="ListParagraph"/>
        <w:numPr>
          <w:ilvl w:val="0"/>
          <w:numId w:val="1"/>
        </w:numPr>
        <w:spacing w:after="80"/>
      </w:pPr>
      <w:r>
        <w:t xml:space="preserve">Train/test split: 80/20 stratified split (random_state=42) to preserve class proportions in both sets.</w:t>
      </w:r>
    </w:p>
    <w:p>
      <w:pPr>
        <w:pStyle w:val="Heading1"/>
        <w:spacing w:after="200" w:before="400"/>
      </w:pPr>
      <w:r>
        <w:t xml:space="preserve">4. Model Training</w:t>
      </w:r>
    </w:p>
    <w:p>
      <w:pPr>
        <w:pStyle w:val="Heading2"/>
        <w:spacing w:after="150" w:before="300"/>
      </w:pPr>
      <w:r>
        <w:t xml:space="preserve">Handling Class Imbalance</w:t>
      </w:r>
    </w:p>
    <w:p>
      <w:pPr>
        <w:spacing w:after="160"/>
      </w:pPr>
      <w:r>
        <w:t xml:space="preserve">Because 'Low' risk observations outnumber 'Critical' observations by roughly 100 to 1, the model would otherwise learn to mostly predict 'Low'. Inverse-frequency sample weights are computed per class and passed to XGBoost during training, so misclassifying a rare High/Critical event is penalized much more heavily than misclassifying a common Low event.</w:t>
      </w:r>
    </w:p>
    <w:p>
      <w:pPr>
        <w:pStyle w:val="Heading2"/>
        <w:spacing w:after="150" w:before="300"/>
      </w:pPr>
      <w:r>
        <w:t xml:space="preserve">Model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100"/>
              <w:left w:type="dxa" w:w="120"/>
              <w:bottom w:type="dxa" w:w="100"/>
              <w:right w:type="dxa" w:w="120"/>
            </w:tcMar>
          </w:tcPr>
          <w:p>
            <w:r>
              <w:rPr>
                <w:b/>
                <w:bCs/>
                <w:color w:val="FFFFFF"/>
                <w:sz w:val="20"/>
                <w:szCs w:val="20"/>
              </w:rPr>
              <w:t xml:space="preserve">Hyperparameter</w:t>
            </w:r>
          </w:p>
        </w:tc>
        <w:tc>
          <w:tcPr>
            <w:tcW w:type="dxa" w:w="4500"/>
            <w:shd w:fill="1F3864" w:val="clear"/>
            <w:tcMar>
              <w:top w:type="dxa" w:w="100"/>
              <w:left w:type="dxa" w:w="120"/>
              <w:bottom w:type="dxa" w:w="100"/>
              <w:right w:type="dxa" w:w="120"/>
            </w:tcMar>
          </w:tcPr>
          <w:p>
            <w:r>
              <w:rPr>
                <w:b/>
                <w:bCs/>
                <w:color w:val="FFFFFF"/>
                <w:sz w:val="20"/>
                <w:szCs w:val="20"/>
              </w:rPr>
              <w:t xml:space="preserve">Value</w:t>
            </w:r>
          </w:p>
        </w:tc>
      </w:tr>
      <w:tr>
        <w:tc>
          <w:tcPr>
            <w:tcW w:type="dxa" w:w="4500"/>
            <w:tcMar>
              <w:top w:type="dxa" w:w="100"/>
              <w:left w:type="dxa" w:w="120"/>
              <w:bottom w:type="dxa" w:w="100"/>
              <w:right w:type="dxa" w:w="120"/>
            </w:tcMar>
          </w:tcPr>
          <w:p>
            <w:r>
              <w:rPr>
                <w:b w:val="false"/>
                <w:bCs w:val="false"/>
                <w:color w:val="000000"/>
                <w:sz w:val="20"/>
                <w:szCs w:val="20"/>
              </w:rPr>
              <w:t xml:space="preserve">n_estimators</w:t>
            </w:r>
          </w:p>
        </w:tc>
        <w:tc>
          <w:tcPr>
            <w:tcW w:type="dxa" w:w="4500"/>
            <w:tcMar>
              <w:top w:type="dxa" w:w="100"/>
              <w:left w:type="dxa" w:w="120"/>
              <w:bottom w:type="dxa" w:w="100"/>
              <w:right w:type="dxa" w:w="120"/>
            </w:tcMar>
          </w:tcPr>
          <w:p>
            <w:r>
              <w:rPr>
                <w:b w:val="false"/>
                <w:bCs w:val="false"/>
                <w:color w:val="000000"/>
                <w:sz w:val="20"/>
                <w:szCs w:val="20"/>
              </w:rPr>
              <w:t xml:space="preserve">200</w:t>
            </w:r>
          </w:p>
        </w:tc>
      </w:tr>
      <w:tr>
        <w:tc>
          <w:tcPr>
            <w:tcW w:type="dxa" w:w="4500"/>
            <w:shd w:fill="F2F2F2" w:val="clear"/>
            <w:tcMar>
              <w:top w:type="dxa" w:w="100"/>
              <w:left w:type="dxa" w:w="120"/>
              <w:bottom w:type="dxa" w:w="100"/>
              <w:right w:type="dxa" w:w="120"/>
            </w:tcMar>
          </w:tcPr>
          <w:p>
            <w:r>
              <w:rPr>
                <w:b w:val="false"/>
                <w:bCs w:val="false"/>
                <w:color w:val="000000"/>
                <w:sz w:val="20"/>
                <w:szCs w:val="20"/>
              </w:rPr>
              <w:t xml:space="preserve">max_depth</w:t>
            </w:r>
          </w:p>
        </w:tc>
        <w:tc>
          <w:tcPr>
            <w:tcW w:type="dxa" w:w="4500"/>
            <w:shd w:fill="F2F2F2" w:val="clear"/>
            <w:tcMar>
              <w:top w:type="dxa" w:w="100"/>
              <w:left w:type="dxa" w:w="120"/>
              <w:bottom w:type="dxa" w:w="100"/>
              <w:right w:type="dxa" w:w="120"/>
            </w:tcMar>
          </w:tcPr>
          <w:p>
            <w:r>
              <w:rPr>
                <w:b w:val="false"/>
                <w:bCs w:val="false"/>
                <w:color w:val="000000"/>
                <w:sz w:val="20"/>
                <w:szCs w:val="20"/>
              </w:rPr>
              <w:t xml:space="preserve">8</w:t>
            </w:r>
          </w:p>
        </w:tc>
      </w:tr>
      <w:tr>
        <w:tc>
          <w:tcPr>
            <w:tcW w:type="dxa" w:w="4500"/>
            <w:tcMar>
              <w:top w:type="dxa" w:w="100"/>
              <w:left w:type="dxa" w:w="120"/>
              <w:bottom w:type="dxa" w:w="100"/>
              <w:right w:type="dxa" w:w="120"/>
            </w:tcMar>
          </w:tcPr>
          <w:p>
            <w:r>
              <w:rPr>
                <w:b w:val="false"/>
                <w:bCs w:val="false"/>
                <w:color w:val="000000"/>
                <w:sz w:val="20"/>
                <w:szCs w:val="20"/>
              </w:rPr>
              <w:t xml:space="preserve">learning_rate</w:t>
            </w:r>
          </w:p>
        </w:tc>
        <w:tc>
          <w:tcPr>
            <w:tcW w:type="dxa" w:w="4500"/>
            <w:tcMar>
              <w:top w:type="dxa" w:w="100"/>
              <w:left w:type="dxa" w:w="120"/>
              <w:bottom w:type="dxa" w:w="100"/>
              <w:right w:type="dxa" w:w="120"/>
            </w:tcMar>
          </w:tcPr>
          <w:p>
            <w:r>
              <w:rPr>
                <w:b w:val="false"/>
                <w:bCs w:val="false"/>
                <w:color w:val="000000"/>
                <w:sz w:val="20"/>
                <w:szCs w:val="20"/>
              </w:rPr>
              <w:t xml:space="preserve">0.1</w:t>
            </w:r>
          </w:p>
        </w:tc>
      </w:tr>
      <w:tr>
        <w:tc>
          <w:tcPr>
            <w:tcW w:type="dxa" w:w="4500"/>
            <w:shd w:fill="F2F2F2" w:val="clear"/>
            <w:tcMar>
              <w:top w:type="dxa" w:w="100"/>
              <w:left w:type="dxa" w:w="120"/>
              <w:bottom w:type="dxa" w:w="100"/>
              <w:right w:type="dxa" w:w="120"/>
            </w:tcMar>
          </w:tcPr>
          <w:p>
            <w:r>
              <w:rPr>
                <w:b w:val="false"/>
                <w:bCs w:val="false"/>
                <w:color w:val="000000"/>
                <w:sz w:val="20"/>
                <w:szCs w:val="20"/>
              </w:rPr>
              <w:t xml:space="preserve">objective</w:t>
            </w:r>
          </w:p>
        </w:tc>
        <w:tc>
          <w:tcPr>
            <w:tcW w:type="dxa" w:w="4500"/>
            <w:shd w:fill="F2F2F2" w:val="clear"/>
            <w:tcMar>
              <w:top w:type="dxa" w:w="100"/>
              <w:left w:type="dxa" w:w="120"/>
              <w:bottom w:type="dxa" w:w="100"/>
              <w:right w:type="dxa" w:w="120"/>
            </w:tcMar>
          </w:tcPr>
          <w:p>
            <w:r>
              <w:rPr>
                <w:b w:val="false"/>
                <w:bCs w:val="false"/>
                <w:color w:val="000000"/>
                <w:sz w:val="20"/>
                <w:szCs w:val="20"/>
              </w:rPr>
              <w:t xml:space="preserve">multi:softprob</w:t>
            </w:r>
          </w:p>
        </w:tc>
      </w:tr>
      <w:tr>
        <w:tc>
          <w:tcPr>
            <w:tcW w:type="dxa" w:w="4500"/>
            <w:tcMar>
              <w:top w:type="dxa" w:w="100"/>
              <w:left w:type="dxa" w:w="120"/>
              <w:bottom w:type="dxa" w:w="100"/>
              <w:right w:type="dxa" w:w="120"/>
            </w:tcMar>
          </w:tcPr>
          <w:p>
            <w:r>
              <w:rPr>
                <w:b w:val="false"/>
                <w:bCs w:val="false"/>
                <w:color w:val="000000"/>
                <w:sz w:val="20"/>
                <w:szCs w:val="20"/>
              </w:rPr>
              <w:t xml:space="preserve">eval_metric</w:t>
            </w:r>
          </w:p>
        </w:tc>
        <w:tc>
          <w:tcPr>
            <w:tcW w:type="dxa" w:w="4500"/>
            <w:tcMar>
              <w:top w:type="dxa" w:w="100"/>
              <w:left w:type="dxa" w:w="120"/>
              <w:bottom w:type="dxa" w:w="100"/>
              <w:right w:type="dxa" w:w="120"/>
            </w:tcMar>
          </w:tcPr>
          <w:p>
            <w:r>
              <w:rPr>
                <w:b w:val="false"/>
                <w:bCs w:val="false"/>
                <w:color w:val="000000"/>
                <w:sz w:val="20"/>
                <w:szCs w:val="20"/>
              </w:rPr>
              <w:t xml:space="preserve">mlogloss</w:t>
            </w:r>
          </w:p>
        </w:tc>
      </w:tr>
      <w:tr>
        <w:tc>
          <w:tcPr>
            <w:tcW w:type="dxa" w:w="4500"/>
            <w:shd w:fill="F2F2F2" w:val="clear"/>
            <w:tcMar>
              <w:top w:type="dxa" w:w="100"/>
              <w:left w:type="dxa" w:w="120"/>
              <w:bottom w:type="dxa" w:w="100"/>
              <w:right w:type="dxa" w:w="120"/>
            </w:tcMar>
          </w:tcPr>
          <w:p>
            <w:r>
              <w:rPr>
                <w:b w:val="false"/>
                <w:bCs w:val="false"/>
                <w:color w:val="000000"/>
                <w:sz w:val="20"/>
                <w:szCs w:val="20"/>
              </w:rPr>
              <w:t xml:space="preserve">random_state</w:t>
            </w:r>
          </w:p>
        </w:tc>
        <w:tc>
          <w:tcPr>
            <w:tcW w:type="dxa" w:w="4500"/>
            <w:shd w:fill="F2F2F2" w:val="clear"/>
            <w:tcMar>
              <w:top w:type="dxa" w:w="100"/>
              <w:left w:type="dxa" w:w="120"/>
              <w:bottom w:type="dxa" w:w="100"/>
              <w:right w:type="dxa" w:w="120"/>
            </w:tcMar>
          </w:tcPr>
          <w:p>
            <w:r>
              <w:rPr>
                <w:b w:val="false"/>
                <w:bCs w:val="false"/>
                <w:color w:val="000000"/>
                <w:sz w:val="20"/>
                <w:szCs w:val="20"/>
              </w:rPr>
              <w:t xml:space="preserve">42</w:t>
            </w:r>
          </w:p>
        </w:tc>
      </w:tr>
    </w:tbl>
    <w:p>
      <w:pPr>
        <w:pStyle w:val="Heading1"/>
        <w:spacing w:after="200" w:before="400"/>
      </w:pPr>
      <w:r>
        <w:t xml:space="preserve">5. Model Evaluation</w:t>
      </w:r>
    </w:p>
    <w:p>
      <w:pPr>
        <w:pStyle w:val="Heading2"/>
        <w:spacing w:after="150" w:before="300"/>
      </w:pPr>
      <w:r>
        <w:t xml:space="preserve">Classification Report — Held-out Test Set (20% random split)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600"/>
      </w:tblGrid>
      <w:tr>
        <w:tc>
          <w:tcPr>
            <w:tcW w:type="dxa" w:w="2600"/>
            <w:shd w:fill="1F3864" w:val="clear"/>
            <w:tcMar>
              <w:top w:type="dxa" w:w="100"/>
              <w:left w:type="dxa" w:w="120"/>
              <w:bottom w:type="dxa" w:w="100"/>
              <w:right w:type="dxa" w:w="120"/>
            </w:tcMar>
          </w:tcPr>
          <w:p>
            <w:r>
              <w:rPr>
                <w:b/>
                <w:bCs/>
                <w:color w:val="FFFFFF"/>
                <w:sz w:val="20"/>
                <w:szCs w:val="20"/>
              </w:rPr>
              <w:t xml:space="preserve">Class</w:t>
            </w:r>
          </w:p>
        </w:tc>
        <w:tc>
          <w:tcPr>
            <w:tcW w:type="dxa" w:w="1600"/>
            <w:shd w:fill="1F3864" w:val="clear"/>
            <w:tcMar>
              <w:top w:type="dxa" w:w="100"/>
              <w:left w:type="dxa" w:w="120"/>
              <w:bottom w:type="dxa" w:w="100"/>
              <w:right w:type="dxa" w:w="120"/>
            </w:tcMar>
          </w:tcPr>
          <w:p>
            <w:r>
              <w:rPr>
                <w:b/>
                <w:bCs/>
                <w:color w:val="FFFFFF"/>
                <w:sz w:val="20"/>
                <w:szCs w:val="20"/>
              </w:rPr>
              <w:t xml:space="preserve">Precision</w:t>
            </w:r>
          </w:p>
        </w:tc>
        <w:tc>
          <w:tcPr>
            <w:tcW w:type="dxa" w:w="1600"/>
            <w:shd w:fill="1F3864" w:val="clear"/>
            <w:tcMar>
              <w:top w:type="dxa" w:w="100"/>
              <w:left w:type="dxa" w:w="120"/>
              <w:bottom w:type="dxa" w:w="100"/>
              <w:right w:type="dxa" w:w="120"/>
            </w:tcMar>
          </w:tcPr>
          <w:p>
            <w:r>
              <w:rPr>
                <w:b/>
                <w:bCs/>
                <w:color w:val="FFFFFF"/>
                <w:sz w:val="20"/>
                <w:szCs w:val="20"/>
              </w:rPr>
              <w:t xml:space="preserve">Recall</w:t>
            </w:r>
          </w:p>
        </w:tc>
        <w:tc>
          <w:tcPr>
            <w:tcW w:type="dxa" w:w="1600"/>
            <w:shd w:fill="1F3864" w:val="clear"/>
            <w:tcMar>
              <w:top w:type="dxa" w:w="100"/>
              <w:left w:type="dxa" w:w="120"/>
              <w:bottom w:type="dxa" w:w="100"/>
              <w:right w:type="dxa" w:w="120"/>
            </w:tcMar>
          </w:tcPr>
          <w:p>
            <w:r>
              <w:rPr>
                <w:b/>
                <w:bCs/>
                <w:color w:val="FFFFFF"/>
                <w:sz w:val="20"/>
                <w:szCs w:val="20"/>
              </w:rPr>
              <w:t xml:space="preserve">F1-score</w:t>
            </w:r>
          </w:p>
        </w:tc>
        <w:tc>
          <w:tcPr>
            <w:tcW w:type="dxa" w:w="2600"/>
            <w:shd w:fill="1F3864" w:val="clear"/>
            <w:tcMar>
              <w:top w:type="dxa" w:w="100"/>
              <w:left w:type="dxa" w:w="120"/>
              <w:bottom w:type="dxa" w:w="100"/>
              <w:right w:type="dxa" w:w="120"/>
            </w:tcMar>
          </w:tcPr>
          <w:p>
            <w:r>
              <w:rPr>
                <w:b/>
                <w:bCs/>
                <w:color w:val="FFFFFF"/>
                <w:sz w:val="20"/>
                <w:szCs w:val="20"/>
              </w:rPr>
              <w:t xml:space="preserve">Support</w:t>
            </w:r>
          </w:p>
        </w:tc>
      </w:tr>
      <w:tr>
        <w:tc>
          <w:tcPr>
            <w:tcW w:type="dxa" w:w="2600"/>
            <w:tcMar>
              <w:top w:type="dxa" w:w="100"/>
              <w:left w:type="dxa" w:w="120"/>
              <w:bottom w:type="dxa" w:w="100"/>
              <w:right w:type="dxa" w:w="120"/>
            </w:tcMar>
          </w:tcPr>
          <w:p>
            <w:r>
              <w:rPr>
                <w:b w:val="false"/>
                <w:bCs w:val="false"/>
                <w:color w:val="000000"/>
                <w:sz w:val="20"/>
                <w:szCs w:val="20"/>
              </w:rPr>
              <w:t xml:space="preserve">Critical</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2600"/>
            <w:tcMar>
              <w:top w:type="dxa" w:w="100"/>
              <w:left w:type="dxa" w:w="120"/>
              <w:bottom w:type="dxa" w:w="100"/>
              <w:right w:type="dxa" w:w="120"/>
            </w:tcMar>
          </w:tcPr>
          <w:p>
            <w:r>
              <w:rPr>
                <w:b w:val="false"/>
                <w:bCs w:val="false"/>
                <w:color w:val="000000"/>
                <w:sz w:val="20"/>
                <w:szCs w:val="20"/>
              </w:rPr>
              <w:t xml:space="preserve">36</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High</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0.99</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0.99</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0.99</w:t>
            </w:r>
          </w:p>
        </w:tc>
        <w:tc>
          <w:tcPr>
            <w:tcW w:type="dxa" w:w="2600"/>
            <w:shd w:fill="F2F2F2" w:val="clear"/>
            <w:tcMar>
              <w:top w:type="dxa" w:w="100"/>
              <w:left w:type="dxa" w:w="120"/>
              <w:bottom w:type="dxa" w:w="100"/>
              <w:right w:type="dxa" w:w="120"/>
            </w:tcMar>
          </w:tcPr>
          <w:p>
            <w:r>
              <w:rPr>
                <w:b w:val="false"/>
                <w:bCs w:val="false"/>
                <w:color w:val="000000"/>
                <w:sz w:val="20"/>
                <w:szCs w:val="20"/>
              </w:rPr>
              <w:t xml:space="preserve">115</w:t>
            </w:r>
          </w:p>
        </w:tc>
      </w:tr>
      <w:tr>
        <w:tc>
          <w:tcPr>
            <w:tcW w:type="dxa" w:w="2600"/>
            <w:tcMar>
              <w:top w:type="dxa" w:w="100"/>
              <w:left w:type="dxa" w:w="120"/>
              <w:bottom w:type="dxa" w:w="100"/>
              <w:right w:type="dxa" w:w="120"/>
            </w:tcMar>
          </w:tcPr>
          <w:p>
            <w:r>
              <w:rPr>
                <w:b w:val="false"/>
                <w:bCs w:val="false"/>
                <w:color w:val="000000"/>
                <w:sz w:val="20"/>
                <w:szCs w:val="20"/>
              </w:rPr>
              <w:t xml:space="preserve">Low</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1600"/>
            <w:tcMar>
              <w:top w:type="dxa" w:w="100"/>
              <w:left w:type="dxa" w:w="120"/>
              <w:bottom w:type="dxa" w:w="100"/>
              <w:right w:type="dxa" w:w="120"/>
            </w:tcMar>
          </w:tcPr>
          <w:p>
            <w:r>
              <w:rPr>
                <w:b w:val="false"/>
                <w:bCs w:val="false"/>
                <w:color w:val="000000"/>
                <w:sz w:val="20"/>
                <w:szCs w:val="20"/>
              </w:rPr>
              <w:t xml:space="preserve">1.00</w:t>
            </w:r>
          </w:p>
        </w:tc>
        <w:tc>
          <w:tcPr>
            <w:tcW w:type="dxa" w:w="2600"/>
            <w:tcMar>
              <w:top w:type="dxa" w:w="100"/>
              <w:left w:type="dxa" w:w="120"/>
              <w:bottom w:type="dxa" w:w="100"/>
              <w:right w:type="dxa" w:w="120"/>
            </w:tcMar>
          </w:tcPr>
          <w:p>
            <w:r>
              <w:rPr>
                <w:b w:val="false"/>
                <w:bCs w:val="false"/>
                <w:color w:val="000000"/>
                <w:sz w:val="20"/>
                <w:szCs w:val="20"/>
              </w:rPr>
              <w:t xml:space="preserve">3,688</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Moderate</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0.99</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0.98</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0.98</w:t>
            </w:r>
          </w:p>
        </w:tc>
        <w:tc>
          <w:tcPr>
            <w:tcW w:type="dxa" w:w="2600"/>
            <w:shd w:fill="F2F2F2" w:val="clear"/>
            <w:tcMar>
              <w:top w:type="dxa" w:w="100"/>
              <w:left w:type="dxa" w:w="120"/>
              <w:bottom w:type="dxa" w:w="100"/>
              <w:right w:type="dxa" w:w="120"/>
            </w:tcMar>
          </w:tcPr>
          <w:p>
            <w:r>
              <w:rPr>
                <w:b w:val="false"/>
                <w:bCs w:val="false"/>
                <w:color w:val="000000"/>
                <w:sz w:val="20"/>
                <w:szCs w:val="20"/>
              </w:rPr>
              <w:t xml:space="preserve">286</w:t>
            </w:r>
          </w:p>
        </w:tc>
      </w:tr>
      <w:tr>
        <w:tc>
          <w:tcPr>
            <w:tcW w:type="dxa" w:w="2600"/>
            <w:tcMar>
              <w:top w:type="dxa" w:w="100"/>
              <w:left w:type="dxa" w:w="120"/>
              <w:bottom w:type="dxa" w:w="100"/>
              <w:right w:type="dxa" w:w="120"/>
            </w:tcMar>
          </w:tcPr>
          <w:p>
            <w:r>
              <w:rPr>
                <w:b w:val="false"/>
                <w:bCs w:val="false"/>
                <w:color w:val="000000"/>
                <w:sz w:val="20"/>
                <w:szCs w:val="20"/>
              </w:rPr>
              <w:t xml:space="preserve">Macro avg</w:t>
            </w:r>
          </w:p>
        </w:tc>
        <w:tc>
          <w:tcPr>
            <w:tcW w:type="dxa" w:w="1600"/>
            <w:tcMar>
              <w:top w:type="dxa" w:w="100"/>
              <w:left w:type="dxa" w:w="120"/>
              <w:bottom w:type="dxa" w:w="100"/>
              <w:right w:type="dxa" w:w="120"/>
            </w:tcMar>
          </w:tcPr>
          <w:p>
            <w:r>
              <w:rPr>
                <w:b w:val="false"/>
                <w:bCs w:val="false"/>
                <w:color w:val="000000"/>
                <w:sz w:val="20"/>
                <w:szCs w:val="20"/>
              </w:rPr>
              <w:t xml:space="preserve">0.99</w:t>
            </w:r>
          </w:p>
        </w:tc>
        <w:tc>
          <w:tcPr>
            <w:tcW w:type="dxa" w:w="1600"/>
            <w:tcMar>
              <w:top w:type="dxa" w:w="100"/>
              <w:left w:type="dxa" w:w="120"/>
              <w:bottom w:type="dxa" w:w="100"/>
              <w:right w:type="dxa" w:w="120"/>
            </w:tcMar>
          </w:tcPr>
          <w:p>
            <w:r>
              <w:rPr>
                <w:b w:val="false"/>
                <w:bCs w:val="false"/>
                <w:color w:val="000000"/>
                <w:sz w:val="20"/>
                <w:szCs w:val="20"/>
              </w:rPr>
              <w:t xml:space="preserve">0.99</w:t>
            </w:r>
          </w:p>
        </w:tc>
        <w:tc>
          <w:tcPr>
            <w:tcW w:type="dxa" w:w="1600"/>
            <w:tcMar>
              <w:top w:type="dxa" w:w="100"/>
              <w:left w:type="dxa" w:w="120"/>
              <w:bottom w:type="dxa" w:w="100"/>
              <w:right w:type="dxa" w:w="120"/>
            </w:tcMar>
          </w:tcPr>
          <w:p>
            <w:r>
              <w:rPr>
                <w:b w:val="false"/>
                <w:bCs w:val="false"/>
                <w:color w:val="000000"/>
                <w:sz w:val="20"/>
                <w:szCs w:val="20"/>
              </w:rPr>
              <w:t xml:space="preserve">0.99</w:t>
            </w:r>
          </w:p>
        </w:tc>
        <w:tc>
          <w:tcPr>
            <w:tcW w:type="dxa" w:w="2600"/>
            <w:tcMar>
              <w:top w:type="dxa" w:w="100"/>
              <w:left w:type="dxa" w:w="120"/>
              <w:bottom w:type="dxa" w:w="100"/>
              <w:right w:type="dxa" w:w="120"/>
            </w:tcMar>
          </w:tcPr>
          <w:p>
            <w:r>
              <w:rPr>
                <w:b w:val="false"/>
                <w:bCs w:val="false"/>
                <w:color w:val="000000"/>
                <w:sz w:val="20"/>
                <w:szCs w:val="20"/>
              </w:rPr>
              <w:t xml:space="preserve">4,125</w:t>
            </w:r>
          </w:p>
        </w:tc>
      </w:tr>
    </w:tbl>
    <w:p>
      <w:pPr>
        <w:spacing w:before="300"/>
      </w:pPr>
    </w:p>
    <w:p>
      <w:pPr>
        <w:spacing w:after="200" w:before="100"/>
        <w:jc w:val="center"/>
      </w:pPr>
      <w:r>
        <w:drawing>
          <wp:inline distT="0" distB="0" distL="0" distR="0">
            <wp:extent cx="4286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362325"/>
                    </a:xfrm>
                    <a:prstGeom prst="rect">
                      <a:avLst/>
                    </a:prstGeom>
                  </pic:spPr>
                </pic:pic>
              </a:graphicData>
            </a:graphic>
          </wp:inline>
        </w:drawing>
      </w:r>
    </w:p>
    <w:p>
      <w:pPr>
        <w:pStyle w:val="Heading2"/>
        <w:spacing w:after="150" w:before="300"/>
      </w:pPr>
      <w:r>
        <w:t xml:space="preserve">Feature Importance</w:t>
      </w:r>
    </w:p>
    <w:p>
      <w:pPr>
        <w:spacing w:after="160"/>
      </w:pPr>
      <w:r>
        <w:t xml:space="preserve">day_of_year is by far the strongest predictor — heat risk is highly seasonal. Growth stage, solar radiation (DNI), and humidity follow as the next most influential features.</w:t>
      </w:r>
    </w:p>
    <w:p>
      <w:pPr>
        <w:spacing w:after="200" w:before="100"/>
        <w:jc w:val="center"/>
      </w:pP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24225"/>
                    </a:xfrm>
                    <a:prstGeom prst="rect">
                      <a:avLst/>
                    </a:prstGeom>
                  </pic:spPr>
                </pic:pic>
              </a:graphicData>
            </a:graphic>
          </wp:inline>
        </w:drawing>
      </w:r>
    </w:p>
    <w:p>
      <w:pPr>
        <w:pStyle w:val="Heading2"/>
        <w:spacing w:after="150" w:before="300"/>
      </w:pPr>
      <w:r>
        <w:t xml:space="preserve">Important Caveat: Random Split vs. Temporal Validation</w:t>
      </w:r>
    </w:p>
    <w:p>
      <w:pPr>
        <w:spacing w:after="160"/>
      </w:pPr>
      <w:r>
        <w:t xml:space="preserve">The random 80/20 split above yields a near-perfect Macro F1 of 0.99 — but this is optimistic. Because observations from the same day/location are scattered across both train and test sets, the model can effectively memorize local patterns rather than truly generalizing to unseen time periods.</w:t>
      </w:r>
    </w:p>
    <w:p>
      <w:pPr>
        <w:spacing w:after="160"/>
      </w:pPr>
      <w:r>
        <w:t xml:space="preserve">A more realistic estimate comes from temporal cross-validation (training on earlier periods, testing on later ones), which better reflects how the model will perform in production on genuinely new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3864" w:val="clear"/>
            <w:tcMar>
              <w:top w:type="dxa" w:w="100"/>
              <w:left w:type="dxa" w:w="120"/>
              <w:bottom w:type="dxa" w:w="100"/>
              <w:right w:type="dxa" w:w="120"/>
            </w:tcMar>
          </w:tcPr>
          <w:p>
            <w:r>
              <w:rPr>
                <w:b/>
                <w:bCs/>
                <w:color w:val="FFFFFF"/>
                <w:sz w:val="20"/>
                <w:szCs w:val="20"/>
              </w:rPr>
              <w:t xml:space="preserve">Metric</w:t>
            </w:r>
          </w:p>
        </w:tc>
        <w:tc>
          <w:tcPr>
            <w:tcW w:type="dxa" w:w="3500"/>
            <w:shd w:fill="1F3864" w:val="clear"/>
            <w:tcMar>
              <w:top w:type="dxa" w:w="100"/>
              <w:left w:type="dxa" w:w="120"/>
              <w:bottom w:type="dxa" w:w="100"/>
              <w:right w:type="dxa" w:w="120"/>
            </w:tcMar>
          </w:tcPr>
          <w:p>
            <w:r>
              <w:rPr>
                <w:b/>
                <w:bCs/>
                <w:color w:val="FFFFFF"/>
                <w:sz w:val="20"/>
                <w:szCs w:val="20"/>
              </w:rPr>
              <w:t xml:space="preserve">Temporal CV Result</w:t>
            </w:r>
          </w:p>
        </w:tc>
      </w:tr>
      <w:tr>
        <w:tc>
          <w:tcPr>
            <w:tcW w:type="dxa" w:w="5500"/>
            <w:tcMar>
              <w:top w:type="dxa" w:w="100"/>
              <w:left w:type="dxa" w:w="120"/>
              <w:bottom w:type="dxa" w:w="100"/>
              <w:right w:type="dxa" w:w="120"/>
            </w:tcMar>
          </w:tcPr>
          <w:p>
            <w:r>
              <w:rPr>
                <w:b w:val="false"/>
                <w:bCs w:val="false"/>
                <w:color w:val="000000"/>
                <w:sz w:val="20"/>
                <w:szCs w:val="20"/>
              </w:rPr>
              <w:t xml:space="preserve">Mean Macro F1</w:t>
            </w:r>
          </w:p>
        </w:tc>
        <w:tc>
          <w:tcPr>
            <w:tcW w:type="dxa" w:w="3500"/>
            <w:tcMar>
              <w:top w:type="dxa" w:w="100"/>
              <w:left w:type="dxa" w:w="120"/>
              <w:bottom w:type="dxa" w:w="100"/>
              <w:right w:type="dxa" w:w="120"/>
            </w:tcMar>
          </w:tcPr>
          <w:p>
            <w:r>
              <w:rPr>
                <w:b w:val="false"/>
                <w:bCs w:val="false"/>
                <w:color w:val="000000"/>
                <w:sz w:val="20"/>
                <w:szCs w:val="20"/>
              </w:rPr>
              <w:t xml:space="preserve">0.8856 (± 0.1646)</w:t>
            </w:r>
          </w:p>
        </w:tc>
      </w:tr>
      <w:tr>
        <w:tc>
          <w:tcPr>
            <w:tcW w:type="dxa" w:w="5500"/>
            <w:shd w:fill="F2F2F2" w:val="clear"/>
            <w:tcMar>
              <w:top w:type="dxa" w:w="100"/>
              <w:left w:type="dxa" w:w="120"/>
              <w:bottom w:type="dxa" w:w="100"/>
              <w:right w:type="dxa" w:w="120"/>
            </w:tcMar>
          </w:tcPr>
          <w:p>
            <w:r>
              <w:rPr>
                <w:b w:val="false"/>
                <w:bCs w:val="false"/>
                <w:color w:val="000000"/>
                <w:sz w:val="20"/>
                <w:szCs w:val="20"/>
              </w:rPr>
              <w:t xml:space="preserve">Mean Critical-class Recall</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0.9618 (± 0.0854)</w:t>
            </w:r>
          </w:p>
        </w:tc>
      </w:tr>
      <w:tr>
        <w:tc>
          <w:tcPr>
            <w:tcW w:type="dxa" w:w="5500"/>
            <w:tcMar>
              <w:top w:type="dxa" w:w="100"/>
              <w:left w:type="dxa" w:w="120"/>
              <w:bottom w:type="dxa" w:w="100"/>
              <w:right w:type="dxa" w:w="120"/>
            </w:tcMar>
          </w:tcPr>
          <w:p>
            <w:r>
              <w:rPr>
                <w:b w:val="false"/>
                <w:bCs w:val="false"/>
                <w:color w:val="000000"/>
                <w:sz w:val="20"/>
                <w:szCs w:val="20"/>
              </w:rPr>
              <w:t xml:space="preserve">Mean High-class Recall</w:t>
            </w:r>
          </w:p>
        </w:tc>
        <w:tc>
          <w:tcPr>
            <w:tcW w:type="dxa" w:w="3500"/>
            <w:tcMar>
              <w:top w:type="dxa" w:w="100"/>
              <w:left w:type="dxa" w:w="120"/>
              <w:bottom w:type="dxa" w:w="100"/>
              <w:right w:type="dxa" w:w="120"/>
            </w:tcMar>
          </w:tcPr>
          <w:p>
            <w:r>
              <w:rPr>
                <w:b w:val="false"/>
                <w:bCs w:val="false"/>
                <w:color w:val="000000"/>
                <w:sz w:val="20"/>
                <w:szCs w:val="20"/>
              </w:rPr>
              <w:t xml:space="preserve">0.4973 (± 0.4647)</w:t>
            </w:r>
          </w:p>
        </w:tc>
      </w:tr>
    </w:tbl>
    <w:p>
      <w:pPr>
        <w:spacing w:after="160"/>
      </w:pPr>
      <w:r>
        <w:rPr>
          <w:i/>
          <w:iCs/>
          <w:color w:val="595959"/>
        </w:rPr>
        <w:t xml:space="preserve">Takeaway: the model is very reliable at catching Critical heat events (which matters most operationally), but recall on the High class is inconsistent across time periods and is the primary area for future improvement — likely via more High-class training examples or additional features.</w:t>
      </w:r>
    </w:p>
    <w:p>
      <w:pPr>
        <w:pStyle w:val="Heading1"/>
        <w:spacing w:after="200" w:before="400"/>
      </w:pPr>
      <w:r>
        <w:t xml:space="preserve">6. Saved Artifacts &amp; Deployment</w:t>
      </w:r>
    </w:p>
    <w:p>
      <w:pPr>
        <w:spacing w:after="160"/>
      </w:pPr>
      <w:r>
        <w:t xml:space="preserve">Four files are saved together so the trained model can be reloaded and used independently of the training notebook:</w:t>
      </w:r>
    </w:p>
    <w:p>
      <w:pPr>
        <w:pStyle w:val="ListParagraph"/>
        <w:numPr>
          <w:ilvl w:val="0"/>
          <w:numId w:val="1"/>
        </w:numPr>
        <w:spacing w:after="80"/>
      </w:pPr>
      <w:r>
        <w:t xml:space="preserve">heat_risk_model.pkl — the trained XGBoost model</w:t>
      </w:r>
    </w:p>
    <w:p>
      <w:pPr>
        <w:pStyle w:val="ListParagraph"/>
        <w:numPr>
          <w:ilvl w:val="0"/>
          <w:numId w:val="1"/>
        </w:numPr>
        <w:spacing w:after="80"/>
      </w:pPr>
      <w:r>
        <w:t xml:space="preserve">label_encoders.pkl — encoders for location and growth_stage</w:t>
      </w:r>
    </w:p>
    <w:p>
      <w:pPr>
        <w:pStyle w:val="ListParagraph"/>
        <w:numPr>
          <w:ilvl w:val="0"/>
          <w:numId w:val="1"/>
        </w:numPr>
        <w:spacing w:after="80"/>
      </w:pPr>
      <w:r>
        <w:t xml:space="preserve">target_encoder.pkl — encoder/decoder for heat_risk_class</w:t>
      </w:r>
    </w:p>
    <w:p>
      <w:pPr>
        <w:pStyle w:val="ListParagraph"/>
        <w:numPr>
          <w:ilvl w:val="0"/>
          <w:numId w:val="1"/>
        </w:numPr>
        <w:spacing w:after="80"/>
      </w:pPr>
      <w:r>
        <w:t xml:space="preserve">feature_columns.pkl — the exact feature order the model expects</w:t>
      </w:r>
    </w:p>
    <w:p>
      <w:pPr>
        <w:pStyle w:val="Heading2"/>
        <w:spacing w:after="150" w:before="300"/>
      </w:pPr>
      <w:r>
        <w:t xml:space="preserve">Inference Function</w:t>
      </w:r>
    </w:p>
    <w:p>
      <w:pPr>
        <w:spacing w:after="160"/>
      </w:pPr>
      <w:r>
        <w:t xml:space="preserve">predict_heat_risk(new_data) accepts a DataFrame of raw (unencoded) input columns, applies the saved encoders in the correct order, and returns both the predicted class and full class probabilities. It raises a clear error if required columns are missing or if a categorical value wasn't seen during training.</w:t>
      </w:r>
    </w:p>
    <w:p>
      <w:pPr>
        <w:pStyle w:val="Heading2"/>
        <w:spacing w:after="150" w:before="300"/>
      </w:pPr>
      <w:r>
        <w:t xml:space="preserve">Usage Steps</w:t>
      </w:r>
    </w:p>
    <w:p>
      <w:pPr>
        <w:pStyle w:val="ListParagraph"/>
        <w:numPr>
          <w:ilvl w:val="0"/>
          <w:numId w:val="1"/>
        </w:numPr>
        <w:spacing w:after="80"/>
      </w:pPr>
      <w:r>
        <w:t xml:space="preserve">1. Run the notebook once end-to-end to train and save all model artifacts.</w:t>
      </w:r>
    </w:p>
    <w:p>
      <w:pPr>
        <w:pStyle w:val="ListParagraph"/>
        <w:numPr>
          <w:ilvl w:val="0"/>
          <w:numId w:val="1"/>
        </w:numPr>
        <w:spacing w:after="80"/>
      </w:pPr>
      <w:r>
        <w:t xml:space="preserve">2. In any future session/service, load the four .pkl files.</w:t>
      </w:r>
    </w:p>
    <w:p>
      <w:pPr>
        <w:pStyle w:val="ListParagraph"/>
        <w:numPr>
          <w:ilvl w:val="0"/>
          <w:numId w:val="1"/>
        </w:numPr>
        <w:spacing w:after="80"/>
      </w:pPr>
      <w:r>
        <w:t xml:space="preserve">3. Call predict_heat_risk(new_data) with a DataFrame matching the required raw columns.</w:t>
      </w:r>
    </w:p>
    <w:p>
      <w:pPr>
        <w:pStyle w:val="ListParagraph"/>
        <w:numPr>
          <w:ilvl w:val="0"/>
          <w:numId w:val="1"/>
        </w:numPr>
        <w:spacing w:after="80"/>
      </w:pPr>
      <w:r>
        <w:t xml:space="preserve">4. Monitor High-class recall in production and retrain periodically as more data accumulates.</w:t>
      </w:r>
    </w:p>
    <w:p>
      <w:pPr>
        <w:pStyle w:val="Heading1"/>
        <w:spacing w:after="200" w:before="400"/>
      </w:pPr>
      <w:r>
        <w:t xml:space="preserve">7. Summary &amp;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3864" w:val="clear"/>
            <w:tcMar>
              <w:top w:type="dxa" w:w="100"/>
              <w:left w:type="dxa" w:w="120"/>
              <w:bottom w:type="dxa" w:w="100"/>
              <w:right w:type="dxa" w:w="120"/>
            </w:tcMar>
          </w:tcPr>
          <w:p>
            <w:r>
              <w:rPr>
                <w:b/>
                <w:bCs/>
                <w:color w:val="FFFFFF"/>
                <w:sz w:val="20"/>
                <w:szCs w:val="20"/>
              </w:rPr>
              <w:t xml:space="preserve">Item</w:t>
            </w:r>
          </w:p>
        </w:tc>
        <w:tc>
          <w:tcPr>
            <w:tcW w:type="dxa" w:w="3500"/>
            <w:shd w:fill="1F3864" w:val="clear"/>
            <w:tcMar>
              <w:top w:type="dxa" w:w="100"/>
              <w:left w:type="dxa" w:w="120"/>
              <w:bottom w:type="dxa" w:w="100"/>
              <w:right w:type="dxa" w:w="120"/>
            </w:tcMar>
          </w:tcPr>
          <w:p>
            <w:r>
              <w:rPr>
                <w:b/>
                <w:bCs/>
                <w:color w:val="FFFFFF"/>
                <w:sz w:val="20"/>
                <w:szCs w:val="20"/>
              </w:rPr>
              <w:t xml:space="preserve">Status</w:t>
            </w:r>
          </w:p>
        </w:tc>
      </w:tr>
      <w:tr>
        <w:tc>
          <w:tcPr>
            <w:tcW w:type="dxa" w:w="5500"/>
            <w:tcMar>
              <w:top w:type="dxa" w:w="100"/>
              <w:left w:type="dxa" w:w="120"/>
              <w:bottom w:type="dxa" w:w="100"/>
              <w:right w:type="dxa" w:w="120"/>
            </w:tcMar>
          </w:tcPr>
          <w:p>
            <w:r>
              <w:rPr>
                <w:b w:val="false"/>
                <w:bCs w:val="false"/>
                <w:color w:val="000000"/>
                <w:sz w:val="20"/>
                <w:szCs w:val="20"/>
              </w:rPr>
              <w:t xml:space="preserve">Trained on real NOAA data</w:t>
            </w:r>
          </w:p>
        </w:tc>
        <w:tc>
          <w:tcPr>
            <w:tcW w:type="dxa" w:w="3500"/>
            <w:tcMar>
              <w:top w:type="dxa" w:w="100"/>
              <w:left w:type="dxa" w:w="120"/>
              <w:bottom w:type="dxa" w:w="100"/>
              <w:right w:type="dxa" w:w="120"/>
            </w:tcMar>
          </w:tcPr>
          <w:p>
            <w:r>
              <w:rPr>
                <w:b w:val="false"/>
                <w:bCs w:val="false"/>
                <w:color w:val="000000"/>
                <w:sz w:val="20"/>
                <w:szCs w:val="20"/>
              </w:rPr>
              <w:t xml:space="preserve">✅ Complete</w:t>
            </w:r>
          </w:p>
        </w:tc>
      </w:tr>
      <w:tr>
        <w:tc>
          <w:tcPr>
            <w:tcW w:type="dxa" w:w="5500"/>
            <w:shd w:fill="F2F2F2" w:val="clear"/>
            <w:tcMar>
              <w:top w:type="dxa" w:w="100"/>
              <w:left w:type="dxa" w:w="120"/>
              <w:bottom w:type="dxa" w:w="100"/>
              <w:right w:type="dxa" w:w="120"/>
            </w:tcMar>
          </w:tcPr>
          <w:p>
            <w:r>
              <w:rPr>
                <w:b w:val="false"/>
                <w:bCs w:val="false"/>
                <w:color w:val="000000"/>
                <w:sz w:val="20"/>
                <w:szCs w:val="20"/>
              </w:rPr>
              <w:t xml:space="preserve">Environmental features integrated</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 Complete</w:t>
            </w:r>
          </w:p>
        </w:tc>
      </w:tr>
      <w:tr>
        <w:tc>
          <w:tcPr>
            <w:tcW w:type="dxa" w:w="5500"/>
            <w:tcMar>
              <w:top w:type="dxa" w:w="100"/>
              <w:left w:type="dxa" w:w="120"/>
              <w:bottom w:type="dxa" w:w="100"/>
              <w:right w:type="dxa" w:w="120"/>
            </w:tcMar>
          </w:tcPr>
          <w:p>
            <w:r>
              <w:rPr>
                <w:b w:val="false"/>
                <w:bCs w:val="false"/>
                <w:color w:val="000000"/>
                <w:sz w:val="20"/>
                <w:szCs w:val="20"/>
              </w:rPr>
              <w:t xml:space="preserve">Class imbalance handled</w:t>
            </w:r>
          </w:p>
        </w:tc>
        <w:tc>
          <w:tcPr>
            <w:tcW w:type="dxa" w:w="3500"/>
            <w:tcMar>
              <w:top w:type="dxa" w:w="100"/>
              <w:left w:type="dxa" w:w="120"/>
              <w:bottom w:type="dxa" w:w="100"/>
              <w:right w:type="dxa" w:w="120"/>
            </w:tcMar>
          </w:tcPr>
          <w:p>
            <w:r>
              <w:rPr>
                <w:b w:val="false"/>
                <w:bCs w:val="false"/>
                <w:color w:val="000000"/>
                <w:sz w:val="20"/>
                <w:szCs w:val="20"/>
              </w:rPr>
              <w:t xml:space="preserve">✅ Sample weighting applied</w:t>
            </w:r>
          </w:p>
        </w:tc>
      </w:tr>
      <w:tr>
        <w:tc>
          <w:tcPr>
            <w:tcW w:type="dxa" w:w="5500"/>
            <w:shd w:fill="F2F2F2" w:val="clear"/>
            <w:tcMar>
              <w:top w:type="dxa" w:w="100"/>
              <w:left w:type="dxa" w:w="120"/>
              <w:bottom w:type="dxa" w:w="100"/>
              <w:right w:type="dxa" w:w="120"/>
            </w:tcMar>
          </w:tcPr>
          <w:p>
            <w:r>
              <w:rPr>
                <w:b w:val="false"/>
                <w:bCs w:val="false"/>
                <w:color w:val="000000"/>
                <w:sz w:val="20"/>
                <w:szCs w:val="20"/>
              </w:rPr>
              <w:t xml:space="preserve">Temporal validation</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 Complete</w:t>
            </w:r>
          </w:p>
        </w:tc>
      </w:tr>
      <w:tr>
        <w:tc>
          <w:tcPr>
            <w:tcW w:type="dxa" w:w="5500"/>
            <w:tcMar>
              <w:top w:type="dxa" w:w="100"/>
              <w:left w:type="dxa" w:w="120"/>
              <w:bottom w:type="dxa" w:w="100"/>
              <w:right w:type="dxa" w:w="120"/>
            </w:tcMar>
          </w:tcPr>
          <w:p>
            <w:r>
              <w:rPr>
                <w:b w:val="false"/>
                <w:bCs w:val="false"/>
                <w:color w:val="000000"/>
                <w:sz w:val="20"/>
                <w:szCs w:val="20"/>
              </w:rPr>
              <w:t xml:space="preserve">Reusable inference function</w:t>
            </w:r>
          </w:p>
        </w:tc>
        <w:tc>
          <w:tcPr>
            <w:tcW w:type="dxa" w:w="3500"/>
            <w:tcMar>
              <w:top w:type="dxa" w:w="100"/>
              <w:left w:type="dxa" w:w="120"/>
              <w:bottom w:type="dxa" w:w="100"/>
              <w:right w:type="dxa" w:w="120"/>
            </w:tcMar>
          </w:tcPr>
          <w:p>
            <w:r>
              <w:rPr>
                <w:b w:val="false"/>
                <w:bCs w:val="false"/>
                <w:color w:val="000000"/>
                <w:sz w:val="20"/>
                <w:szCs w:val="20"/>
              </w:rPr>
              <w:t xml:space="preserve">✅ Complete</w:t>
            </w:r>
          </w:p>
        </w:tc>
      </w:tr>
      <w:tr>
        <w:tc>
          <w:tcPr>
            <w:tcW w:type="dxa" w:w="5500"/>
            <w:shd w:fill="F2F2F2" w:val="clear"/>
            <w:tcMar>
              <w:top w:type="dxa" w:w="100"/>
              <w:left w:type="dxa" w:w="120"/>
              <w:bottom w:type="dxa" w:w="100"/>
              <w:right w:type="dxa" w:w="120"/>
            </w:tcMar>
          </w:tcPr>
          <w:p>
            <w:r>
              <w:rPr>
                <w:b w:val="false"/>
                <w:bCs w:val="false"/>
                <w:color w:val="000000"/>
                <w:sz w:val="20"/>
                <w:szCs w:val="20"/>
              </w:rPr>
              <w:t xml:space="preserve">Production-ready</w:t>
            </w:r>
          </w:p>
        </w:tc>
        <w:tc>
          <w:tcPr>
            <w:tcW w:type="dxa" w:w="3500"/>
            <w:shd w:fill="F2F2F2" w:val="clear"/>
            <w:tcMar>
              <w:top w:type="dxa" w:w="100"/>
              <w:left w:type="dxa" w:w="120"/>
              <w:bottom w:type="dxa" w:w="100"/>
              <w:right w:type="dxa" w:w="120"/>
            </w:tcMar>
          </w:tcPr>
          <w:p>
            <w:r>
              <w:rPr>
                <w:b w:val="false"/>
                <w:bCs w:val="false"/>
                <w:color w:val="000000"/>
                <w:sz w:val="20"/>
                <w:szCs w:val="20"/>
              </w:rPr>
              <w:t xml:space="preserve">✅ Yes, with monitoring recommended</w:t>
            </w:r>
          </w:p>
        </w:tc>
      </w:tr>
    </w:tbl>
    <w:p>
      <w:pPr>
        <w:spacing w:before="300"/>
      </w:pPr>
    </w:p>
    <w:p>
      <w:pPr>
        <w:pStyle w:val="Heading2"/>
        <w:spacing w:after="150" w:before="300"/>
      </w:pPr>
      <w:r>
        <w:t xml:space="preserve">Recommended Next Steps</w:t>
      </w:r>
    </w:p>
    <w:p>
      <w:pPr>
        <w:pStyle w:val="ListParagraph"/>
        <w:numPr>
          <w:ilvl w:val="0"/>
          <w:numId w:val="1"/>
        </w:numPr>
        <w:spacing w:after="80"/>
      </w:pPr>
      <w:r>
        <w:t xml:space="preserve">Collect additional High-risk-class examples to stabilize recall for that category.</w:t>
      </w:r>
    </w:p>
    <w:p>
      <w:pPr>
        <w:pStyle w:val="ListParagraph"/>
        <w:numPr>
          <w:ilvl w:val="0"/>
          <w:numId w:val="1"/>
        </w:numPr>
        <w:spacing w:after="80"/>
      </w:pPr>
      <w:r>
        <w:t xml:space="preserve">Re-run temporal cross-validation periodically as new growing seasons of data become available.</w:t>
      </w:r>
    </w:p>
    <w:p>
      <w:pPr>
        <w:pStyle w:val="ListParagraph"/>
        <w:numPr>
          <w:ilvl w:val="0"/>
          <w:numId w:val="1"/>
        </w:numPr>
        <w:spacing w:after="80"/>
      </w:pPr>
      <w:r>
        <w:t xml:space="preserve">Add a monitoring dashboard to track prediction distribution drift over time.</w:t>
      </w:r>
    </w:p>
    <w:p>
      <w:pPr>
        <w:pStyle w:val="ListParagraph"/>
        <w:numPr>
          <w:ilvl w:val="0"/>
          <w:numId w:val="1"/>
        </w:numPr>
        <w:spacing w:after="80"/>
      </w:pPr>
      <w:r>
        <w:t xml:space="preserve">Consider expanding to additional crop types beyond soybean phenology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C55A1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9f54605c6cc91860f397c2dbdd62803497a35a.png"/><Relationship Id="rId8" Type="http://schemas.openxmlformats.org/officeDocument/2006/relationships/image" Target="media/8d41c651be54a171bb463da955a8fa88dfe2a49d.png"/><Relationship Id="rId9" Type="http://schemas.openxmlformats.org/officeDocument/2006/relationships/image" Target="media/869a165c7776860210b9bf9a2311a83ce1c5ae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2026-08-29T17:12:31.663Z</dcterms:created>
  <dcterms:modified xsi:type="dcterms:W3CDTF">2026-08-29T17:12:31.663Z</dcterms:modified>
</cp:coreProperties>
</file>

<file path=docProps/custom.xml><?xml version="1.0" encoding="utf-8"?>
<Properties xmlns="http://schemas.openxmlformats.org/officeDocument/2006/custom-properties" xmlns:vt="http://schemas.openxmlformats.org/officeDocument/2006/docPropsVTypes"/>
</file>