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50"/>
        </w:rPr>
        <w:t>QUOTATION</w:t>
      </w:r>
    </w:p>
    <w:p>
      <w:pPr>
        <w:spacing w:after="240"/>
      </w:pPr>
      <w:r>
        <w:rPr>
          <w:b/>
          <w:color w:val="6B7280"/>
          <w:sz w:val="22"/>
        </w:rPr>
        <w:t>AI Infrastructure and Business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3F6F9"/>
          </w:tcPr>
          <w:p>
            <w:pPr>
              <w:spacing w:after="0"/>
            </w:pPr>
            <w:r>
              <w:rPr>
                <w:b/>
                <w:color w:val="6B7280"/>
                <w:sz w:val="16"/>
              </w:rPr>
              <w:t>Prepared For</w:t>
              <w:br/>
              <w:t>National Bonds (UAE)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0"/>
            </w:pPr>
            <w:r>
              <w:rPr>
                <w:b/>
                <w:color w:val="6B7280"/>
                <w:sz w:val="16"/>
              </w:rPr>
              <w:t>Date</w:t>
              <w:br/>
              <w:t>07 September 2026</w:t>
            </w:r>
          </w:p>
        </w:tc>
      </w:tr>
      <w:tr>
        <w:tc>
          <w:tcPr>
            <w:tcW w:type="dxa" w:w="5112"/>
            <w:vAlign w:val="center"/>
            <w:shd w:fill="F3F6F9"/>
          </w:tcPr>
          <w:p>
            <w:pPr>
              <w:spacing w:after="0"/>
            </w:pPr>
            <w:r>
              <w:rPr>
                <w:b/>
                <w:color w:val="6B7280"/>
                <w:sz w:val="16"/>
              </w:rPr>
              <w:t>Payment Frequency</w:t>
              <w:br/>
              <w:t>Weekly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0"/>
            </w:pPr>
            <w:r>
              <w:rPr>
                <w:b/>
                <w:color w:val="6B7280"/>
                <w:sz w:val="16"/>
              </w:rPr>
              <w:t>Currency</w:t>
              <w:br/>
              <w:t>AED</w:t>
            </w:r>
          </w:p>
        </w:tc>
      </w:tr>
    </w:tbl>
    <w:p>
      <w:pPr>
        <w:spacing w:before="160" w:after="120"/>
      </w:pPr>
      <w:r>
        <w:rPr>
          <w:b/>
          <w:color w:val="1F4E79"/>
          <w:sz w:val="24"/>
        </w:rPr>
        <w:t>FEE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 / COST CATEGORY</w:t>
            </w:r>
          </w:p>
        </w:tc>
        <w:tc>
          <w:tcPr>
            <w:tcW w:type="dxa" w:w="3408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BILLING BASIS</w:t>
            </w:r>
          </w:p>
        </w:tc>
        <w:tc>
          <w:tcPr>
            <w:tcW w:type="dxa" w:w="3408"/>
            <w:shd w:fill="1F4E7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WEEKLY FEE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AI Automated Analysis 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Weekly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AED 3,000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AI Tokens &amp; API Usage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</w:rPr>
              <w:t>One-time payment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AED 4,000</w:t>
            </w:r>
          </w:p>
        </w:tc>
      </w:tr>
    </w:tbl>
    <w:p>
      <w:pPr>
        <w:spacing w:before="200" w:after="60"/>
        <w:jc w:val="right"/>
      </w:pPr>
      <w:r>
        <w:rPr>
          <w:b/>
          <w:color w:val="374151"/>
          <w:sz w:val="20"/>
        </w:rPr>
        <w:t xml:space="preserve">WEEKLY AI AUTOMATED ANALYSIS DASHBOARD  </w:t>
      </w:r>
      <w:r>
        <w:rPr>
          <w:b/>
          <w:color w:val="1F4E79"/>
          <w:sz w:val="34"/>
        </w:rPr>
        <w:t>AED 3,000</w:t>
      </w:r>
    </w:p>
    <w:p>
      <w:pPr>
        <w:spacing w:before="60" w:after="40"/>
        <w:jc w:val="right"/>
      </w:pPr>
      <w:r>
        <w:rPr>
          <w:b/>
          <w:color w:val="374151"/>
          <w:sz w:val="20"/>
        </w:rPr>
        <w:t xml:space="preserve">ONE-TIME AI / API COST  </w:t>
      </w:r>
      <w:r>
        <w:rPr>
          <w:b/>
          <w:color w:val="1F4E79"/>
          <w:sz w:val="34"/>
        </w:rPr>
        <w:t>AED 4,000</w:t>
      </w:r>
    </w:p>
    <w:p>
      <w:pPr>
        <w:spacing w:before="160" w:after="40"/>
      </w:pPr>
      <w:r>
        <w:rPr>
          <w:b/>
          <w:color w:val="1F4E79"/>
          <w:sz w:val="20"/>
        </w:rPr>
        <w:t>Payment Summary</w:t>
      </w:r>
    </w:p>
    <w:p>
      <w:pPr>
        <w:spacing w:after="160"/>
      </w:pPr>
      <w:r>
        <w:t>The AI Automated Analysis Dashboard fee is AED 3,000 per week. A one-time payment of AED 4,000 covers the initial AI token and API usage costs required for the agreed scope of work.</w:t>
      </w:r>
    </w:p>
    <w:p>
      <w:pPr>
        <w:spacing w:before="240" w:after="40"/>
      </w:pPr>
      <w:r>
        <w:rPr>
          <w:b/>
          <w:color w:val="6B7280"/>
          <w:sz w:val="18"/>
        </w:rPr>
        <w:t>Prepared by</w:t>
      </w:r>
    </w:p>
    <w:p>
      <w:pPr>
        <w:spacing w:after="20"/>
      </w:pPr>
      <w:r>
        <w:rPr>
          <w:b/>
          <w:color w:val="1F2937"/>
          <w:sz w:val="22"/>
        </w:rPr>
        <w:t>Jawad Ahmad</w:t>
      </w:r>
    </w:p>
    <w:p>
      <w:pPr>
        <w:spacing w:after="0"/>
      </w:pPr>
      <w:r>
        <w:rPr>
          <w:color w:val="6B7280"/>
          <w:sz w:val="19"/>
        </w:rPr>
        <w:t>Lead AI &amp; Business Solutions Architect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