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8"/>
        </w:rPr>
        <w:t>AgriBusiness Platform Audit</w:t>
      </w:r>
    </w:p>
    <w:p>
      <w:r>
        <w:rPr>
          <w:color w:val="555555"/>
        </w:rPr>
        <w:t>Product, frontend, backend, security and operations review | 24 August 2026</w:t>
      </w:r>
    </w:p>
    <w:p>
      <w:pPr>
        <w:pStyle w:val="Heading1"/>
      </w:pPr>
      <w:r>
        <w:t>Executive summary</w:t>
      </w:r>
    </w:p>
    <w:p>
      <w:r>
        <w:t>AgriBusiness is a strong Pakistan-focused marketplace foundation: it already contains account roles, profiles, category browsing, listings, project briefs, proposals, messaging, clinic-style support, internal advertising, approval controls, trial handling, and administrative governance. The product is not yet release-complete because several critical database-to-UI mismatches, incomplete monetization workflows, and trust/safety gaps can lead to blank screens, misleading metrics, or unverified business activity.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0"/>
            <w:shd w:fill="E8EEF5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200"/>
            <w:shd w:fill="E8EEF5"/>
            <w:vAlign w:val="center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1860"/>
            <w:shd w:fill="E8EEF5"/>
            <w:vAlign w:val="center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300"/>
            <w:vAlign w:val="top"/>
          </w:tcPr>
          <w:p>
            <w:r>
              <w:t>Core marketplace</w:t>
            </w:r>
          </w:p>
        </w:tc>
        <w:tc>
          <w:tcPr>
            <w:tcW w:type="dxa" w:w="5200"/>
            <w:vAlign w:val="top"/>
          </w:tcPr>
          <w:p>
            <w:r>
              <w:t>Implemented foundation: listings, profiles, categories, messaging, projects and proposals.</w:t>
            </w:r>
          </w:p>
        </w:tc>
        <w:tc>
          <w:tcPr>
            <w:tcW w:type="dxa" w:w="1860"/>
            <w:vAlign w:val="top"/>
          </w:tcPr>
          <w:p>
            <w:r>
              <w:t>Good base</w:t>
            </w:r>
          </w:p>
        </w:tc>
      </w:tr>
      <w:tr>
        <w:tc>
          <w:tcPr>
            <w:tcW w:type="dxa" w:w="2300"/>
            <w:vAlign w:val="top"/>
          </w:tcPr>
          <w:p>
            <w:r>
              <w:t>Role onboarding</w:t>
            </w:r>
          </w:p>
        </w:tc>
        <w:tc>
          <w:tcPr>
            <w:tcW w:type="dxa" w:w="5200"/>
            <w:vAlign w:val="top"/>
          </w:tcPr>
          <w:p>
            <w:r>
              <w:t>Now captures sector, specialities and role-specific information. Migration must be deployed.</w:t>
            </w:r>
          </w:p>
        </w:tc>
        <w:tc>
          <w:tcPr>
            <w:tcW w:type="dxa" w:w="1860"/>
            <w:vAlign w:val="top"/>
          </w:tcPr>
          <w:p>
            <w:r>
              <w:t>Release blocker until deployed</w:t>
            </w:r>
          </w:p>
        </w:tc>
      </w:tr>
      <w:tr>
        <w:tc>
          <w:tcPr>
            <w:tcW w:type="dxa" w:w="2300"/>
            <w:vAlign w:val="top"/>
          </w:tcPr>
          <w:p>
            <w:r>
              <w:t>Admin operations</w:t>
            </w:r>
          </w:p>
        </w:tc>
        <w:tc>
          <w:tcPr>
            <w:tcW w:type="dxa" w:w="5200"/>
            <w:vAlign w:val="top"/>
          </w:tcPr>
          <w:p>
            <w:r>
              <w:t>Controls exist, but data sources had table-name mismatches and lacked partial-failure feedback.</w:t>
            </w:r>
          </w:p>
        </w:tc>
        <w:tc>
          <w:tcPr>
            <w:tcW w:type="dxa" w:w="1860"/>
            <w:vAlign w:val="top"/>
          </w:tcPr>
          <w:p>
            <w:r>
              <w:t>Fixed in code; verify in staging</w:t>
            </w:r>
          </w:p>
        </w:tc>
      </w:tr>
      <w:tr>
        <w:tc>
          <w:tcPr>
            <w:tcW w:type="dxa" w:w="2300"/>
            <w:vAlign w:val="top"/>
          </w:tcPr>
          <w:p>
            <w:r>
              <w:t>Payments / project readiness</w:t>
            </w:r>
          </w:p>
        </w:tc>
        <w:tc>
          <w:tcPr>
            <w:tcW w:type="dxa" w:w="5200"/>
            <w:vAlign w:val="top"/>
          </w:tcPr>
          <w:p>
            <w:r>
              <w:t>Projects accept proposals but do not hold funds, milestones, payouts or disputes.</w:t>
            </w:r>
          </w:p>
        </w:tc>
        <w:tc>
          <w:tcPr>
            <w:tcW w:type="dxa" w:w="1860"/>
            <w:vAlign w:val="top"/>
          </w:tcPr>
          <w:p>
            <w:r>
              <w:t>High</w:t>
            </w:r>
          </w:p>
        </w:tc>
      </w:tr>
      <w:tr>
        <w:tc>
          <w:tcPr>
            <w:tcW w:type="dxa" w:w="2300"/>
            <w:vAlign w:val="top"/>
          </w:tcPr>
          <w:p>
            <w:r>
              <w:t>Trust &amp; moderation</w:t>
            </w:r>
          </w:p>
        </w:tc>
        <w:tc>
          <w:tcPr>
            <w:tcW w:type="dxa" w:w="5200"/>
            <w:vAlign w:val="top"/>
          </w:tcPr>
          <w:p>
            <w:r>
              <w:t>RLS and audit model exist; verification evidence and enforcement workflows need completion.</w:t>
            </w:r>
          </w:p>
        </w:tc>
        <w:tc>
          <w:tcPr>
            <w:tcW w:type="dxa" w:w="1860"/>
            <w:vAlign w:val="top"/>
          </w:tcPr>
          <w:p>
            <w:r>
              <w:t>High</w:t>
            </w:r>
          </w:p>
        </w:tc>
      </w:tr>
    </w:tbl>
    <w:p/>
    <w:p>
      <w:pPr>
        <w:pStyle w:val="Heading1"/>
      </w:pPr>
      <w:r>
        <w:t>What the website currently does</w:t>
      </w:r>
    </w:p>
    <w:p>
      <w:pPr>
        <w:pStyle w:val="ListBullet"/>
      </w:pPr>
      <w:r>
        <w:t>Connects farmers/producers, buyers/traders, consultants, companies and students through role-specific workspaces.</w:t>
      </w:r>
    </w:p>
    <w:p>
      <w:pPr>
        <w:pStyle w:val="ListBullet"/>
      </w:pPr>
      <w:r>
        <w:t>Supports directory discovery, keyword matching, commercial listings, buying requirements, open project briefs, consultant proposals and consented direct-contact requests.</w:t>
      </w:r>
    </w:p>
    <w:p>
      <w:pPr>
        <w:pStyle w:val="ListBullet"/>
      </w:pPr>
      <w:r>
        <w:t>Provides crop/animal clinic surfaces, market-rate pages, community feed functionality, notifications and direct messages.</w:t>
      </w:r>
    </w:p>
    <w:p>
      <w:pPr>
        <w:pStyle w:val="ListBullet"/>
      </w:pPr>
      <w:r>
        <w:t>Uses a category hierarchy for products and services, with ad categories and geographic targeting.</w:t>
      </w:r>
    </w:p>
    <w:p>
      <w:pPr>
        <w:pStyle w:val="ListBullet"/>
      </w:pPr>
      <w:r>
        <w:t>Provides internal advertising plans, pending/approved/rejected campaign states, manual review and scheduled weekly rotation.</w:t>
      </w:r>
    </w:p>
    <w:p>
      <w:pPr>
        <w:pStyle w:val="ListBullet"/>
      </w:pPr>
      <w:r>
        <w:t>Provides a seven-day account trial in database logic, with expiry automation and subscription/payment data models.</w:t>
      </w:r>
    </w:p>
    <w:p>
      <w:pPr>
        <w:pStyle w:val="Heading1"/>
      </w:pPr>
      <w:r>
        <w:t>Issues corrected in this 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0"/>
            <w:shd w:fill="E8EEF5"/>
            <w:vAlign w:val="center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700"/>
            <w:shd w:fill="E8EEF5"/>
            <w:vAlign w:val="center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4360"/>
            <w:shd w:fill="E8EEF5"/>
            <w:vAlign w:val="center"/>
          </w:tcPr>
          <w:p>
            <w:r>
              <w:rPr>
                <w:b/>
              </w:rPr>
              <w:t>Correction</w:t>
            </w:r>
          </w:p>
        </w:tc>
      </w:tr>
      <w:tr>
        <w:tc>
          <w:tcPr>
            <w:tcW w:type="dxa" w:w="2300"/>
            <w:vAlign w:val="top"/>
          </w:tcPr>
          <w:p>
            <w:r>
              <w:t>Admin queried admin_audit_logs</w:t>
            </w:r>
          </w:p>
        </w:tc>
        <w:tc>
          <w:tcPr>
            <w:tcW w:type="dxa" w:w="2700"/>
            <w:vAlign w:val="top"/>
          </w:tcPr>
          <w:p>
            <w:r>
              <w:t>Audit tab would return an error or remain empty because the schema table is admin_audit_log.</w:t>
            </w:r>
          </w:p>
        </w:tc>
        <w:tc>
          <w:tcPr>
            <w:tcW w:type="dxa" w:w="4360"/>
            <w:vAlign w:val="top"/>
          </w:tcPr>
          <w:p>
            <w:r>
              <w:t>Updated query to the schema name and added a visible partial-load alert.</w:t>
            </w:r>
          </w:p>
        </w:tc>
      </w:tr>
      <w:tr>
        <w:tc>
          <w:tcPr>
            <w:tcW w:type="dxa" w:w="2300"/>
            <w:vAlign w:val="top"/>
          </w:tcPr>
          <w:p>
            <w:r>
              <w:t>Admin/profile queried rfps</w:t>
            </w:r>
          </w:p>
        </w:tc>
        <w:tc>
          <w:tcPr>
            <w:tcW w:type="dxa" w:w="2700"/>
            <w:vAlign w:val="top"/>
          </w:tcPr>
          <w:p>
            <w:r>
              <w:t>Project telemetry, project deletion and profile project portfolios used a non-existent table.</w:t>
            </w:r>
          </w:p>
        </w:tc>
        <w:tc>
          <w:tcPr>
            <w:tcW w:type="dxa" w:w="4360"/>
            <w:vAlign w:val="top"/>
          </w:tcPr>
          <w:p>
            <w:r>
              <w:t>Updated queries and deletion action to use projects.</w:t>
            </w:r>
          </w:p>
        </w:tc>
      </w:tr>
      <w:tr>
        <w:tc>
          <w:tcPr>
            <w:tcW w:type="dxa" w:w="2300"/>
            <w:vAlign w:val="top"/>
          </w:tcPr>
          <w:p>
            <w:r>
              <w:t>Admin chart used invented history</w:t>
            </w:r>
          </w:p>
        </w:tc>
        <w:tc>
          <w:tcPr>
            <w:tcW w:type="dxa" w:w="2700"/>
            <w:vAlign w:val="top"/>
          </w:tcPr>
          <w:p>
            <w:r>
              <w:t>A live cockpit displayed fabricated monthly values, damaging decision-making trust.</w:t>
            </w:r>
          </w:p>
        </w:tc>
        <w:tc>
          <w:tcPr>
            <w:tcW w:type="dxa" w:w="4360"/>
            <w:vAlign w:val="top"/>
          </w:tcPr>
          <w:p>
            <w:r>
              <w:t>Replaced with actual seven-day new-member and new-listing counts based on created_at.</w:t>
            </w:r>
          </w:p>
        </w:tc>
      </w:tr>
      <w:tr>
        <w:tc>
          <w:tcPr>
            <w:tcW w:type="dxa" w:w="2300"/>
            <w:vAlign w:val="top"/>
          </w:tcPr>
          <w:p>
            <w:r>
              <w:t>Profile saves ignored database errors</w:t>
            </w:r>
          </w:p>
        </w:tc>
        <w:tc>
          <w:tcPr>
            <w:tcW w:type="dxa" w:w="2700"/>
            <w:vAlign w:val="top"/>
          </w:tcPr>
          <w:p>
            <w:r>
              <w:t>The UI could announce success after a failed profile/private-contact write.</w:t>
            </w:r>
          </w:p>
        </w:tc>
        <w:tc>
          <w:tcPr>
            <w:tcW w:type="dxa" w:w="4360"/>
            <w:vAlign w:val="top"/>
          </w:tcPr>
          <w:p>
            <w:r>
              <w:t>Profile and private-record write errors now stop the success state.</w:t>
            </w:r>
          </w:p>
        </w:tc>
      </w:tr>
      <w:tr>
        <w:tc>
          <w:tcPr>
            <w:tcW w:type="dxa" w:w="2300"/>
            <w:vAlign w:val="top"/>
          </w:tcPr>
          <w:p>
            <w:r>
              <w:t>Signup created empty role records</w:t>
            </w:r>
          </w:p>
        </w:tc>
        <w:tc>
          <w:tcPr>
            <w:tcW w:type="dxa" w:w="2700"/>
            <w:vAlign w:val="top"/>
          </w:tcPr>
          <w:p>
            <w:r>
              <w:t>New users had limited discoverability and companies had no organization record.</w:t>
            </w:r>
          </w:p>
        </w:tc>
        <w:tc>
          <w:tcPr>
            <w:tcW w:type="dxa" w:w="4360"/>
            <w:vAlign w:val="top"/>
          </w:tcPr>
          <w:p>
            <w:r>
              <w:t>Role-aware onboarding migration persists details and initializes company organizations.</w:t>
            </w:r>
          </w:p>
        </w:tc>
      </w:tr>
    </w:tbl>
    <w:p/>
    <w:p>
      <w:pPr>
        <w:pStyle w:val="Heading1"/>
      </w:pPr>
      <w:r>
        <w:t>Portal-by-portal review</w:t>
      </w:r>
    </w:p>
    <w:p>
      <w:pPr>
        <w:pStyle w:val="Heading2"/>
      </w:pPr>
      <w:r>
        <w:t>Admin portal</w:t>
      </w:r>
    </w:p>
    <w:p>
      <w:pPr>
        <w:pStyle w:val="ListBullet"/>
      </w:pPr>
      <w:r>
        <w:t>Strengths: clear role gate, separated admin login, content/ad/member/rates surfaces, audit model and moderation RPCs.</w:t>
      </w:r>
    </w:p>
    <w:p>
      <w:pPr>
        <w:pStyle w:val="ListBullet"/>
      </w:pPr>
      <w:r>
        <w:t>Improve: replace client-side aggregate counts with administrator RPCs or analytics views; current list limits can undercount platform totals.</w:t>
      </w:r>
    </w:p>
    <w:p>
      <w:pPr>
        <w:pStyle w:val="ListBullet"/>
      </w:pPr>
      <w:r>
        <w:t>Improve: show query-specific errors and a last-successful sync time on every tab, not only a general warning.</w:t>
      </w:r>
    </w:p>
    <w:p>
      <w:pPr>
        <w:pStyle w:val="ListBullet"/>
      </w:pPr>
      <w:r>
        <w:t>Improve: require moderation reason, reviewer identity and before/after state for every destructive or approval action; add undo where feasible.</w:t>
      </w:r>
    </w:p>
    <w:p>
      <w:pPr>
        <w:pStyle w:val="ListBullet"/>
      </w:pPr>
      <w:r>
        <w:t>Improve: make charts explicitly label their time window and show an empty state rather than a zero-looking chart when no events exist.</w:t>
      </w:r>
    </w:p>
    <w:p>
      <w:pPr>
        <w:pStyle w:val="Heading2"/>
      </w:pPr>
      <w:r>
        <w:t>Member dashboard</w:t>
      </w:r>
    </w:p>
    <w:p>
      <w:pPr>
        <w:pStyle w:val="ListBullet"/>
      </w:pPr>
      <w:r>
        <w:t>Strengths: genuine role-specific forms and workspace language; server-side role policies prevent obvious cross-role publishing.</w:t>
      </w:r>
    </w:p>
    <w:p>
      <w:pPr>
        <w:pStyle w:val="ListBullet"/>
      </w:pPr>
      <w:r>
        <w:t>Improve: direct dashboard quick actions to the exact active workspace tab or dedicated composer route; generic /dashboard links are ambiguous.</w:t>
      </w:r>
    </w:p>
    <w:p>
      <w:pPr>
        <w:pStyle w:val="ListBullet"/>
      </w:pPr>
      <w:r>
        <w:t>Improve: add draft autosave, image upload/reorder, field-level validation, progress indicators and clear publication status.</w:t>
      </w:r>
    </w:p>
    <w:p>
      <w:pPr>
        <w:pStyle w:val="ListBullet"/>
      </w:pPr>
      <w:r>
        <w:t>Improve: use a dedicated portfolio/gallery model rather than treating a single URL or listing images as a portfolio.</w:t>
      </w:r>
    </w:p>
    <w:p>
      <w:pPr>
        <w:pStyle w:val="ListBullet"/>
      </w:pPr>
      <w:r>
        <w:t>Improve: generate recommendations only after profile completeness reaches a useful threshold, and explain why each match appears.</w:t>
      </w:r>
    </w:p>
    <w:p>
      <w:pPr>
        <w:pStyle w:val="Heading2"/>
      </w:pPr>
      <w:r>
        <w:t>Public profile</w:t>
      </w:r>
    </w:p>
    <w:p>
      <w:pPr>
        <w:pStyle w:val="ListBullet"/>
      </w:pPr>
      <w:r>
        <w:t>Strengths: private contact is protected behind accepted connections, and public directory data is intentionally limited.</w:t>
      </w:r>
    </w:p>
    <w:p>
      <w:pPr>
        <w:pStyle w:val="ListBullet"/>
      </w:pPr>
      <w:r>
        <w:t>Improve: show primary sector, verified credentials, services/products, response availability and portfolio work in a structured public layout.</w:t>
      </w:r>
    </w:p>
    <w:p>
      <w:pPr>
        <w:pStyle w:val="ListBullet"/>
      </w:pPr>
      <w:r>
        <w:t>Improve: give owners an explicit save error/success state for each subsection and avoid presenting unpublished/private fields publicly.</w:t>
      </w:r>
    </w:p>
    <w:p>
      <w:pPr>
        <w:pStyle w:val="ListBullet"/>
      </w:pPr>
      <w:r>
        <w:t>Improve: add report/block controls, profile availability status and a structured verification request workflow.</w:t>
      </w:r>
    </w:p>
    <w:p>
      <w:pPr>
        <w:pStyle w:val="Heading1"/>
      </w:pPr>
      <w:r>
        <w:t>Backend and security assessment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E8EEF5"/>
            <w:vAlign w:val="center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3600"/>
            <w:shd w:fill="E8EEF5"/>
            <w:vAlign w:val="center"/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3960"/>
            <w:shd w:fill="E8EEF5"/>
            <w:vAlign w:val="center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1800"/>
            <w:vAlign w:val="top"/>
          </w:tcPr>
          <w:p>
            <w:r>
              <w:t>Authorization</w:t>
            </w:r>
          </w:p>
        </w:tc>
        <w:tc>
          <w:tcPr>
            <w:tcW w:type="dxa" w:w="3600"/>
            <w:vAlign w:val="top"/>
          </w:tcPr>
          <w:p>
            <w:r>
              <w:t>RLS, role checks, private-profile separation and admin RPCs are present.</w:t>
            </w:r>
          </w:p>
        </w:tc>
        <w:tc>
          <w:tcPr>
            <w:tcW w:type="dxa" w:w="3960"/>
            <w:vAlign w:val="top"/>
          </w:tcPr>
          <w:p>
            <w:r>
              <w:t>Run policy tests against every table/RPC; use service-role only in protected Edge Functions.</w:t>
            </w:r>
          </w:p>
        </w:tc>
      </w:tr>
      <w:tr>
        <w:tc>
          <w:tcPr>
            <w:tcW w:type="dxa" w:w="1800"/>
            <w:vAlign w:val="top"/>
          </w:tcPr>
          <w:p>
            <w:r>
              <w:t>Schema consistency</w:t>
            </w:r>
          </w:p>
        </w:tc>
        <w:tc>
          <w:tcPr>
            <w:tcW w:type="dxa" w:w="3600"/>
            <w:vAlign w:val="top"/>
          </w:tcPr>
          <w:p>
            <w:r>
              <w:t>Migrations are rich, but UI table names drifted from schema names.</w:t>
            </w:r>
          </w:p>
        </w:tc>
        <w:tc>
          <w:tcPr>
            <w:tcW w:type="dxa" w:w="3960"/>
            <w:vAlign w:val="top"/>
          </w:tcPr>
          <w:p>
            <w:r>
              <w:t>Generate typed Supabase types and add CI checks for every queried relation.</w:t>
            </w:r>
          </w:p>
        </w:tc>
      </w:tr>
      <w:tr>
        <w:tc>
          <w:tcPr>
            <w:tcW w:type="dxa" w:w="1800"/>
            <w:vAlign w:val="top"/>
          </w:tcPr>
          <w:p>
            <w:r>
              <w:t>Search</w:t>
            </w:r>
          </w:p>
        </w:tc>
        <w:tc>
          <w:tcPr>
            <w:tcW w:type="dxa" w:w="3600"/>
            <w:vAlign w:val="top"/>
          </w:tcPr>
          <w:p>
            <w:r>
              <w:t>Keyword and semantic-search components exist.</w:t>
            </w:r>
          </w:p>
        </w:tc>
        <w:tc>
          <w:tcPr>
            <w:tcW w:type="dxa" w:w="3960"/>
            <w:vAlign w:val="top"/>
          </w:tcPr>
          <w:p>
            <w:r>
              <w:t>Run embedding generation on profile/listing change; provide lexical fallback and explain matches.</w:t>
            </w:r>
          </w:p>
        </w:tc>
      </w:tr>
      <w:tr>
        <w:tc>
          <w:tcPr>
            <w:tcW w:type="dxa" w:w="1800"/>
            <w:vAlign w:val="top"/>
          </w:tcPr>
          <w:p>
            <w:r>
              <w:t>Ads</w:t>
            </w:r>
          </w:p>
        </w:tc>
        <w:tc>
          <w:tcPr>
            <w:tcW w:type="dxa" w:w="3600"/>
            <w:vAlign w:val="top"/>
          </w:tcPr>
          <w:p>
            <w:r>
              <w:t>Approval, rotation and targeting structures exist.</w:t>
            </w:r>
          </w:p>
        </w:tc>
        <w:tc>
          <w:tcPr>
            <w:tcW w:type="dxa" w:w="3960"/>
            <w:vAlign w:val="top"/>
          </w:tcPr>
          <w:p>
            <w:r>
              <w:t>Enforce plan limits, impression caps, ad expiry and advertiser eligibility server-side.</w:t>
            </w:r>
          </w:p>
        </w:tc>
      </w:tr>
      <w:tr>
        <w:tc>
          <w:tcPr>
            <w:tcW w:type="dxa" w:w="1800"/>
            <w:vAlign w:val="top"/>
          </w:tcPr>
          <w:p>
            <w:r>
              <w:t>Payments</w:t>
            </w:r>
          </w:p>
        </w:tc>
        <w:tc>
          <w:tcPr>
            <w:tcW w:type="dxa" w:w="3600"/>
            <w:vAlign w:val="top"/>
          </w:tcPr>
          <w:p>
            <w:r>
              <w:t>Subscription/payment records and webhooks exist.</w:t>
            </w:r>
          </w:p>
        </w:tc>
        <w:tc>
          <w:tcPr>
            <w:tcW w:type="dxa" w:w="3960"/>
            <w:vAlign w:val="top"/>
          </w:tcPr>
          <w:p>
            <w:r>
              <w:t>Use verified webhook signatures, idempotency keys, reconciliation jobs and immutable payment events.</w:t>
            </w:r>
          </w:p>
        </w:tc>
      </w:tr>
      <w:tr>
        <w:tc>
          <w:tcPr>
            <w:tcW w:type="dxa" w:w="1800"/>
            <w:vAlign w:val="top"/>
          </w:tcPr>
          <w:p>
            <w:r>
              <w:t>Project payments</w:t>
            </w:r>
          </w:p>
        </w:tc>
        <w:tc>
          <w:tcPr>
            <w:tcW w:type="dxa" w:w="3600"/>
            <w:vAlign w:val="top"/>
          </w:tcPr>
          <w:p>
            <w:r>
              <w:t>No escrow/milestone workflow.</w:t>
            </w:r>
          </w:p>
        </w:tc>
        <w:tc>
          <w:tcPr>
            <w:tcW w:type="dxa" w:w="3960"/>
            <w:vAlign w:val="top"/>
          </w:tcPr>
          <w:p>
            <w:r>
              <w:t>Add project contract, funded escrow, milestones, acceptance, payout, refund and dispute entities before claiming ready-to-pay.</w:t>
            </w:r>
          </w:p>
        </w:tc>
      </w:tr>
    </w:tbl>
    <w:p/>
    <w:p>
      <w:pPr>
        <w:pStyle w:val="Heading1"/>
      </w:pPr>
      <w:r>
        <w:t>Recommended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00"/>
            <w:shd w:fill="E8EEF5"/>
            <w:vAlign w:val="center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500"/>
            <w:shd w:fill="E8EEF5"/>
            <w:vAlign w:val="center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5260"/>
            <w:shd w:fill="E8EEF5"/>
            <w:vAlign w:val="center"/>
          </w:tcPr>
          <w:p>
            <w:r>
              <w:rPr>
                <w:b/>
              </w:rPr>
              <w:t>Work</w:t>
            </w:r>
          </w:p>
        </w:tc>
      </w:tr>
      <w:tr>
        <w:tc>
          <w:tcPr>
            <w:tcW w:type="dxa" w:w="1600"/>
            <w:vAlign w:val="top"/>
          </w:tcPr>
          <w:p>
            <w:r>
              <w:t>Before production</w:t>
            </w:r>
          </w:p>
        </w:tc>
        <w:tc>
          <w:tcPr>
            <w:tcW w:type="dxa" w:w="2500"/>
            <w:vAlign w:val="top"/>
          </w:tcPr>
          <w:p>
            <w:r>
              <w:t>Trustworthy core</w:t>
            </w:r>
          </w:p>
        </w:tc>
        <w:tc>
          <w:tcPr>
            <w:tcW w:type="dxa" w:w="5260"/>
            <w:vAlign w:val="top"/>
          </w:tcPr>
          <w:p>
            <w:r>
              <w:t>Deploy Migration 14; test admin/profile/dashboard with real role accounts; generate Supabase types; remove fake data; add error monitoring.</w:t>
            </w:r>
          </w:p>
        </w:tc>
      </w:tr>
      <w:tr>
        <w:tc>
          <w:tcPr>
            <w:tcW w:type="dxa" w:w="1600"/>
            <w:vAlign w:val="top"/>
          </w:tcPr>
          <w:p>
            <w:r>
              <w:t>Next 2-4 weeks</w:t>
            </w:r>
          </w:p>
        </w:tc>
        <w:tc>
          <w:tcPr>
            <w:tcW w:type="dxa" w:w="2500"/>
            <w:vAlign w:val="top"/>
          </w:tcPr>
          <w:p>
            <w:r>
              <w:t>Useful marketplace</w:t>
            </w:r>
          </w:p>
        </w:tc>
        <w:tc>
          <w:tcPr>
            <w:tcW w:type="dxa" w:w="5260"/>
            <w:vAlign w:val="top"/>
          </w:tcPr>
          <w:p>
            <w:r>
              <w:t>Dedicated gallery/portfolio, verified-business evidence upload, saved searches, profile completeness and improved mobile testing.</w:t>
            </w:r>
          </w:p>
        </w:tc>
      </w:tr>
      <w:tr>
        <w:tc>
          <w:tcPr>
            <w:tcW w:type="dxa" w:w="1600"/>
            <w:vAlign w:val="top"/>
          </w:tcPr>
          <w:p>
            <w:r>
              <w:t>Next 1-2 months</w:t>
            </w:r>
          </w:p>
        </w:tc>
        <w:tc>
          <w:tcPr>
            <w:tcW w:type="dxa" w:w="2500"/>
            <w:vAlign w:val="top"/>
          </w:tcPr>
          <w:p>
            <w:r>
              <w:t>Revenue-ready platform</w:t>
            </w:r>
          </w:p>
        </w:tc>
        <w:tc>
          <w:tcPr>
            <w:tcW w:type="dxa" w:w="5260"/>
            <w:vAlign w:val="top"/>
          </w:tcPr>
          <w:p>
            <w:r>
              <w:t>Ad checkout lifecycle, plan entitlements, campaign analytics, invoice/payment reconciliation and dispute-safe project contracts.</w:t>
            </w:r>
          </w:p>
        </w:tc>
      </w:tr>
      <w:tr>
        <w:tc>
          <w:tcPr>
            <w:tcW w:type="dxa" w:w="1600"/>
            <w:vAlign w:val="top"/>
          </w:tcPr>
          <w:p>
            <w:r>
              <w:t>Later</w:t>
            </w:r>
          </w:p>
        </w:tc>
        <w:tc>
          <w:tcPr>
            <w:tcW w:type="dxa" w:w="2500"/>
            <w:vAlign w:val="top"/>
          </w:tcPr>
          <w:p>
            <w:r>
              <w:t>Scale and intelligence</w:t>
            </w:r>
          </w:p>
        </w:tc>
        <w:tc>
          <w:tcPr>
            <w:tcW w:type="dxa" w:w="5260"/>
            <w:vAlign w:val="top"/>
          </w:tcPr>
          <w:p>
            <w:r>
              <w:t>Semantic ranking feedback loops, notification preferences, analytics warehouse, fraud controls, moderation queues and performance budgets.</w:t>
            </w:r>
          </w:p>
        </w:tc>
      </w:tr>
    </w:tbl>
    <w:p/>
    <w:p>
      <w:pPr>
        <w:pStyle w:val="Heading1"/>
      </w:pPr>
      <w:r>
        <w:t>Release checklist</w:t>
      </w:r>
    </w:p>
    <w:p>
      <w:pPr>
        <w:pStyle w:val="ListBullet"/>
      </w:pPr>
      <w:r>
        <w:t>Apply and verify all Supabase migrations in a staging project, including the new role-aware onboarding migration.</w:t>
      </w:r>
    </w:p>
    <w:p>
      <w:pPr>
        <w:pStyle w:val="ListBullet"/>
      </w:pPr>
      <w:r>
        <w:t>Create test accounts for all five roles plus admin and exercise signup, profile edit, listing/project creation, proposal, connection, ad moderation and sign-out.</w:t>
      </w:r>
    </w:p>
    <w:p>
      <w:pPr>
        <w:pStyle w:val="ListBullet"/>
      </w:pPr>
      <w:r>
        <w:t>Verify the database schema through automated tests; do not rely on UI screens alone.</w:t>
      </w:r>
    </w:p>
    <w:p>
      <w:pPr>
        <w:pStyle w:val="ListBullet"/>
      </w:pPr>
      <w:r>
        <w:t>Configure Edge Function secrets, webhook signature validation, cron authentication and production error monitoring.</w:t>
      </w:r>
    </w:p>
    <w:p>
      <w:pPr>
        <w:pStyle w:val="ListBullet"/>
      </w:pPr>
      <w:r>
        <w:t>Add a privacy policy, terms, reporting process, data retention policy and an administrator incident-response procedure.</w:t>
      </w:r>
    </w:p>
    <w:p>
      <w:pPr>
        <w:pStyle w:val="ListBullet"/>
      </w:pPr>
      <w:r>
        <w:t>Do not market project work as “ready to pay” until an auditable payment, acceptance and payout flow exists.</w:t>
      </w:r>
    </w:p>
    <w:p>
      <w:pPr>
        <w:pStyle w:val="Heading1"/>
      </w:pPr>
      <w:r>
        <w:t>Design direction</w:t>
      </w:r>
    </w:p>
    <w:p>
      <w:r>
        <w:t>Keep the existing field-led green palette, but make the interface feel more operational than decorative: use status, ownership, deadlines, location and verification as the primary visual hierarchy. The memorable signature should be a clear “field-to-market” activity trail that shows what a member did, what happens next and who is responsible. Use the same language for the action, confirmation and status everywhere: Publish listing -&gt; Listing published -&gt; Active listing.</w:t>
      </w:r>
    </w:p>
    <w:p>
      <w:r>
        <w:rPr>
          <w:i/>
        </w:rPr>
        <w:t>Prepared from the current source tree and route-level checks. This is an implementation audit, not a legal, penetration-testing or payment-compliance certification.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