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jc w:val="center"/>
      </w:pPr>
      <w:r>
        <w:rPr>
          <w:rFonts w:ascii="Arial" w:cs="Arial" w:eastAsia="Arial" w:hAnsi="Arial"/>
          <w:b/>
          <w:bCs/>
          <w:color w:val="1F4E79"/>
          <w:sz w:val="72"/>
          <w:szCs w:val="72"/>
        </w:rPr>
        <w:t xml:space="preserve">CONTRACTLY</w:t>
      </w:r>
    </w:p>
    <w:p>
      <w:pPr>
        <w:jc w:val="center"/>
      </w:pPr>
      <w:r>
        <w:rPr>
          <w:rFonts w:ascii="Arial" w:cs="Arial" w:eastAsia="Arial" w:hAnsi="Arial"/>
          <w:color w:val="2E75B6"/>
          <w:sz w:val="36"/>
          <w:szCs w:val="36"/>
        </w:rPr>
        <w:t xml:space="preserve">Technical Specification — Addendum</w:t>
      </w:r>
    </w:p>
    <w:p>
      <w:pPr>
        <w:spacing w:after="480"/>
      </w:pPr>
      <w:r>
        <w:t xml:space="preserve"/>
      </w:r>
    </w:p>
    <w:p>
      <w:pPr>
        <w:jc w:val="center"/>
      </w:pPr>
      <w:r>
        <w:rPr>
          <w:rFonts w:ascii="Arial" w:cs="Arial" w:eastAsia="Arial" w:hAnsi="Arial"/>
          <w:b/>
          <w:bCs/>
          <w:color w:val="595959"/>
          <w:sz w:val="40"/>
          <w:szCs w:val="40"/>
        </w:rPr>
        <w:t xml:space="preserve">SPRINT 11: VENDOR-SIDE PLATFORM</w:t>
      </w:r>
    </w:p>
    <w:p>
      <w:pPr>
        <w:jc w:val="center"/>
      </w:pPr>
      <w:r>
        <w:rPr>
          <w:rFonts w:ascii="Arial" w:cs="Arial" w:eastAsia="Arial" w:hAnsi="Arial"/>
          <w:color w:val="595959"/>
          <w:sz w:val="32"/>
          <w:szCs w:val="32"/>
        </w:rPr>
        <w:t xml:space="preserve">+</w:t>
      </w:r>
    </w:p>
    <w:p>
      <w:pPr>
        <w:jc w:val="center"/>
      </w:pPr>
      <w:r>
        <w:rPr>
          <w:rFonts w:ascii="Arial" w:cs="Arial" w:eastAsia="Arial" w:hAnsi="Arial"/>
          <w:b/>
          <w:bCs/>
          <w:color w:val="595959"/>
          <w:sz w:val="40"/>
          <w:szCs w:val="40"/>
        </w:rPr>
        <w:t xml:space="preserve">SECURITY &amp; TRUST ARCHITECTURE</w:t>
      </w:r>
    </w:p>
    <w:p>
      <w:pPr>
        <w:spacing w:after="96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706"/>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Addendum version</w:t>
            </w:r>
          </w:p>
        </w:tc>
        <w:tc>
          <w:tcPr>
            <w:tcW w:type="dxa" w:w="6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v1.0</w:t>
            </w:r>
          </w:p>
        </w:tc>
      </w:tr>
      <w:tr>
        <w:tc>
          <w:tcPr>
            <w:tcW w:type="dxa" w:w="2706"/>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Applies to</w:t>
            </w:r>
          </w:p>
        </w:tc>
        <w:tc>
          <w:tcPr>
            <w:tcW w:type="dxa" w:w="6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Contractly Technical Spec v1.0</w:t>
            </w:r>
          </w:p>
        </w:tc>
      </w:tr>
      <w:tr>
        <w:tc>
          <w:tcPr>
            <w:tcW w:type="dxa" w:w="2706"/>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Status</w:t>
            </w:r>
          </w:p>
        </w:tc>
        <w:tc>
          <w:tcPr>
            <w:tcW w:type="dxa" w:w="6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Ready for Sprint 11 implementation</w:t>
            </w:r>
          </w:p>
        </w:tc>
      </w:tr>
      <w:tr>
        <w:tc>
          <w:tcPr>
            <w:tcW w:type="dxa" w:w="2706"/>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Prerequisites</w:t>
            </w:r>
          </w:p>
        </w:tc>
        <w:tc>
          <w:tcPr>
            <w:tcW w:type="dxa" w:w="6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Sprints 1–10 complete (Phase 1 MVP live)</w:t>
            </w:r>
          </w:p>
        </w:tc>
      </w:tr>
      <w:tr>
        <w:tc>
          <w:tcPr>
            <w:tcW w:type="dxa" w:w="2706"/>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Confidentiality</w:t>
            </w:r>
          </w:p>
        </w:tc>
        <w:tc>
          <w:tcPr>
            <w:tcW w:type="dxa" w:w="6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Confidential — not for distribution</w:t>
            </w:r>
          </w:p>
        </w:tc>
      </w:tr>
    </w:tbl>
    <w:p>
      <w:pPr>
        <w:spacing w:after="0"/>
      </w:pPr>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0"/>
      </w:pPr>
      <w:r>
        <w:br w:type="page"/>
      </w:r>
    </w:p>
    <w:p>
      <w:pPr>
        <w:jc w:val="center"/>
      </w:pPr>
      <w:r>
        <w:rPr>
          <w:rFonts w:ascii="Arial" w:cs="Arial" w:eastAsia="Arial" w:hAnsi="Arial"/>
          <w:b/>
          <w:bCs/>
          <w:color w:val="1F4E79"/>
          <w:sz w:val="48"/>
          <w:szCs w:val="48"/>
        </w:rPr>
        <w:t xml:space="preserve">PART A</w:t>
      </w:r>
    </w:p>
    <w:p>
      <w:pPr>
        <w:jc w:val="center"/>
      </w:pPr>
      <w:r>
        <w:rPr>
          <w:rFonts w:ascii="Arial" w:cs="Arial" w:eastAsia="Arial" w:hAnsi="Arial"/>
          <w:color w:val="2E75B6"/>
          <w:sz w:val="32"/>
          <w:szCs w:val="32"/>
        </w:rPr>
        <w:t xml:space="preserve">Security &amp; Trust Architecture</w:t>
      </w:r>
    </w:p>
    <w:p>
      <w:pPr>
        <w:spacing w:after="24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A1. Why security is a first-class feature</w:t>
      </w:r>
    </w:p>
    <w:p>
      <w:pPr>
        <w:spacing w:after="80"/>
      </w:pPr>
      <w:r>
        <w:rPr>
          <w:rFonts w:ascii="Arial" w:cs="Arial" w:eastAsia="Arial" w:hAnsi="Arial"/>
          <w:b w:val="false"/>
          <w:bCs w:val="false"/>
          <w:i w:val="false"/>
          <w:iCs w:val="false"/>
          <w:color w:val="000000"/>
          <w:sz w:val="20"/>
          <w:szCs w:val="20"/>
        </w:rPr>
        <w:t xml:space="preserve">The data held on Contractly is among the most commercially sensitive information an enterprise possesses. Contract values, SLA breach histories, vendor credit entitlements, negotiation strategies, and AI-assisted legal analysis represent genuine competitive intelligence. A security failure on this platform would not just be a privacy incident — it could expose organisations to financial loss, damaged vendor relationships, and litigation.</w:t>
      </w:r>
    </w:p>
    <w:p>
      <w:pPr>
        <w:spacing w:after="60"/>
      </w:pPr>
      <w:r>
        <w:t xml:space="preserve"/>
      </w:r>
    </w:p>
    <w:p>
      <w:pPr>
        <w:spacing w:after="80"/>
      </w:pPr>
      <w:r>
        <w:rPr>
          <w:rFonts w:ascii="Arial" w:cs="Arial" w:eastAsia="Arial" w:hAnsi="Arial"/>
          <w:b w:val="false"/>
          <w:bCs w:val="false"/>
          <w:i w:val="false"/>
          <w:iCs w:val="false"/>
          <w:color w:val="000000"/>
          <w:sz w:val="20"/>
          <w:szCs w:val="20"/>
        </w:rPr>
        <w:t xml:space="preserve">This section defines the security architecture that enables Contractly to make concrete, verifiable security claims — not vague assurances. Every claim made in the Trust Centre (Section A5) must be backed by a corresponding implementation requirement in this section.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FCE4D6" w:val="clear"/>
            <w:tcMar>
              <w:top w:type="dxa" w:w="120"/>
              <w:left w:type="dxa" w:w="180"/>
              <w:bottom w:type="dxa" w:w="120"/>
              <w:right w:type="dxa" w:w="180"/>
            </w:tcMar>
          </w:tcPr>
          <w:p>
            <w:pPr>
              <w:spacing w:after="60"/>
            </w:pPr>
            <w:r>
              <w:rPr>
                <w:rFonts w:ascii="Arial" w:cs="Arial" w:eastAsia="Arial" w:hAnsi="Arial"/>
                <w:b/>
                <w:bCs/>
                <w:color w:val="833C00"/>
                <w:sz w:val="20"/>
                <w:szCs w:val="20"/>
              </w:rPr>
              <w:t xml:space="preserve">Five specific fears to address</w:t>
            </w:r>
          </w:p>
          <w:p>
            <w:pPr>
              <w:spacing w:after="40"/>
            </w:pPr>
            <w:r>
              <w:rPr>
                <w:rFonts w:ascii="Arial" w:cs="Arial" w:eastAsia="Arial" w:hAnsi="Arial"/>
                <w:color w:val="000000"/>
                <w:sz w:val="19"/>
                <w:szCs w:val="19"/>
              </w:rPr>
              <w:t xml:space="preserve">1. Data separation — "Can my vendor see my internal notes, breach strategy, and AI conversations?"</w:t>
            </w:r>
          </w:p>
          <w:p>
            <w:pPr>
              <w:spacing w:after="40"/>
            </w:pPr>
            <w:r>
              <w:rPr>
                <w:rFonts w:ascii="Arial" w:cs="Arial" w:eastAsia="Arial" w:hAnsi="Arial"/>
                <w:color w:val="000000"/>
                <w:sz w:val="19"/>
                <w:szCs w:val="19"/>
              </w:rPr>
              <w:t xml:space="preserve">2. Competitive exposure — "Will Contractly use my contract data to build products that benefit my competitors?"</w:t>
            </w:r>
          </w:p>
          <w:p>
            <w:pPr>
              <w:spacing w:after="40"/>
            </w:pPr>
            <w:r>
              <w:rPr>
                <w:rFonts w:ascii="Arial" w:cs="Arial" w:eastAsia="Arial" w:hAnsi="Arial"/>
                <w:color w:val="000000"/>
                <w:sz w:val="19"/>
                <w:szCs w:val="19"/>
              </w:rPr>
              <w:t xml:space="preserve">3. Breach risk — "What happens if Contractly gets hacked? Who sees my contracts?"</w:t>
            </w:r>
          </w:p>
          <w:p>
            <w:pPr>
              <w:spacing w:after="40"/>
            </w:pPr>
            <w:r>
              <w:rPr>
                <w:rFonts w:ascii="Arial" w:cs="Arial" w:eastAsia="Arial" w:hAnsi="Arial"/>
                <w:color w:val="000000"/>
                <w:sz w:val="19"/>
                <w:szCs w:val="19"/>
              </w:rPr>
              <w:t xml:space="preserve">4. AI data handling — "Does Anthropic train on my contract data when I use the AI Q&amp;A?"</w:t>
            </w:r>
          </w:p>
          <w:p>
            <w:pPr>
              <w:spacing w:after="40"/>
            </w:pPr>
            <w:r>
              <w:rPr>
                <w:rFonts w:ascii="Arial" w:cs="Arial" w:eastAsia="Arial" w:hAnsi="Arial"/>
                <w:color w:val="000000"/>
                <w:sz w:val="19"/>
                <w:szCs w:val="19"/>
              </w:rPr>
              <w:t xml:space="preserve">5. Cross-party leakage — "As a vendor, can my buyer see my internal performance analysis and strategy?"</w:t>
            </w:r>
          </w:p>
        </w:tc>
      </w:tr>
    </w:tbl>
    <w:p>
      <w:pPr>
        <w:spacing w:after="60"/>
      </w:pPr>
      <w:r>
        <w:t xml:space="preserve"/>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A2. Data isolation architecture</w:t>
      </w:r>
    </w:p>
    <w:p>
      <w:pPr>
        <w:pStyle w:val="Heading2"/>
        <w:spacing w:after="80" w:before="280"/>
      </w:pPr>
      <w:r>
        <w:rPr>
          <w:rFonts w:ascii="Arial" w:cs="Arial" w:eastAsia="Arial" w:hAnsi="Arial"/>
          <w:b/>
          <w:bCs/>
          <w:color w:val="1F4E79"/>
          <w:sz w:val="28"/>
          <w:szCs w:val="28"/>
        </w:rPr>
        <w:t xml:space="preserve">A2.1 Organisational data separation</w:t>
      </w:r>
    </w:p>
    <w:p>
      <w:pPr>
        <w:spacing w:after="80"/>
      </w:pPr>
      <w:r>
        <w:rPr>
          <w:rFonts w:ascii="Arial" w:cs="Arial" w:eastAsia="Arial" w:hAnsi="Arial"/>
          <w:b w:val="false"/>
          <w:bCs w:val="false"/>
          <w:i w:val="false"/>
          <w:iCs w:val="false"/>
          <w:color w:val="000000"/>
          <w:sz w:val="20"/>
          <w:szCs w:val="20"/>
        </w:rPr>
        <w:t xml:space="preserve">All data isolation is enforced at the database layer via PostgreSQL Row Level Security (RLS) — not at the application layer. This means even a bug in the application code cannot expose one organisation's data to another. The database itself refuses the query.</w:t>
      </w:r>
    </w:p>
    <w:p>
      <w:pPr>
        <w:spacing w:after="60"/>
      </w:pPr>
      <w:r>
        <w:t xml:space="preserve"/>
      </w:r>
    </w:p>
    <w:p>
      <w:pPr>
        <w:pStyle w:val="Heading3"/>
        <w:spacing w:after="60" w:before="200"/>
      </w:pPr>
      <w:r>
        <w:rPr>
          <w:rFonts w:ascii="Arial" w:cs="Arial" w:eastAsia="Arial" w:hAnsi="Arial"/>
          <w:b/>
          <w:bCs/>
          <w:color w:val="2E75B6"/>
          <w:sz w:val="24"/>
          <w:szCs w:val="24"/>
        </w:rPr>
        <w:t xml:space="preserve">A2.1.1 RLS policy implementation</w:t>
      </w:r>
    </w:p>
    <w:p>
      <w:pPr>
        <w:shd w:fill="F5F5F5" w:val="clear"/>
        <w:spacing w:after="40"/>
        <w:ind w:left="720"/>
      </w:pPr>
      <w:r>
        <w:rPr>
          <w:rFonts w:ascii="Courier New" w:cs="Courier New" w:eastAsia="Courier New" w:hAnsi="Courier New"/>
          <w:color w:val="2C4770"/>
          <w:sz w:val="18"/>
          <w:szCs w:val="18"/>
        </w:rPr>
        <w:t xml:space="preserve">-- Every table has this policy. No exceptions.</w:t>
      </w:r>
    </w:p>
    <w:p>
      <w:pPr>
        <w:shd w:fill="F5F5F5" w:val="clear"/>
        <w:spacing w:after="40"/>
        <w:ind w:left="720"/>
      </w:pPr>
      <w:r>
        <w:rPr>
          <w:rFonts w:ascii="Courier New" w:cs="Courier New" w:eastAsia="Courier New" w:hAnsi="Courier New"/>
          <w:color w:val="2C4770"/>
          <w:sz w:val="18"/>
          <w:szCs w:val="18"/>
        </w:rPr>
        <w:t xml:space="preserve">-- org_id is extracted from the verified JWT, never from request params.</w:t>
      </w:r>
    </w:p>
    <w:p>
      <w:pPr>
        <w:shd w:fill="F5F5F5" w:val="clear"/>
        <w:spacing w:after="40"/>
        <w:ind w:left="720"/>
      </w:pPr>
      <w:r>
        <w:rPr>
          <w:rFonts w:ascii="Courier New" w:cs="Courier New" w:eastAsia="Courier New" w:hAnsi="Courier New"/>
          <w:color w:val="2C4770"/>
          <w:sz w:val="18"/>
          <w:szCs w:val="18"/>
        </w:rPr>
        <w:t xml:space="preserve"/>
      </w:r>
    </w:p>
    <w:p>
      <w:pPr>
        <w:shd w:fill="F5F5F5" w:val="clear"/>
        <w:spacing w:after="40"/>
        <w:ind w:left="720"/>
      </w:pPr>
      <w:r>
        <w:rPr>
          <w:rFonts w:ascii="Courier New" w:cs="Courier New" w:eastAsia="Courier New" w:hAnsi="Courier New"/>
          <w:color w:val="2C4770"/>
          <w:sz w:val="18"/>
          <w:szCs w:val="18"/>
        </w:rPr>
        <w:t xml:space="preserve">CREATE POLICY "strict_org_isolation" ON contracts</w:t>
      </w:r>
    </w:p>
    <w:p>
      <w:pPr>
        <w:shd w:fill="F5F5F5" w:val="clear"/>
        <w:spacing w:after="40"/>
        <w:ind w:left="720"/>
      </w:pPr>
      <w:r>
        <w:rPr>
          <w:rFonts w:ascii="Courier New" w:cs="Courier New" w:eastAsia="Courier New" w:hAnsi="Courier New"/>
          <w:color w:val="2C4770"/>
          <w:sz w:val="18"/>
          <w:szCs w:val="18"/>
        </w:rPr>
        <w:t xml:space="preserve">  FOR ALL</w:t>
      </w:r>
    </w:p>
    <w:p>
      <w:pPr>
        <w:shd w:fill="F5F5F5" w:val="clear"/>
        <w:spacing w:after="40"/>
        <w:ind w:left="720"/>
      </w:pPr>
      <w:r>
        <w:rPr>
          <w:rFonts w:ascii="Courier New" w:cs="Courier New" w:eastAsia="Courier New" w:hAnsi="Courier New"/>
          <w:color w:val="2C4770"/>
          <w:sz w:val="18"/>
          <w:szCs w:val="18"/>
        </w:rPr>
        <w:t xml:space="preserve">  USING (org_id = (auth.jwt() -&gt;&gt; 'org_id')::uuid);</w:t>
      </w:r>
    </w:p>
    <w:p>
      <w:pPr>
        <w:shd w:fill="F5F5F5" w:val="clear"/>
        <w:spacing w:after="40"/>
        <w:ind w:left="720"/>
      </w:pPr>
      <w:r>
        <w:rPr>
          <w:rFonts w:ascii="Courier New" w:cs="Courier New" w:eastAsia="Courier New" w:hAnsi="Courier New"/>
          <w:color w:val="2C4770"/>
          <w:sz w:val="18"/>
          <w:szCs w:val="18"/>
        </w:rPr>
        <w:t xml:space="preserve"/>
      </w:r>
    </w:p>
    <w:p>
      <w:pPr>
        <w:shd w:fill="F5F5F5" w:val="clear"/>
        <w:spacing w:after="40"/>
        <w:ind w:left="720"/>
      </w:pPr>
      <w:r>
        <w:rPr>
          <w:rFonts w:ascii="Courier New" w:cs="Courier New" w:eastAsia="Courier New" w:hAnsi="Courier New"/>
          <w:color w:val="2C4770"/>
          <w:sz w:val="18"/>
          <w:szCs w:val="18"/>
        </w:rPr>
        <w:t xml:space="preserve">-- Same policy pattern applied to:</w:t>
      </w:r>
    </w:p>
    <w:p>
      <w:pPr>
        <w:shd w:fill="F5F5F5" w:val="clear"/>
        <w:spacing w:after="40"/>
        <w:ind w:left="720"/>
      </w:pPr>
      <w:r>
        <w:rPr>
          <w:rFonts w:ascii="Courier New" w:cs="Courier New" w:eastAsia="Courier New" w:hAnsi="Courier New"/>
          <w:color w:val="2C4770"/>
          <w:sz w:val="18"/>
          <w:szCs w:val="18"/>
        </w:rPr>
        <w:t xml:space="preserve">-- vendors, contracts, contract_documents, contract_key_terms,</w:t>
      </w:r>
    </w:p>
    <w:p>
      <w:pPr>
        <w:shd w:fill="F5F5F5" w:val="clear"/>
        <w:spacing w:after="40"/>
        <w:ind w:left="720"/>
      </w:pPr>
      <w:r>
        <w:rPr>
          <w:rFonts w:ascii="Courier New" w:cs="Courier New" w:eastAsia="Courier New" w:hAnsi="Courier New"/>
          <w:color w:val="2C4770"/>
          <w:sz w:val="18"/>
          <w:szCs w:val="18"/>
        </w:rPr>
        <w:t xml:space="preserve">-- kpis, submission_periods, kpi_actuals, breaches,</w:t>
      </w:r>
    </w:p>
    <w:p>
      <w:pPr>
        <w:shd w:fill="F5F5F5" w:val="clear"/>
        <w:spacing w:after="40"/>
        <w:ind w:left="720"/>
      </w:pPr>
      <w:r>
        <w:rPr>
          <w:rFonts w:ascii="Courier New" w:cs="Courier New" w:eastAsia="Courier New" w:hAnsi="Courier New"/>
          <w:color w:val="2C4770"/>
          <w:sz w:val="18"/>
          <w:szCs w:val="18"/>
        </w:rPr>
        <w:t xml:space="preserve">-- contractual_actions, ai_conversations, reports</w:t>
      </w:r>
    </w:p>
    <w:p>
      <w:pPr>
        <w:spacing w:after="60"/>
      </w:pPr>
      <w:r>
        <w:t xml:space="preserve"/>
      </w:r>
    </w:p>
    <w:p>
      <w:pPr>
        <w:spacing w:after="80"/>
      </w:pPr>
      <w:r>
        <w:rPr>
          <w:rFonts w:ascii="Arial" w:cs="Arial" w:eastAsia="Arial" w:hAnsi="Arial"/>
          <w:b w:val="false"/>
          <w:bCs w:val="false"/>
          <w:i w:val="false"/>
          <w:iCs w:val="false"/>
          <w:color w:val="000000"/>
          <w:sz w:val="20"/>
          <w:szCs w:val="20"/>
        </w:rPr>
        <w:t xml:space="preserve">Implementation requirement: Every new table added to the schema must have an RLS policy applied before any data is inserted. The CI/CD pipeline must include an automated check that confirms all tables have RLS enabled. Any table without RLS blocks deployment.</w:t>
      </w:r>
    </w:p>
    <w:p>
      <w:pPr>
        <w:spacing w:after="60"/>
      </w:pPr>
      <w:r>
        <w:t xml:space="preserve"/>
      </w:r>
    </w:p>
    <w:p>
      <w:pPr>
        <w:pStyle w:val="Heading3"/>
        <w:spacing w:after="60" w:before="200"/>
      </w:pPr>
      <w:r>
        <w:rPr>
          <w:rFonts w:ascii="Arial" w:cs="Arial" w:eastAsia="Arial" w:hAnsi="Arial"/>
          <w:b/>
          <w:bCs/>
          <w:color w:val="2E75B6"/>
          <w:sz w:val="24"/>
          <w:szCs w:val="24"/>
        </w:rPr>
        <w:t xml:space="preserve">A2.1.2 What the buyer can see vs what the vendor can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301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Buyer can see</w:t>
            </w:r>
          </w:p>
        </w:tc>
        <w:tc>
          <w:tcPr>
            <w:tcW w:type="dxa" w:w="301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Vendor can see (if on platform)</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KPI actuals submitted by vendor</w:t>
            </w:r>
          </w:p>
        </w:tc>
        <w:tc>
          <w:tcPr>
            <w:tcW w:type="dxa" w:w="30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Yes — always</w:t>
            </w:r>
          </w:p>
        </w:tc>
        <w:tc>
          <w:tcPr>
            <w:tcW w:type="dxa" w:w="30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Yes — their own submissions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Buyer's AI conversation history</w:t>
            </w:r>
          </w:p>
        </w:tc>
        <w:tc>
          <w:tcPr>
            <w:tcW w:type="dxa" w:w="30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Yes — their own only</w:t>
            </w:r>
          </w:p>
        </w:tc>
        <w:tc>
          <w:tcPr>
            <w:tcW w:type="dxa" w:w="30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Never — hard RLS block</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Buyer's internal notes on breach strategy</w:t>
            </w:r>
          </w:p>
        </w:tc>
        <w:tc>
          <w:tcPr>
            <w:tcW w:type="dxa" w:w="30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Yes — their own only</w:t>
            </w:r>
          </w:p>
        </w:tc>
        <w:tc>
          <w:tcPr>
            <w:tcW w:type="dxa" w:w="30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Never — hard RLS block</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Buyer's credit claim drafts</w:t>
            </w:r>
          </w:p>
        </w:tc>
        <w:tc>
          <w:tcPr>
            <w:tcW w:type="dxa" w:w="30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Yes — their own only</w:t>
            </w:r>
          </w:p>
        </w:tc>
        <w:tc>
          <w:tcPr>
            <w:tcW w:type="dxa" w:w="30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Never until formally sent</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Vendor's AI conversation history</w:t>
            </w:r>
          </w:p>
        </w:tc>
        <w:tc>
          <w:tcPr>
            <w:tcW w:type="dxa" w:w="30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Never</w:t>
            </w:r>
          </w:p>
        </w:tc>
        <w:tc>
          <w:tcPr>
            <w:tcW w:type="dxa" w:w="30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Yes — their own only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Vendor's internal performance analysis</w:t>
            </w:r>
          </w:p>
        </w:tc>
        <w:tc>
          <w:tcPr>
            <w:tcW w:type="dxa" w:w="30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Never</w:t>
            </w:r>
          </w:p>
        </w:tc>
        <w:tc>
          <w:tcPr>
            <w:tcW w:type="dxa" w:w="30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Yes — their own only</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Shared: KPI definitions from contract</w:t>
            </w:r>
          </w:p>
        </w:tc>
        <w:tc>
          <w:tcPr>
            <w:tcW w:type="dxa" w:w="30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0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Yes — same contract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Shared: submitted actuals (linked accounts)</w:t>
            </w:r>
          </w:p>
        </w:tc>
        <w:tc>
          <w:tcPr>
            <w:tcW w:type="dxa" w:w="30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Yes — read only</w:t>
            </w:r>
          </w:p>
        </w:tc>
        <w:tc>
          <w:tcPr>
            <w:tcW w:type="dxa" w:w="30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Yes — they submitted it</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Other buyers' contracts or performance data</w:t>
            </w:r>
          </w:p>
        </w:tc>
        <w:tc>
          <w:tcPr>
            <w:tcW w:type="dxa" w:w="30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Never</w:t>
            </w:r>
          </w:p>
        </w:tc>
        <w:tc>
          <w:tcPr>
            <w:tcW w:type="dxa" w:w="30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Never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Benchmark data (anonymised aggregate)</w:t>
            </w:r>
          </w:p>
        </w:tc>
        <w:tc>
          <w:tcPr>
            <w:tcW w:type="dxa" w:w="30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Yes — no org identified</w:t>
            </w:r>
          </w:p>
        </w:tc>
        <w:tc>
          <w:tcPr>
            <w:tcW w:type="dxa" w:w="30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Yes — no org identified</w:t>
            </w:r>
          </w:p>
        </w:tc>
      </w:tr>
    </w:tbl>
    <w:p>
      <w:pPr>
        <w:spacing w:after="60"/>
      </w:pPr>
      <w:r>
        <w:t xml:space="preserve"/>
      </w:r>
    </w:p>
    <w:p>
      <w:pPr>
        <w:pStyle w:val="Heading2"/>
        <w:spacing w:after="80" w:before="280"/>
      </w:pPr>
      <w:r>
        <w:rPr>
          <w:rFonts w:ascii="Arial" w:cs="Arial" w:eastAsia="Arial" w:hAnsi="Arial"/>
          <w:b/>
          <w:bCs/>
          <w:color w:val="1F4E79"/>
          <w:sz w:val="28"/>
          <w:szCs w:val="28"/>
        </w:rPr>
        <w:t xml:space="preserve">A2.2 AI conversation isolation</w:t>
      </w:r>
    </w:p>
    <w:p>
      <w:pPr>
        <w:spacing w:after="80"/>
      </w:pPr>
      <w:r>
        <w:rPr>
          <w:rFonts w:ascii="Arial" w:cs="Arial" w:eastAsia="Arial" w:hAnsi="Arial"/>
          <w:b w:val="false"/>
          <w:bCs w:val="false"/>
          <w:i w:val="false"/>
          <w:iCs w:val="false"/>
          <w:color w:val="000000"/>
          <w:sz w:val="20"/>
          <w:szCs w:val="20"/>
        </w:rPr>
        <w:t xml:space="preserve">AI conversations are the most sensitive data on the platform. An IT director asking "what are my options if I want to terminate Telstra for cause?" must never be visible to Telstra, even if Telstra is also a Contractly customer.</w:t>
      </w:r>
    </w:p>
    <w:p>
      <w:pPr>
        <w:spacing w:after="60"/>
      </w:pPr>
      <w:r>
        <w:t xml:space="preserve"/>
      </w:r>
    </w:p>
    <w:p>
      <w:pPr>
        <w:pStyle w:val="ListParagraph"/>
        <w:numPr>
          <w:ilvl w:val="0"/>
          <w:numId w:val="2"/>
        </w:numPr>
        <w:spacing w:after="60"/>
      </w:pPr>
      <w:r>
        <w:rPr>
          <w:rFonts w:ascii="Arial" w:cs="Arial" w:eastAsia="Arial" w:hAnsi="Arial"/>
          <w:sz w:val="20"/>
          <w:szCs w:val="20"/>
        </w:rPr>
        <w:t xml:space="preserve">Each AI conversation is stored in the ai_conversations table with org_id enforced by RLS</w:t>
      </w:r>
    </w:p>
    <w:p>
      <w:pPr>
        <w:pStyle w:val="ListParagraph"/>
        <w:numPr>
          <w:ilvl w:val="0"/>
          <w:numId w:val="2"/>
        </w:numPr>
        <w:spacing w:after="60"/>
      </w:pPr>
      <w:r>
        <w:rPr>
          <w:rFonts w:ascii="Arial" w:cs="Arial" w:eastAsia="Arial" w:hAnsi="Arial"/>
          <w:sz w:val="20"/>
          <w:szCs w:val="20"/>
        </w:rPr>
        <w:t xml:space="preserve">The conversation context (contract text, KPI data) is assembled server-side and never stored in a shared cache</w:t>
      </w:r>
    </w:p>
    <w:p>
      <w:pPr>
        <w:pStyle w:val="ListParagraph"/>
        <w:numPr>
          <w:ilvl w:val="0"/>
          <w:numId w:val="2"/>
        </w:numPr>
        <w:spacing w:after="60"/>
      </w:pPr>
      <w:r>
        <w:rPr>
          <w:rFonts w:ascii="Arial" w:cs="Arial" w:eastAsia="Arial" w:hAnsi="Arial"/>
          <w:sz w:val="20"/>
          <w:szCs w:val="20"/>
        </w:rPr>
        <w:t xml:space="preserve">The Claude API call is made from the Contractly backend — the vendor never has direct API access</w:t>
      </w:r>
    </w:p>
    <w:p>
      <w:pPr>
        <w:pStyle w:val="ListParagraph"/>
        <w:numPr>
          <w:ilvl w:val="0"/>
          <w:numId w:val="2"/>
        </w:numPr>
        <w:spacing w:after="60"/>
      </w:pPr>
      <w:r>
        <w:rPr>
          <w:rFonts w:ascii="Arial" w:cs="Arial" w:eastAsia="Arial" w:hAnsi="Arial"/>
          <w:sz w:val="20"/>
          <w:szCs w:val="20"/>
        </w:rPr>
        <w:t xml:space="preserve">Conversation history is never included in templates, reports, or any export unless explicitly requested by the owning org</w:t>
      </w:r>
    </w:p>
    <w:p>
      <w:pPr>
        <w:pStyle w:val="ListParagraph"/>
        <w:numPr>
          <w:ilvl w:val="0"/>
          <w:numId w:val="2"/>
        </w:numPr>
        <w:spacing w:after="60"/>
      </w:pPr>
      <w:r>
        <w:rPr>
          <w:rFonts w:ascii="Arial" w:cs="Arial" w:eastAsia="Arial" w:hAnsi="Arial"/>
          <w:sz w:val="20"/>
          <w:szCs w:val="20"/>
        </w:rPr>
        <w:t xml:space="preserve">AI conversations are excluded from the vendor_customer_links data sharing scope — even when accounts are linked, AI conversations remain private to each org</w:t>
      </w:r>
    </w:p>
    <w:p>
      <w:pPr>
        <w:spacing w:after="60"/>
      </w:pPr>
      <w:r>
        <w:t xml:space="preserve"/>
      </w:r>
    </w:p>
    <w:p>
      <w:pPr>
        <w:pStyle w:val="Heading2"/>
        <w:spacing w:after="80" w:before="280"/>
      </w:pPr>
      <w:r>
        <w:rPr>
          <w:rFonts w:ascii="Arial" w:cs="Arial" w:eastAsia="Arial" w:hAnsi="Arial"/>
          <w:b/>
          <w:bCs/>
          <w:color w:val="1F4E79"/>
          <w:sz w:val="28"/>
          <w:szCs w:val="28"/>
        </w:rPr>
        <w:t xml:space="preserve">A2.3 Benchmark data anonymisation</w:t>
      </w:r>
    </w:p>
    <w:p>
      <w:pPr>
        <w:spacing w:after="80"/>
      </w:pPr>
      <w:r>
        <w:rPr>
          <w:rFonts w:ascii="Arial" w:cs="Arial" w:eastAsia="Arial" w:hAnsi="Arial"/>
          <w:b w:val="false"/>
          <w:bCs w:val="false"/>
          <w:i w:val="false"/>
          <w:iCs w:val="false"/>
          <w:color w:val="000000"/>
          <w:sz w:val="20"/>
          <w:szCs w:val="20"/>
        </w:rPr>
        <w:t xml:space="preserve">Contractly will eventually build benchmark datasets from aggregated performance data across all customers. The following rules govern this:</w:t>
      </w:r>
    </w:p>
    <w:p>
      <w:pPr>
        <w:spacing w:after="60"/>
      </w:pPr>
      <w:r>
        <w:t xml:space="preserve"/>
      </w:r>
    </w:p>
    <w:p>
      <w:pPr>
        <w:pStyle w:val="ListParagraph"/>
        <w:numPr>
          <w:ilvl w:val="0"/>
          <w:numId w:val="2"/>
        </w:numPr>
        <w:spacing w:after="60"/>
      </w:pPr>
      <w:r>
        <w:rPr>
          <w:rFonts w:ascii="Arial" w:cs="Arial" w:eastAsia="Arial" w:hAnsi="Arial"/>
          <w:sz w:val="20"/>
          <w:szCs w:val="20"/>
        </w:rPr>
        <w:t xml:space="preserve">No benchmark dataset will identify a specific organisation, vendor, or contract</w:t>
      </w:r>
    </w:p>
    <w:p>
      <w:pPr>
        <w:pStyle w:val="ListParagraph"/>
        <w:numPr>
          <w:ilvl w:val="0"/>
          <w:numId w:val="2"/>
        </w:numPr>
        <w:spacing w:after="60"/>
      </w:pPr>
      <w:r>
        <w:rPr>
          <w:rFonts w:ascii="Arial" w:cs="Arial" w:eastAsia="Arial" w:hAnsi="Arial"/>
          <w:sz w:val="20"/>
          <w:szCs w:val="20"/>
        </w:rPr>
        <w:t xml:space="preserve">Minimum cohort size of 10 before any aggregate metric is published — prevents reverse-engineering of individual data</w:t>
      </w:r>
    </w:p>
    <w:p>
      <w:pPr>
        <w:pStyle w:val="ListParagraph"/>
        <w:numPr>
          <w:ilvl w:val="0"/>
          <w:numId w:val="2"/>
        </w:numPr>
        <w:spacing w:after="60"/>
      </w:pPr>
      <w:r>
        <w:rPr>
          <w:rFonts w:ascii="Arial" w:cs="Arial" w:eastAsia="Arial" w:hAnsi="Arial"/>
          <w:sz w:val="20"/>
          <w:szCs w:val="20"/>
        </w:rPr>
        <w:t xml:space="preserve">Organisations must opt in to benchmark contribution — opt-out by default on Starter plan, opt-in default on Professional and Enterprise</w:t>
      </w:r>
    </w:p>
    <w:p>
      <w:pPr>
        <w:pStyle w:val="ListParagraph"/>
        <w:numPr>
          <w:ilvl w:val="0"/>
          <w:numId w:val="2"/>
        </w:numPr>
        <w:spacing w:after="60"/>
      </w:pPr>
      <w:r>
        <w:rPr>
          <w:rFonts w:ascii="Arial" w:cs="Arial" w:eastAsia="Arial" w:hAnsi="Arial"/>
          <w:sz w:val="20"/>
          <w:szCs w:val="20"/>
        </w:rPr>
        <w:t xml:space="preserve">Raw performance data is never shared — only computed aggregates (e.g. "median uptime for AU telco managed services: 99.4%")</w:t>
      </w:r>
    </w:p>
    <w:p>
      <w:pPr>
        <w:pStyle w:val="ListParagraph"/>
        <w:numPr>
          <w:ilvl w:val="0"/>
          <w:numId w:val="2"/>
        </w:numPr>
        <w:spacing w:after="60"/>
      </w:pPr>
      <w:r>
        <w:rPr>
          <w:rFonts w:ascii="Arial" w:cs="Arial" w:eastAsia="Arial" w:hAnsi="Arial"/>
          <w:sz w:val="20"/>
          <w:szCs w:val="20"/>
        </w:rPr>
        <w:t xml:space="preserve">Benchmark contribution is governed by a separate data processing agreement addendum</w:t>
      </w:r>
    </w:p>
    <w:p>
      <w:pPr>
        <w:spacing w:after="60"/>
      </w:pPr>
      <w:r>
        <w:t xml:space="preserve"/>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A3. Data residency and encryption</w:t>
      </w:r>
    </w:p>
    <w:p>
      <w:pPr>
        <w:pStyle w:val="Heading2"/>
        <w:spacing w:after="80" w:before="280"/>
      </w:pPr>
      <w:r>
        <w:rPr>
          <w:rFonts w:ascii="Arial" w:cs="Arial" w:eastAsia="Arial" w:hAnsi="Arial"/>
          <w:b/>
          <w:bCs/>
          <w:color w:val="1F4E79"/>
          <w:sz w:val="28"/>
          <w:szCs w:val="28"/>
        </w:rPr>
        <w:t xml:space="preserve">A3.1 Australian data residency</w:t>
      </w:r>
    </w:p>
    <w:p>
      <w:pPr>
        <w:spacing w:after="80"/>
      </w:pPr>
      <w:r>
        <w:rPr>
          <w:rFonts w:ascii="Arial" w:cs="Arial" w:eastAsia="Arial" w:hAnsi="Arial"/>
          <w:b w:val="false"/>
          <w:bCs w:val="false"/>
          <w:i w:val="false"/>
          <w:iCs w:val="false"/>
          <w:color w:val="000000"/>
          <w:sz w:val="20"/>
          <w:szCs w:val="20"/>
        </w:rPr>
        <w:t xml:space="preserve">All customer data — contracts, KPIs, actuals, AI conversations, reports — is stored and processed in Australia. This is a hard architectural constraint, not a preference.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Service / Region</w:t>
            </w:r>
          </w:p>
        </w:tc>
        <w:tc>
          <w:tcPr>
            <w:tcW w:type="dxa" w:w="3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 stored there</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Primary database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Supabase — ap-southeast-2 (Sydney)</w:t>
            </w:r>
          </w:p>
        </w:tc>
        <w:tc>
          <w:tcPr>
            <w:tcW w:type="dxa" w:w="3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All structured data — contracts, KPIs, actuals, users, organisations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File storage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Supabase Storage — ap-southeast-2</w:t>
            </w:r>
          </w:p>
        </w:tc>
        <w:tc>
          <w:tcPr>
            <w:tcW w:type="dxa" w:w="3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Contract documents, report exports, generated templates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AI processing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Anthropic API (US-based)</w:t>
            </w:r>
          </w:p>
        </w:tc>
        <w:tc>
          <w:tcPr>
            <w:tcW w:type="dxa" w:w="3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Contract text sent for extraction/Q&amp;A — see Section A3.3</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OCR fallback</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AWS Textract — ap-southeast-2</w:t>
            </w:r>
          </w:p>
        </w:tc>
        <w:tc>
          <w:tcPr>
            <w:tcW w:type="dxa" w:w="3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Scanned document text extraction — AU region only</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Email delivery</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Resend (US-based)</w:t>
            </w:r>
          </w:p>
        </w:tc>
        <w:tc>
          <w:tcPr>
            <w:tcW w:type="dxa" w:w="3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Email content only — no contract data in emails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Application hosting</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Vercel — Sydney edge nodes</w:t>
            </w:r>
          </w:p>
        </w:tc>
        <w:tc>
          <w:tcPr>
            <w:tcW w:type="dxa" w:w="3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No persistent data stored on Vercel — stateless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Background jobs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Inngest (US-based)</w:t>
            </w:r>
          </w:p>
        </w:tc>
        <w:tc>
          <w:tcPr>
            <w:tcW w:type="dxa" w:w="3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Job metadata only — no contract content in job payloads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Monitoring / logs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Sentry — configured for AU data routing</w:t>
            </w:r>
          </w:p>
        </w:tc>
        <w:tc>
          <w:tcPr>
            <w:tcW w:type="dxa" w:w="3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Error traces — no contract content in logs</w:t>
            </w:r>
          </w:p>
        </w:tc>
      </w:tr>
    </w:tbl>
    <w:p>
      <w:pPr>
        <w:spacing w:after="60"/>
      </w:pPr>
      <w:r>
        <w:t xml:space="preserve"/>
      </w:r>
    </w:p>
    <w:p>
      <w:pPr>
        <w:pStyle w:val="Heading2"/>
        <w:spacing w:after="80" w:before="280"/>
      </w:pPr>
      <w:r>
        <w:rPr>
          <w:rFonts w:ascii="Arial" w:cs="Arial" w:eastAsia="Arial" w:hAnsi="Arial"/>
          <w:b/>
          <w:bCs/>
          <w:color w:val="1F4E79"/>
          <w:sz w:val="28"/>
          <w:szCs w:val="28"/>
        </w:rPr>
        <w:t xml:space="preserve">A3.2 Encryption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Standard</w:t>
            </w:r>
          </w:p>
        </w:tc>
        <w:tc>
          <w:tcPr>
            <w:tcW w:type="dxa" w:w="3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Data in transit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TLS 1.3</w:t>
            </w:r>
          </w:p>
        </w:tc>
        <w:tc>
          <w:tcPr>
            <w:tcW w:type="dxa" w:w="3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Enforced by Vercel and Supabase. No HTTP endpoints. HSTS headers.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Data at rest (database)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AES-256</w:t>
            </w:r>
          </w:p>
        </w:tc>
        <w:tc>
          <w:tcPr>
            <w:tcW w:type="dxa" w:w="3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Supabase encrypts all data at rest by default. Enabled on all projects.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Data at rest (files)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AES-256</w:t>
            </w:r>
          </w:p>
        </w:tc>
        <w:tc>
          <w:tcPr>
            <w:tcW w:type="dxa" w:w="3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Supabase Storage encrypts all objects at rest.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API keys and secrets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Env vars + Vercel secrets vault</w:t>
            </w:r>
          </w:p>
        </w:tc>
        <w:tc>
          <w:tcPr>
            <w:tcW w:type="dxa" w:w="3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Never stored in code, database, or logs. Rotated quarterly.</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Authentication tokens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Supabase JWT (RS256)</w:t>
            </w:r>
          </w:p>
        </w:tc>
        <w:tc>
          <w:tcPr>
            <w:tcW w:type="dxa" w:w="3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Short-lived access tokens (1 hour), long-lived refresh tokens (7 days).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Vendor form tokens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HMAC-signed JWT</w:t>
            </w:r>
          </w:p>
        </w:tc>
        <w:tc>
          <w:tcPr>
            <w:tcW w:type="dxa" w:w="3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Single-use, 7-day expiry, invalidated on submission.</w:t>
            </w:r>
          </w:p>
        </w:tc>
      </w:tr>
    </w:tbl>
    <w:p>
      <w:pPr>
        <w:spacing w:after="60"/>
      </w:pPr>
      <w:r>
        <w:t xml:space="preserve"/>
      </w:r>
    </w:p>
    <w:p>
      <w:pPr>
        <w:pStyle w:val="Heading2"/>
        <w:spacing w:after="80" w:before="280"/>
      </w:pPr>
      <w:r>
        <w:rPr>
          <w:rFonts w:ascii="Arial" w:cs="Arial" w:eastAsia="Arial" w:hAnsi="Arial"/>
          <w:b/>
          <w:bCs/>
          <w:color w:val="1F4E79"/>
          <w:sz w:val="28"/>
          <w:szCs w:val="28"/>
        </w:rPr>
        <w:t xml:space="preserve">A3.3 AI data handling — the Anthropic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E2EFDA" w:val="clear"/>
            <w:tcMar>
              <w:top w:type="dxa" w:w="120"/>
              <w:left w:type="dxa" w:w="180"/>
              <w:bottom w:type="dxa" w:w="120"/>
              <w:right w:type="dxa" w:w="180"/>
            </w:tcMar>
          </w:tcPr>
          <w:p>
            <w:pPr>
              <w:spacing w:after="60"/>
            </w:pPr>
            <w:r>
              <w:rPr>
                <w:rFonts w:ascii="Arial" w:cs="Arial" w:eastAsia="Arial" w:hAnsi="Arial"/>
                <w:b/>
                <w:bCs/>
                <w:color w:val="375623"/>
                <w:sz w:val="20"/>
                <w:szCs w:val="20"/>
              </w:rPr>
              <w:t xml:space="preserve">Direct answer to the most common question</w:t>
            </w:r>
          </w:p>
          <w:p>
            <w:pPr>
              <w:spacing w:after="40"/>
            </w:pPr>
            <w:r>
              <w:rPr>
                <w:rFonts w:ascii="Arial" w:cs="Arial" w:eastAsia="Arial" w:hAnsi="Arial"/>
                <w:color w:val="000000"/>
                <w:sz w:val="19"/>
                <w:szCs w:val="19"/>
              </w:rPr>
              <w:t xml:space="preserve">Question: "Does Anthropic train on my contract data when I use the AI Q&amp;A?"</w:t>
            </w:r>
          </w:p>
          <w:p>
            <w:pPr>
              <w:spacing w:after="40"/>
            </w:pPr>
            <w:r>
              <w:rPr>
                <w:rFonts w:ascii="Arial" w:cs="Arial" w:eastAsia="Arial" w:hAnsi="Arial"/>
                <w:color w:val="000000"/>
                <w:sz w:val="19"/>
                <w:szCs w:val="19"/>
              </w:rPr>
              <w:t xml:space="preserve"/>
            </w:r>
          </w:p>
          <w:p>
            <w:pPr>
              <w:spacing w:after="40"/>
            </w:pPr>
            <w:r>
              <w:rPr>
                <w:rFonts w:ascii="Arial" w:cs="Arial" w:eastAsia="Arial" w:hAnsi="Arial"/>
                <w:color w:val="000000"/>
                <w:sz w:val="19"/>
                <w:szCs w:val="19"/>
              </w:rPr>
              <w:t xml:space="preserve">Answer: No. Contractly uses the Anthropic Claude API under a commercial API agreement.</w:t>
            </w:r>
          </w:p>
          <w:p>
            <w:pPr>
              <w:spacing w:after="40"/>
            </w:pPr>
            <w:r>
              <w:rPr>
                <w:rFonts w:ascii="Arial" w:cs="Arial" w:eastAsia="Arial" w:hAnsi="Arial"/>
                <w:color w:val="000000"/>
                <w:sz w:val="19"/>
                <w:szCs w:val="19"/>
              </w:rPr>
              <w:t xml:space="preserve">Under this agreement, Anthropic does not use API inputs or outputs to train its models.</w:t>
            </w:r>
          </w:p>
          <w:p>
            <w:pPr>
              <w:spacing w:after="40"/>
            </w:pPr>
            <w:r>
              <w:rPr>
                <w:rFonts w:ascii="Arial" w:cs="Arial" w:eastAsia="Arial" w:hAnsi="Arial"/>
                <w:color w:val="000000"/>
                <w:sz w:val="19"/>
                <w:szCs w:val="19"/>
              </w:rPr>
              <w:t xml:space="preserve">This is stated in Anthropic's API usage policy and is a contractual commitment, not just a preference.</w:t>
            </w:r>
          </w:p>
          <w:p>
            <w:pPr>
              <w:spacing w:after="40"/>
            </w:pPr>
            <w:r>
              <w:rPr>
                <w:rFonts w:ascii="Arial" w:cs="Arial" w:eastAsia="Arial" w:hAnsi="Arial"/>
                <w:color w:val="000000"/>
                <w:sz w:val="19"/>
                <w:szCs w:val="19"/>
              </w:rPr>
              <w:t xml:space="preserve"/>
            </w:r>
          </w:p>
          <w:p>
            <w:pPr>
              <w:spacing w:after="40"/>
            </w:pPr>
            <w:r>
              <w:rPr>
                <w:rFonts w:ascii="Arial" w:cs="Arial" w:eastAsia="Arial" w:hAnsi="Arial"/>
                <w:color w:val="000000"/>
                <w:sz w:val="19"/>
                <w:szCs w:val="19"/>
              </w:rPr>
              <w:t xml:space="preserve">Reference: https://www.anthropic.com/legal/privacy — "We do not train our models on</w:t>
            </w:r>
          </w:p>
          <w:p>
            <w:pPr>
              <w:spacing w:after="40"/>
            </w:pPr>
            <w:r>
              <w:rPr>
                <w:rFonts w:ascii="Arial" w:cs="Arial" w:eastAsia="Arial" w:hAnsi="Arial"/>
                <w:color w:val="000000"/>
                <w:sz w:val="19"/>
                <w:szCs w:val="19"/>
              </w:rPr>
              <w:t xml:space="preserve">inputs and outputs through our API."</w:t>
            </w:r>
          </w:p>
          <w:p>
            <w:pPr>
              <w:spacing w:after="40"/>
            </w:pPr>
            <w:r>
              <w:rPr>
                <w:rFonts w:ascii="Arial" w:cs="Arial" w:eastAsia="Arial" w:hAnsi="Arial"/>
                <w:color w:val="000000"/>
                <w:sz w:val="19"/>
                <w:szCs w:val="19"/>
              </w:rPr>
              <w:t xml:space="preserve"/>
            </w:r>
          </w:p>
          <w:p>
            <w:pPr>
              <w:spacing w:after="40"/>
            </w:pPr>
            <w:r>
              <w:rPr>
                <w:rFonts w:ascii="Arial" w:cs="Arial" w:eastAsia="Arial" w:hAnsi="Arial"/>
                <w:color w:val="000000"/>
                <w:sz w:val="19"/>
                <w:szCs w:val="19"/>
              </w:rPr>
              <w:t xml:space="preserve">Contractly will include this commitment explicitly in its Terms of Service and</w:t>
            </w:r>
          </w:p>
          <w:p>
            <w:pPr>
              <w:spacing w:after="40"/>
            </w:pPr>
            <w:r>
              <w:rPr>
                <w:rFonts w:ascii="Arial" w:cs="Arial" w:eastAsia="Arial" w:hAnsi="Arial"/>
                <w:color w:val="000000"/>
                <w:sz w:val="19"/>
                <w:szCs w:val="19"/>
              </w:rPr>
              <w:t xml:space="preserve">Data Processing Agreement so customers have a contractual right to rely on it.</w:t>
            </w:r>
          </w:p>
        </w:tc>
      </w:tr>
    </w:tbl>
    <w:p>
      <w:pPr>
        <w:spacing w:after="60"/>
      </w:pPr>
      <w:r>
        <w:t xml:space="preserve"/>
      </w:r>
    </w:p>
    <w:p>
      <w:pPr>
        <w:spacing w:after="80"/>
      </w:pPr>
      <w:r>
        <w:rPr>
          <w:rFonts w:ascii="Arial" w:cs="Arial" w:eastAsia="Arial" w:hAnsi="Arial"/>
          <w:b w:val="false"/>
          <w:bCs w:val="false"/>
          <w:i w:val="false"/>
          <w:iCs w:val="false"/>
          <w:color w:val="000000"/>
          <w:sz w:val="20"/>
          <w:szCs w:val="20"/>
        </w:rPr>
        <w:t xml:space="preserve">Additional AI data handling commitments:</w:t>
      </w:r>
    </w:p>
    <w:p>
      <w:pPr>
        <w:pStyle w:val="ListParagraph"/>
        <w:numPr>
          <w:ilvl w:val="0"/>
          <w:numId w:val="2"/>
        </w:numPr>
        <w:spacing w:after="60"/>
      </w:pPr>
      <w:r>
        <w:rPr>
          <w:rFonts w:ascii="Arial" w:cs="Arial" w:eastAsia="Arial" w:hAnsi="Arial"/>
          <w:sz w:val="20"/>
          <w:szCs w:val="20"/>
        </w:rPr>
        <w:t xml:space="preserve">Contract text is sent to the Claude API only for the specific extraction or Q&amp;A request — it is not cached or stored by Anthropic</w:t>
      </w:r>
    </w:p>
    <w:p>
      <w:pPr>
        <w:pStyle w:val="ListParagraph"/>
        <w:numPr>
          <w:ilvl w:val="0"/>
          <w:numId w:val="2"/>
        </w:numPr>
        <w:spacing w:after="60"/>
      </w:pPr>
      <w:r>
        <w:rPr>
          <w:rFonts w:ascii="Arial" w:cs="Arial" w:eastAsia="Arial" w:hAnsi="Arial"/>
          <w:sz w:val="20"/>
          <w:szCs w:val="20"/>
        </w:rPr>
        <w:t xml:space="preserve">Each API call is independent — Anthropic has no persistent memory of previous contract extractions</w:t>
      </w:r>
    </w:p>
    <w:p>
      <w:pPr>
        <w:pStyle w:val="ListParagraph"/>
        <w:numPr>
          <w:ilvl w:val="0"/>
          <w:numId w:val="2"/>
        </w:numPr>
        <w:spacing w:after="60"/>
      </w:pPr>
      <w:r>
        <w:rPr>
          <w:rFonts w:ascii="Arial" w:cs="Arial" w:eastAsia="Arial" w:hAnsi="Arial"/>
          <w:sz w:val="20"/>
          <w:szCs w:val="20"/>
        </w:rPr>
        <w:t xml:space="preserve">The Contractly backend assembles the context for each API call from the Supabase database — the raw contract text never sits in a shared cache</w:t>
      </w:r>
    </w:p>
    <w:p>
      <w:pPr>
        <w:pStyle w:val="ListParagraph"/>
        <w:numPr>
          <w:ilvl w:val="0"/>
          <w:numId w:val="2"/>
        </w:numPr>
        <w:spacing w:after="60"/>
      </w:pPr>
      <w:r>
        <w:rPr>
          <w:rFonts w:ascii="Arial" w:cs="Arial" w:eastAsia="Arial" w:hAnsi="Arial"/>
          <w:sz w:val="20"/>
          <w:szCs w:val="20"/>
        </w:rPr>
        <w:t xml:space="preserve">Organisations on the Enterprise plan can request a Data Processing Agreement (DPA) that explicitly covers the Anthropic sub-processor relationship</w:t>
      </w:r>
    </w:p>
    <w:p>
      <w:pPr>
        <w:pStyle w:val="ListParagraph"/>
        <w:numPr>
          <w:ilvl w:val="0"/>
          <w:numId w:val="2"/>
        </w:numPr>
        <w:spacing w:after="60"/>
      </w:pPr>
      <w:r>
        <w:rPr>
          <w:rFonts w:ascii="Arial" w:cs="Arial" w:eastAsia="Arial" w:hAnsi="Arial"/>
          <w:sz w:val="20"/>
          <w:szCs w:val="20"/>
        </w:rPr>
        <w:t xml:space="preserve">If Anthropic's data use policy changes in the future, Contractly will notify customers within 30 days and provide an opt-out mechanism</w:t>
      </w:r>
    </w:p>
    <w:p>
      <w:pPr>
        <w:spacing w:after="60"/>
      </w:pPr>
      <w:r>
        <w:t xml:space="preserve"/>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A4. Access controls and authentication</w:t>
      </w:r>
    </w:p>
    <w:p>
      <w:pPr>
        <w:pStyle w:val="Heading2"/>
        <w:spacing w:after="80" w:before="280"/>
      </w:pPr>
      <w:r>
        <w:rPr>
          <w:rFonts w:ascii="Arial" w:cs="Arial" w:eastAsia="Arial" w:hAnsi="Arial"/>
          <w:b/>
          <w:bCs/>
          <w:color w:val="1F4E79"/>
          <w:sz w:val="28"/>
          <w:szCs w:val="28"/>
        </w:rPr>
        <w:t xml:space="preserve">A4.1 User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Multi-factor authentication (MFA)</w:t>
            </w:r>
          </w:p>
        </w:tc>
        <w:tc>
          <w:tcPr>
            <w:tcW w:type="dxa" w:w="6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Available on all plans via Supabase Auth TOTP. Mandatory on Enterprise plan. Strongly recommended for all users.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Magic link login</w:t>
            </w:r>
          </w:p>
        </w:tc>
        <w:tc>
          <w:tcPr>
            <w:tcW w:type="dxa" w:w="6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Passwordless option — one-time link sent to verified email. No password to phish.</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SSO / SAML</w:t>
            </w:r>
          </w:p>
        </w:tc>
        <w:tc>
          <w:tcPr>
            <w:tcW w:type="dxa" w:w="6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Enterprise plan only — integrate with Microsoft Entra ID, Okta, Google Workspace.</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Session management</w:t>
            </w:r>
          </w:p>
        </w:tc>
        <w:tc>
          <w:tcPr>
            <w:tcW w:type="dxa" w:w="6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Access tokens expire after 1 hour. Refresh tokens expire after 7 days. All sessions invalidated on password change.</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Failed login lockout</w:t>
            </w:r>
          </w:p>
        </w:tc>
        <w:tc>
          <w:tcPr>
            <w:tcW w:type="dxa" w:w="6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Account locked after 10 failed attempts. Unlock via email verification.</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Password requirements</w:t>
            </w:r>
          </w:p>
        </w:tc>
        <w:tc>
          <w:tcPr>
            <w:tcW w:type="dxa" w:w="6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Minimum 12 characters, complexity enforced. Breached password check via HaveIBeenPwned API.</w:t>
            </w:r>
          </w:p>
        </w:tc>
      </w:tr>
    </w:tbl>
    <w:p>
      <w:pPr>
        <w:spacing w:after="60"/>
      </w:pPr>
      <w:r>
        <w:t xml:space="preserve"/>
      </w:r>
    </w:p>
    <w:p>
      <w:pPr>
        <w:pStyle w:val="Heading2"/>
        <w:spacing w:after="80" w:before="280"/>
      </w:pPr>
      <w:r>
        <w:rPr>
          <w:rFonts w:ascii="Arial" w:cs="Arial" w:eastAsia="Arial" w:hAnsi="Arial"/>
          <w:b/>
          <w:bCs/>
          <w:color w:val="1F4E79"/>
          <w:sz w:val="28"/>
          <w:szCs w:val="28"/>
        </w:rPr>
        <w:t xml:space="preserve">A4.2 Role-based access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 holds it</w:t>
            </w:r>
          </w:p>
        </w:tc>
        <w:tc>
          <w:tcPr>
            <w:tcW w:type="dxa" w:w="5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Permissions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Account owner, IT lead</w:t>
            </w:r>
          </w:p>
        </w:tc>
        <w:tc>
          <w:tcPr>
            <w:tcW w:type="dxa" w:w="5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Full access. Manage users, billing, settings. Create/delete vendors and contracts.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Manager</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IT Director, Procurement manager</w:t>
            </w:r>
          </w:p>
        </w:tc>
        <w:tc>
          <w:tcPr>
            <w:tcW w:type="dxa" w:w="5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Create/edit vendors, contracts, KPIs. Accept submissions. Draft breach notices. Generate reports.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Viewer</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CFO, legal, auditor</w:t>
            </w:r>
          </w:p>
        </w:tc>
        <w:tc>
          <w:tcPr>
            <w:tcW w:type="dxa" w:w="5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Read-only access to all data. Can export reports. Cannot modify anything.</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Vendor (external)</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Vendor contact via magic link</w:t>
            </w:r>
          </w:p>
        </w:tc>
        <w:tc>
          <w:tcPr>
            <w:tcW w:type="dxa" w:w="5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Submit actuals for their specific submission period only. Cannot see any other data.</w:t>
            </w:r>
          </w:p>
        </w:tc>
      </w:tr>
    </w:tbl>
    <w:p>
      <w:pPr>
        <w:spacing w:after="60"/>
      </w:pPr>
      <w:r>
        <w:t xml:space="preserve"/>
      </w:r>
    </w:p>
    <w:p>
      <w:pPr>
        <w:pStyle w:val="Heading2"/>
        <w:spacing w:after="80" w:before="280"/>
      </w:pPr>
      <w:r>
        <w:rPr>
          <w:rFonts w:ascii="Arial" w:cs="Arial" w:eastAsia="Arial" w:hAnsi="Arial"/>
          <w:b/>
          <w:bCs/>
          <w:color w:val="1F4E79"/>
          <w:sz w:val="28"/>
          <w:szCs w:val="28"/>
        </w:rPr>
        <w:t xml:space="preserve">A4.3 Audit logging</w:t>
      </w:r>
    </w:p>
    <w:p>
      <w:pPr>
        <w:spacing w:after="80"/>
      </w:pPr>
      <w:r>
        <w:rPr>
          <w:rFonts w:ascii="Arial" w:cs="Arial" w:eastAsia="Arial" w:hAnsi="Arial"/>
          <w:b w:val="false"/>
          <w:bCs w:val="false"/>
          <w:i w:val="false"/>
          <w:iCs w:val="false"/>
          <w:color w:val="000000"/>
          <w:sz w:val="20"/>
          <w:szCs w:val="20"/>
        </w:rPr>
        <w:t xml:space="preserve">Every data modification is logged in an immutable audit table. This serves both security and compliance purposes — organisations can demonstrate to auditors exactly who accessed or modified what data.</w:t>
      </w:r>
    </w:p>
    <w:p>
      <w:pPr>
        <w:spacing w:after="60"/>
      </w:pPr>
      <w:r>
        <w:t xml:space="preserve"/>
      </w:r>
    </w:p>
    <w:p>
      <w:pPr>
        <w:shd w:fill="F5F5F5" w:val="clear"/>
        <w:spacing w:after="40"/>
        <w:ind w:left="720"/>
      </w:pPr>
      <w:r>
        <w:rPr>
          <w:rFonts w:ascii="Courier New" w:cs="Courier New" w:eastAsia="Courier New" w:hAnsi="Courier New"/>
          <w:color w:val="2C4770"/>
          <w:sz w:val="18"/>
          <w:szCs w:val="18"/>
        </w:rPr>
        <w:t xml:space="preserve">audit_logs:</w:t>
      </w:r>
    </w:p>
    <w:p>
      <w:pPr>
        <w:shd w:fill="F5F5F5" w:val="clear"/>
        <w:spacing w:after="40"/>
        <w:ind w:left="720"/>
      </w:pPr>
      <w:r>
        <w:rPr>
          <w:rFonts w:ascii="Courier New" w:cs="Courier New" w:eastAsia="Courier New" w:hAnsi="Courier New"/>
          <w:color w:val="2C4770"/>
          <w:sz w:val="18"/>
          <w:szCs w:val="18"/>
        </w:rPr>
        <w:t xml:space="preserve">  id            uuid PRIMARY KEY DEFAULT gen_random_uuid()</w:t>
      </w:r>
    </w:p>
    <w:p>
      <w:pPr>
        <w:shd w:fill="F5F5F5" w:val="clear"/>
        <w:spacing w:after="40"/>
        <w:ind w:left="720"/>
      </w:pPr>
      <w:r>
        <w:rPr>
          <w:rFonts w:ascii="Courier New" w:cs="Courier New" w:eastAsia="Courier New" w:hAnsi="Courier New"/>
          <w:color w:val="2C4770"/>
          <w:sz w:val="18"/>
          <w:szCs w:val="18"/>
        </w:rPr>
        <w:t xml:space="preserve">  org_id        uuid NOT NULL</w:t>
      </w:r>
    </w:p>
    <w:p>
      <w:pPr>
        <w:shd w:fill="F5F5F5" w:val="clear"/>
        <w:spacing w:after="40"/>
        <w:ind w:left="720"/>
      </w:pPr>
      <w:r>
        <w:rPr>
          <w:rFonts w:ascii="Courier New" w:cs="Courier New" w:eastAsia="Courier New" w:hAnsi="Courier New"/>
          <w:color w:val="2C4770"/>
          <w:sz w:val="18"/>
          <w:szCs w:val="18"/>
        </w:rPr>
        <w:t xml:space="preserve">  user_id       uuid                -- null for system actions</w:t>
      </w:r>
    </w:p>
    <w:p>
      <w:pPr>
        <w:shd w:fill="F5F5F5" w:val="clear"/>
        <w:spacing w:after="40"/>
        <w:ind w:left="720"/>
      </w:pPr>
      <w:r>
        <w:rPr>
          <w:rFonts w:ascii="Courier New" w:cs="Courier New" w:eastAsia="Courier New" w:hAnsi="Courier New"/>
          <w:color w:val="2C4770"/>
          <w:sz w:val="18"/>
          <w:szCs w:val="18"/>
        </w:rPr>
        <w:t xml:space="preserve">  action        text NOT NULL        -- created | updated | deleted | viewed | exported</w:t>
      </w:r>
    </w:p>
    <w:p>
      <w:pPr>
        <w:shd w:fill="F5F5F5" w:val="clear"/>
        <w:spacing w:after="40"/>
        <w:ind w:left="720"/>
      </w:pPr>
      <w:r>
        <w:rPr>
          <w:rFonts w:ascii="Courier New" w:cs="Courier New" w:eastAsia="Courier New" w:hAnsi="Courier New"/>
          <w:color w:val="2C4770"/>
          <w:sz w:val="18"/>
          <w:szCs w:val="18"/>
        </w:rPr>
        <w:t xml:space="preserve">  resource_type text NOT NULL        -- contract | kpi | submission | breach | report</w:t>
      </w:r>
    </w:p>
    <w:p>
      <w:pPr>
        <w:shd w:fill="F5F5F5" w:val="clear"/>
        <w:spacing w:after="40"/>
        <w:ind w:left="720"/>
      </w:pPr>
      <w:r>
        <w:rPr>
          <w:rFonts w:ascii="Courier New" w:cs="Courier New" w:eastAsia="Courier New" w:hAnsi="Courier New"/>
          <w:color w:val="2C4770"/>
          <w:sz w:val="18"/>
          <w:szCs w:val="18"/>
        </w:rPr>
        <w:t xml:space="preserve">  resource_id   uuid NOT NULL</w:t>
      </w:r>
    </w:p>
    <w:p>
      <w:pPr>
        <w:shd w:fill="F5F5F5" w:val="clear"/>
        <w:spacing w:after="40"/>
        <w:ind w:left="720"/>
      </w:pPr>
      <w:r>
        <w:rPr>
          <w:rFonts w:ascii="Courier New" w:cs="Courier New" w:eastAsia="Courier New" w:hAnsi="Courier New"/>
          <w:color w:val="2C4770"/>
          <w:sz w:val="18"/>
          <w:szCs w:val="18"/>
        </w:rPr>
        <w:t xml:space="preserve">  old_values    jsonb               -- previous state (for updates)</w:t>
      </w:r>
    </w:p>
    <w:p>
      <w:pPr>
        <w:shd w:fill="F5F5F5" w:val="clear"/>
        <w:spacing w:after="40"/>
        <w:ind w:left="720"/>
      </w:pPr>
      <w:r>
        <w:rPr>
          <w:rFonts w:ascii="Courier New" w:cs="Courier New" w:eastAsia="Courier New" w:hAnsi="Courier New"/>
          <w:color w:val="2C4770"/>
          <w:sz w:val="18"/>
          <w:szCs w:val="18"/>
        </w:rPr>
        <w:t xml:space="preserve">  new_values    jsonb               -- new state</w:t>
      </w:r>
    </w:p>
    <w:p>
      <w:pPr>
        <w:shd w:fill="F5F5F5" w:val="clear"/>
        <w:spacing w:after="40"/>
        <w:ind w:left="720"/>
      </w:pPr>
      <w:r>
        <w:rPr>
          <w:rFonts w:ascii="Courier New" w:cs="Courier New" w:eastAsia="Courier New" w:hAnsi="Courier New"/>
          <w:color w:val="2C4770"/>
          <w:sz w:val="18"/>
          <w:szCs w:val="18"/>
        </w:rPr>
        <w:t xml:space="preserve">  ip_address    inet</w:t>
      </w:r>
    </w:p>
    <w:p>
      <w:pPr>
        <w:shd w:fill="F5F5F5" w:val="clear"/>
        <w:spacing w:after="40"/>
        <w:ind w:left="720"/>
      </w:pPr>
      <w:r>
        <w:rPr>
          <w:rFonts w:ascii="Courier New" w:cs="Courier New" w:eastAsia="Courier New" w:hAnsi="Courier New"/>
          <w:color w:val="2C4770"/>
          <w:sz w:val="18"/>
          <w:szCs w:val="18"/>
        </w:rPr>
        <w:t xml:space="preserve">  user_agent    text</w:t>
      </w:r>
    </w:p>
    <w:p>
      <w:pPr>
        <w:shd w:fill="F5F5F5" w:val="clear"/>
        <w:spacing w:after="40"/>
        <w:ind w:left="720"/>
      </w:pPr>
      <w:r>
        <w:rPr>
          <w:rFonts w:ascii="Courier New" w:cs="Courier New" w:eastAsia="Courier New" w:hAnsi="Courier New"/>
          <w:color w:val="2C4770"/>
          <w:sz w:val="18"/>
          <w:szCs w:val="18"/>
        </w:rPr>
        <w:t xml:space="preserve">  created_at    timestamptz DEFAULT now()</w:t>
      </w:r>
    </w:p>
    <w:p>
      <w:pPr>
        <w:spacing w:after="60"/>
      </w:pPr>
      <w:r>
        <w:t xml:space="preserve"/>
      </w:r>
    </w:p>
    <w:p>
      <w:pPr>
        <w:spacing w:after="80"/>
      </w:pPr>
      <w:r>
        <w:rPr>
          <w:rFonts w:ascii="Arial" w:cs="Arial" w:eastAsia="Arial" w:hAnsi="Arial"/>
          <w:b w:val="false"/>
          <w:bCs w:val="false"/>
          <w:i w:val="false"/>
          <w:iCs w:val="false"/>
          <w:color w:val="000000"/>
          <w:sz w:val="20"/>
          <w:szCs w:val="20"/>
        </w:rPr>
        <w:t xml:space="preserve">Implementation notes:</w:t>
      </w:r>
    </w:p>
    <w:p>
      <w:pPr>
        <w:pStyle w:val="ListParagraph"/>
        <w:numPr>
          <w:ilvl w:val="0"/>
          <w:numId w:val="2"/>
        </w:numPr>
        <w:spacing w:after="60"/>
      </w:pPr>
      <w:r>
        <w:rPr>
          <w:rFonts w:ascii="Arial" w:cs="Arial" w:eastAsia="Arial" w:hAnsi="Arial"/>
          <w:sz w:val="20"/>
          <w:szCs w:val="20"/>
        </w:rPr>
        <w:t xml:space="preserve">Audit logs are write-only — no user or application role can update or delete audit records</w:t>
      </w:r>
    </w:p>
    <w:p>
      <w:pPr>
        <w:pStyle w:val="ListParagraph"/>
        <w:numPr>
          <w:ilvl w:val="0"/>
          <w:numId w:val="2"/>
        </w:numPr>
        <w:spacing w:after="60"/>
      </w:pPr>
      <w:r>
        <w:rPr>
          <w:rFonts w:ascii="Arial" w:cs="Arial" w:eastAsia="Arial" w:hAnsi="Arial"/>
          <w:sz w:val="20"/>
          <w:szCs w:val="20"/>
        </w:rPr>
        <w:t xml:space="preserve">Audit logs are retained for 7 years (Australian tax and corporate record keeping requirements)</w:t>
      </w:r>
    </w:p>
    <w:p>
      <w:pPr>
        <w:pStyle w:val="ListParagraph"/>
        <w:numPr>
          <w:ilvl w:val="0"/>
          <w:numId w:val="2"/>
        </w:numPr>
        <w:spacing w:after="60"/>
      </w:pPr>
      <w:r>
        <w:rPr>
          <w:rFonts w:ascii="Arial" w:cs="Arial" w:eastAsia="Arial" w:hAnsi="Arial"/>
          <w:sz w:val="20"/>
          <w:szCs w:val="20"/>
        </w:rPr>
        <w:t xml:space="preserve">Audit log export is available to Admin role users as a CSV or JSON export</w:t>
      </w:r>
    </w:p>
    <w:p>
      <w:pPr>
        <w:pStyle w:val="ListParagraph"/>
        <w:numPr>
          <w:ilvl w:val="0"/>
          <w:numId w:val="2"/>
        </w:numPr>
        <w:spacing w:after="60"/>
      </w:pPr>
      <w:r>
        <w:rPr>
          <w:rFonts w:ascii="Arial" w:cs="Arial" w:eastAsia="Arial" w:hAnsi="Arial"/>
          <w:sz w:val="20"/>
          <w:szCs w:val="20"/>
        </w:rPr>
        <w:t xml:space="preserve">All AI conversation initiations are logged (but not the conversation content in the audit log — content is in ai_conversations)</w:t>
      </w:r>
    </w:p>
    <w:p>
      <w:pPr>
        <w:spacing w:after="60"/>
      </w:pPr>
      <w:r>
        <w:t xml:space="preserve"/>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A5. Security operations</w:t>
      </w:r>
    </w:p>
    <w:p>
      <w:pPr>
        <w:pStyle w:val="Heading2"/>
        <w:spacing w:after="80" w:before="280"/>
      </w:pPr>
      <w:r>
        <w:rPr>
          <w:rFonts w:ascii="Arial" w:cs="Arial" w:eastAsia="Arial" w:hAnsi="Arial"/>
          <w:b/>
          <w:bCs/>
          <w:color w:val="1F4E79"/>
          <w:sz w:val="28"/>
          <w:szCs w:val="28"/>
        </w:rPr>
        <w:t xml:space="preserve">A5.1 Vulnerability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6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Frequency and approach</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Dependency scanning</w:t>
            </w:r>
          </w:p>
        </w:tc>
        <w:tc>
          <w:tcPr>
            <w:tcW w:type="dxa" w:w="6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Automated via GitHub Dependabot — daily. Critical vulnerabilities trigger immediate PR. High vulnerabilities reviewed weekly.</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SAST (static analysis)</w:t>
            </w:r>
          </w:p>
        </w:tc>
        <w:tc>
          <w:tcPr>
            <w:tcW w:type="dxa" w:w="6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Semgrep or CodeQL on every pull request. Blocks merge on high/critical findings.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Penetration testing</w:t>
            </w:r>
          </w:p>
        </w:tc>
        <w:tc>
          <w:tcPr>
            <w:tcW w:type="dxa" w:w="6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Annual external pen test by an AISA-accredited firm. Results summary published to Enterprise customers on request.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Supabase security review</w:t>
            </w:r>
          </w:p>
        </w:tc>
        <w:tc>
          <w:tcPr>
            <w:tcW w:type="dxa" w:w="6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Quarterly review of RLS policies, storage bucket policies, and API key rotation.</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Secret scanning</w:t>
            </w:r>
          </w:p>
        </w:tc>
        <w:tc>
          <w:tcPr>
            <w:tcW w:type="dxa" w:w="6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GitGuardian or GitHub secret scanning on every commit. Any leaked secret triggers immediate rotation.</w:t>
            </w:r>
          </w:p>
        </w:tc>
      </w:tr>
    </w:tbl>
    <w:p>
      <w:pPr>
        <w:spacing w:after="60"/>
      </w:pPr>
      <w:r>
        <w:t xml:space="preserve"/>
      </w:r>
    </w:p>
    <w:p>
      <w:pPr>
        <w:pStyle w:val="Heading2"/>
        <w:spacing w:after="80" w:before="280"/>
      </w:pPr>
      <w:r>
        <w:rPr>
          <w:rFonts w:ascii="Arial" w:cs="Arial" w:eastAsia="Arial" w:hAnsi="Arial"/>
          <w:b/>
          <w:bCs/>
          <w:color w:val="1F4E79"/>
          <w:sz w:val="28"/>
          <w:szCs w:val="28"/>
        </w:rPr>
        <w:t xml:space="preserve">A5.2 Incident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Response SLA</w:t>
            </w:r>
          </w:p>
        </w:tc>
        <w:tc>
          <w:tcPr>
            <w:tcW w:type="dxa" w:w="5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P1 — Data breach confirmed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1 hour</w:t>
            </w:r>
          </w:p>
        </w:tc>
        <w:tc>
          <w:tcPr>
            <w:tcW w:type="dxa" w:w="5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Immediate containment. CEO and legal notified. OAIC notification within 30 days (Privacy Act obligation). Affected customers notified within 72 hours.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P2 — Unauthorised access suspected</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4 hours</w:t>
            </w:r>
          </w:p>
        </w:tc>
        <w:tc>
          <w:tcPr>
            <w:tcW w:type="dxa" w:w="5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Access revoked. Investigation commenced. Customer notification if data may have been accessed.</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P3 — Security vulnerability identified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24 hours</w:t>
            </w:r>
          </w:p>
        </w:tc>
        <w:tc>
          <w:tcPr>
            <w:tcW w:type="dxa" w:w="5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Patch prioritised. CVE assessed. Affected customers notified if exploitation is plausible.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P4 — Security configuration issue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72 hours</w:t>
            </w:r>
          </w:p>
        </w:tc>
        <w:tc>
          <w:tcPr>
            <w:tcW w:type="dxa" w:w="5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Remediation scheduled. No customer notification unless data was at risk.</w:t>
            </w:r>
          </w:p>
        </w:tc>
      </w:tr>
    </w:tbl>
    <w:p>
      <w:pPr>
        <w:spacing w:after="60"/>
      </w:pPr>
      <w:r>
        <w:t xml:space="preserve"/>
      </w:r>
    </w:p>
    <w:p>
      <w:pPr>
        <w:spacing w:after="80"/>
      </w:pPr>
      <w:r>
        <w:rPr>
          <w:rFonts w:ascii="Arial" w:cs="Arial" w:eastAsia="Arial" w:hAnsi="Arial"/>
          <w:b w:val="false"/>
          <w:bCs w:val="false"/>
          <w:i w:val="false"/>
          <w:iCs w:val="false"/>
          <w:color w:val="000000"/>
          <w:sz w:val="20"/>
          <w:szCs w:val="20"/>
        </w:rPr>
        <w:t xml:space="preserve">Contractly will maintain a public status page (status.contractly.com.au) showing real-time platform availability and a history of incidents. All security incidents affecting customer data will be disclosed on this page, even after resolution.</w:t>
      </w:r>
    </w:p>
    <w:p>
      <w:pPr>
        <w:spacing w:after="60"/>
      </w:pPr>
      <w:r>
        <w:t xml:space="preserve"/>
      </w:r>
    </w:p>
    <w:p>
      <w:pPr>
        <w:pStyle w:val="Heading2"/>
        <w:spacing w:after="80" w:before="280"/>
      </w:pPr>
      <w:r>
        <w:rPr>
          <w:rFonts w:ascii="Arial" w:cs="Arial" w:eastAsia="Arial" w:hAnsi="Arial"/>
          <w:b/>
          <w:bCs/>
          <w:color w:val="1F4E79"/>
          <w:sz w:val="28"/>
          <w:szCs w:val="28"/>
        </w:rPr>
        <w:t xml:space="preserve">A5.3 Supplier security requirements</w:t>
      </w:r>
    </w:p>
    <w:p>
      <w:pPr>
        <w:spacing w:after="80"/>
      </w:pPr>
      <w:r>
        <w:rPr>
          <w:rFonts w:ascii="Arial" w:cs="Arial" w:eastAsia="Arial" w:hAnsi="Arial"/>
          <w:b w:val="false"/>
          <w:bCs w:val="false"/>
          <w:i w:val="false"/>
          <w:iCs w:val="false"/>
          <w:color w:val="000000"/>
          <w:sz w:val="20"/>
          <w:szCs w:val="20"/>
        </w:rPr>
        <w:t xml:space="preserve">The following sub-processors handle customer data. Each has been assessed for security posture: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13"/>
        <w:gridCol w:w="2513"/>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Sub-processor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 handled</w:t>
            </w:r>
          </w:p>
        </w:tc>
        <w:tc>
          <w:tcPr>
            <w:tcW w:type="dxa" w:w="251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Security certifications</w:t>
            </w:r>
          </w:p>
        </w:tc>
        <w:tc>
          <w:tcPr>
            <w:tcW w:type="dxa" w:w="251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DPA available</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Supabase (AWS ap-southeast-2)</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All structured data + files</w:t>
            </w:r>
          </w:p>
        </w:tc>
        <w:tc>
          <w:tcPr>
            <w:tcW w:type="dxa" w:w="2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SOC 2 Type II, ISO 27001</w:t>
            </w:r>
          </w:p>
        </w:tc>
        <w:tc>
          <w:tcPr>
            <w:tcW w:type="dxa" w:w="2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Anthropic (Claude API)</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Contract text for AI processing</w:t>
            </w:r>
          </w:p>
        </w:tc>
        <w:tc>
          <w:tcPr>
            <w:tcW w:type="dxa" w:w="25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SOC 2 Type II</w:t>
            </w:r>
          </w:p>
        </w:tc>
        <w:tc>
          <w:tcPr>
            <w:tcW w:type="dxa" w:w="25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Yes — via Anthropic DPA</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AWS Textract (ap-southeast-2)</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Scanned document text</w:t>
            </w:r>
          </w:p>
        </w:tc>
        <w:tc>
          <w:tcPr>
            <w:tcW w:type="dxa" w:w="2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ISO 27001, SOC 2, IRAP</w:t>
            </w:r>
          </w:p>
        </w:tc>
        <w:tc>
          <w:tcPr>
            <w:tcW w:type="dxa" w:w="2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Yes — AWS DPA</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Vercel</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Application code (no persistent data)</w:t>
            </w:r>
          </w:p>
        </w:tc>
        <w:tc>
          <w:tcPr>
            <w:tcW w:type="dxa" w:w="25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SOC 2 Type II</w:t>
            </w:r>
          </w:p>
        </w:tc>
        <w:tc>
          <w:tcPr>
            <w:tcW w:type="dxa" w:w="25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Resend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Email content (no contract data)</w:t>
            </w:r>
          </w:p>
        </w:tc>
        <w:tc>
          <w:tcPr>
            <w:tcW w:type="dxa" w:w="2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SOC 2 Type II</w:t>
            </w:r>
          </w:p>
        </w:tc>
        <w:tc>
          <w:tcPr>
            <w:tcW w:type="dxa" w:w="2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Yes</w:t>
            </w:r>
          </w:p>
        </w:tc>
      </w:tr>
    </w:tbl>
    <w:p>
      <w:pPr>
        <w:spacing w:after="60"/>
      </w:pPr>
      <w:r>
        <w:t xml:space="preserve"/>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A6. Trust centre — customer-facing commitments</w:t>
      </w:r>
    </w:p>
    <w:p>
      <w:pPr>
        <w:spacing w:after="80"/>
      </w:pPr>
      <w:r>
        <w:rPr>
          <w:rFonts w:ascii="Arial" w:cs="Arial" w:eastAsia="Arial" w:hAnsi="Arial"/>
          <w:b w:val="false"/>
          <w:bCs w:val="false"/>
          <w:i w:val="false"/>
          <w:iCs w:val="false"/>
          <w:color w:val="000000"/>
          <w:sz w:val="20"/>
          <w:szCs w:val="20"/>
        </w:rPr>
        <w:t xml:space="preserve">This section defines the commitments published on the Contractly Trust Centre (trust.contractly.com.au). Every statement here must be backed by an implemented technical control documented in the preceding sections.</w:t>
      </w:r>
    </w:p>
    <w:p>
      <w:pPr>
        <w:spacing w:after="60"/>
      </w:pPr>
      <w:r>
        <w:t xml:space="preserve"/>
      </w:r>
    </w:p>
    <w:p>
      <w:pPr>
        <w:pStyle w:val="Heading2"/>
        <w:spacing w:after="80" w:before="280"/>
      </w:pPr>
      <w:r>
        <w:rPr>
          <w:rFonts w:ascii="Arial" w:cs="Arial" w:eastAsia="Arial" w:hAnsi="Arial"/>
          <w:b/>
          <w:bCs/>
          <w:color w:val="1F4E79"/>
          <w:sz w:val="28"/>
          <w:szCs w:val="28"/>
        </w:rPr>
        <w:t xml:space="preserve">A6.1 The ten commitments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D8F0F0" w:val="clear"/>
            <w:tcMar>
              <w:top w:type="dxa" w:w="120"/>
              <w:left w:type="dxa" w:w="180"/>
              <w:bottom w:type="dxa" w:w="120"/>
              <w:right w:type="dxa" w:w="180"/>
            </w:tcMar>
          </w:tcPr>
          <w:p>
            <w:pPr>
              <w:spacing w:after="60"/>
            </w:pPr>
            <w:r>
              <w:rPr>
                <w:rFonts w:ascii="Arial" w:cs="Arial" w:eastAsia="Arial" w:hAnsi="Arial"/>
                <w:b/>
                <w:bCs/>
                <w:color w:val="006B70"/>
                <w:sz w:val="20"/>
                <w:szCs w:val="20"/>
              </w:rPr>
              <w:t xml:space="preserve">Commitment 1 — Your data never leaves Australia</w:t>
            </w:r>
          </w:p>
          <w:p>
            <w:pPr>
              <w:spacing w:after="40"/>
            </w:pPr>
            <w:r>
              <w:rPr>
                <w:rFonts w:ascii="Arial" w:cs="Arial" w:eastAsia="Arial" w:hAnsi="Arial"/>
                <w:color w:val="000000"/>
                <w:sz w:val="19"/>
                <w:szCs w:val="19"/>
              </w:rPr>
              <w:t xml:space="preserve">All your contracts, KPIs, performance data, and reports are stored in AWS ap-southeast-2 (Sydney).</w:t>
            </w:r>
          </w:p>
          <w:p>
            <w:pPr>
              <w:spacing w:after="40"/>
            </w:pPr>
            <w:r>
              <w:rPr>
                <w:rFonts w:ascii="Arial" w:cs="Arial" w:eastAsia="Arial" w:hAnsi="Arial"/>
                <w:color w:val="000000"/>
                <w:sz w:val="19"/>
                <w:szCs w:val="19"/>
              </w:rPr>
              <w:t xml:space="preserve">No structured customer data is stored outside Australia.</w:t>
            </w:r>
          </w:p>
          <w:p>
            <w:pPr>
              <w:spacing w:after="40"/>
            </w:pPr>
            <w:r>
              <w:rPr>
                <w:rFonts w:ascii="Arial" w:cs="Arial" w:eastAsia="Arial" w:hAnsi="Arial"/>
                <w:color w:val="000000"/>
                <w:sz w:val="19"/>
                <w:szCs w:val="19"/>
              </w:rPr>
              <w:t xml:space="preserve">Verified by: Supabase project region configuration, locked to ap-southeast-2.</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D8F0F0" w:val="clear"/>
            <w:tcMar>
              <w:top w:type="dxa" w:w="120"/>
              <w:left w:type="dxa" w:w="180"/>
              <w:bottom w:type="dxa" w:w="120"/>
              <w:right w:type="dxa" w:w="180"/>
            </w:tcMar>
          </w:tcPr>
          <w:p>
            <w:pPr>
              <w:spacing w:after="60"/>
            </w:pPr>
            <w:r>
              <w:rPr>
                <w:rFonts w:ascii="Arial" w:cs="Arial" w:eastAsia="Arial" w:hAnsi="Arial"/>
                <w:b/>
                <w:bCs/>
                <w:color w:val="006B70"/>
                <w:sz w:val="20"/>
                <w:szCs w:val="20"/>
              </w:rPr>
              <w:t xml:space="preserve">Commitment 2 — Your vendor cannot see your strategy</w:t>
            </w:r>
          </w:p>
          <w:p>
            <w:pPr>
              <w:spacing w:after="40"/>
            </w:pPr>
            <w:r>
              <w:rPr>
                <w:rFonts w:ascii="Arial" w:cs="Arial" w:eastAsia="Arial" w:hAnsi="Arial"/>
                <w:color w:val="000000"/>
                <w:sz w:val="19"/>
                <w:szCs w:val="19"/>
              </w:rPr>
              <w:t xml:space="preserve">Your AI conversations, internal notes, breach strategy, and credit claim drafts are invisible to your vendor,</w:t>
            </w:r>
          </w:p>
          <w:p>
            <w:pPr>
              <w:spacing w:after="40"/>
            </w:pPr>
            <w:r>
              <w:rPr>
                <w:rFonts w:ascii="Arial" w:cs="Arial" w:eastAsia="Arial" w:hAnsi="Arial"/>
                <w:color w:val="000000"/>
                <w:sz w:val="19"/>
                <w:szCs w:val="19"/>
              </w:rPr>
              <w:t xml:space="preserve">even if your vendor is also a Contractly customer.</w:t>
            </w:r>
          </w:p>
          <w:p>
            <w:pPr>
              <w:spacing w:after="40"/>
            </w:pPr>
            <w:r>
              <w:rPr>
                <w:rFonts w:ascii="Arial" w:cs="Arial" w:eastAsia="Arial" w:hAnsi="Arial"/>
                <w:color w:val="000000"/>
                <w:sz w:val="19"/>
                <w:szCs w:val="19"/>
              </w:rPr>
              <w:t xml:space="preserve">This is enforced at the database layer, not just the application layer — the database itself refuses the query.</w:t>
            </w:r>
          </w:p>
          <w:p>
            <w:pPr>
              <w:spacing w:after="40"/>
            </w:pPr>
            <w:r>
              <w:rPr>
                <w:rFonts w:ascii="Arial" w:cs="Arial" w:eastAsia="Arial" w:hAnsi="Arial"/>
                <w:color w:val="000000"/>
                <w:sz w:val="19"/>
                <w:szCs w:val="19"/>
              </w:rPr>
              <w:t xml:space="preserve">Verified by: PostgreSQL Row Level Security policies on all tables.</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D8F0F0" w:val="clear"/>
            <w:tcMar>
              <w:top w:type="dxa" w:w="120"/>
              <w:left w:type="dxa" w:w="180"/>
              <w:bottom w:type="dxa" w:w="120"/>
              <w:right w:type="dxa" w:w="180"/>
            </w:tcMar>
          </w:tcPr>
          <w:p>
            <w:pPr>
              <w:spacing w:after="60"/>
            </w:pPr>
            <w:r>
              <w:rPr>
                <w:rFonts w:ascii="Arial" w:cs="Arial" w:eastAsia="Arial" w:hAnsi="Arial"/>
                <w:b/>
                <w:bCs/>
                <w:color w:val="006B70"/>
                <w:sz w:val="20"/>
                <w:szCs w:val="20"/>
              </w:rPr>
              <w:t xml:space="preserve">Commitment 3 — AI does not train on your contracts</w:t>
            </w:r>
          </w:p>
          <w:p>
            <w:pPr>
              <w:spacing w:after="40"/>
            </w:pPr>
            <w:r>
              <w:rPr>
                <w:rFonts w:ascii="Arial" w:cs="Arial" w:eastAsia="Arial" w:hAnsi="Arial"/>
                <w:color w:val="000000"/>
                <w:sz w:val="19"/>
                <w:szCs w:val="19"/>
              </w:rPr>
              <w:t xml:space="preserve">Your contract documents are sent to the Anthropic Claude API only to answer your specific questions.</w:t>
            </w:r>
          </w:p>
          <w:p>
            <w:pPr>
              <w:spacing w:after="40"/>
            </w:pPr>
            <w:r>
              <w:rPr>
                <w:rFonts w:ascii="Arial" w:cs="Arial" w:eastAsia="Arial" w:hAnsi="Arial"/>
                <w:color w:val="000000"/>
                <w:sz w:val="19"/>
                <w:szCs w:val="19"/>
              </w:rPr>
              <w:t xml:space="preserve">Anthropic does not train its models on API inputs or outputs — this is a contractual commitment in their API terms.</w:t>
            </w:r>
          </w:p>
          <w:p>
            <w:pPr>
              <w:spacing w:after="40"/>
            </w:pPr>
            <w:r>
              <w:rPr>
                <w:rFonts w:ascii="Arial" w:cs="Arial" w:eastAsia="Arial" w:hAnsi="Arial"/>
                <w:color w:val="000000"/>
                <w:sz w:val="19"/>
                <w:szCs w:val="19"/>
              </w:rPr>
              <w:t xml:space="preserve">Contractly's agreement with Anthropic includes a Data Processing Agreement covering this.</w:t>
            </w:r>
          </w:p>
          <w:p>
            <w:pPr>
              <w:spacing w:after="40"/>
            </w:pPr>
            <w:r>
              <w:rPr>
                <w:rFonts w:ascii="Arial" w:cs="Arial" w:eastAsia="Arial" w:hAnsi="Arial"/>
                <w:color w:val="000000"/>
                <w:sz w:val="19"/>
                <w:szCs w:val="19"/>
              </w:rPr>
              <w:t xml:space="preserve">Verified by: Anthropic API DPA, available to Enterprise customers on request.</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D8F0F0" w:val="clear"/>
            <w:tcMar>
              <w:top w:type="dxa" w:w="120"/>
              <w:left w:type="dxa" w:w="180"/>
              <w:bottom w:type="dxa" w:w="120"/>
              <w:right w:type="dxa" w:w="180"/>
            </w:tcMar>
          </w:tcPr>
          <w:p>
            <w:pPr>
              <w:spacing w:after="60"/>
            </w:pPr>
            <w:r>
              <w:rPr>
                <w:rFonts w:ascii="Arial" w:cs="Arial" w:eastAsia="Arial" w:hAnsi="Arial"/>
                <w:b/>
                <w:bCs/>
                <w:color w:val="006B70"/>
                <w:sz w:val="20"/>
                <w:szCs w:val="20"/>
              </w:rPr>
              <w:t xml:space="preserve">Commitment 4 — Your data is not used to build products for your competitors</w:t>
            </w:r>
          </w:p>
          <w:p>
            <w:pPr>
              <w:spacing w:after="40"/>
            </w:pPr>
            <w:r>
              <w:rPr>
                <w:rFonts w:ascii="Arial" w:cs="Arial" w:eastAsia="Arial" w:hAnsi="Arial"/>
                <w:color w:val="000000"/>
                <w:sz w:val="19"/>
                <w:szCs w:val="19"/>
              </w:rPr>
              <w:t xml:space="preserve">Contractly will never use your contract data, KPI data, or performance history to inform a product or report</w:t>
            </w:r>
          </w:p>
          <w:p>
            <w:pPr>
              <w:spacing w:after="40"/>
            </w:pPr>
            <w:r>
              <w:rPr>
                <w:rFonts w:ascii="Arial" w:cs="Arial" w:eastAsia="Arial" w:hAnsi="Arial"/>
                <w:color w:val="000000"/>
                <w:sz w:val="19"/>
                <w:szCs w:val="19"/>
              </w:rPr>
              <w:t xml:space="preserve">that could benefit a competitor or be reverse-engineered to identify your organisation.</w:t>
            </w:r>
          </w:p>
          <w:p>
            <w:pPr>
              <w:spacing w:after="40"/>
            </w:pPr>
            <w:r>
              <w:rPr>
                <w:rFonts w:ascii="Arial" w:cs="Arial" w:eastAsia="Arial" w:hAnsi="Arial"/>
                <w:color w:val="000000"/>
                <w:sz w:val="19"/>
                <w:szCs w:val="19"/>
              </w:rPr>
              <w:t xml:space="preserve">Benchmark data — if you opt in — is aggregated across a minimum of 10 organisations before publication.</w:t>
            </w:r>
          </w:p>
          <w:p>
            <w:pPr>
              <w:spacing w:after="40"/>
            </w:pPr>
            <w:r>
              <w:rPr>
                <w:rFonts w:ascii="Arial" w:cs="Arial" w:eastAsia="Arial" w:hAnsi="Arial"/>
                <w:color w:val="000000"/>
                <w:sz w:val="19"/>
                <w:szCs w:val="19"/>
              </w:rPr>
              <w:t xml:space="preserve">Verified by: Data Processing Agreement clause 4.3, Benchmark contribution policy.</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D8F0F0" w:val="clear"/>
            <w:tcMar>
              <w:top w:type="dxa" w:w="120"/>
              <w:left w:type="dxa" w:w="180"/>
              <w:bottom w:type="dxa" w:w="120"/>
              <w:right w:type="dxa" w:w="180"/>
            </w:tcMar>
          </w:tcPr>
          <w:p>
            <w:pPr>
              <w:spacing w:after="60"/>
            </w:pPr>
            <w:r>
              <w:rPr>
                <w:rFonts w:ascii="Arial" w:cs="Arial" w:eastAsia="Arial" w:hAnsi="Arial"/>
                <w:b/>
                <w:bCs/>
                <w:color w:val="006B70"/>
                <w:sz w:val="20"/>
                <w:szCs w:val="20"/>
              </w:rPr>
              <w:t xml:space="preserve">Commitment 5 — Every data access is logged</w:t>
            </w:r>
          </w:p>
          <w:p>
            <w:pPr>
              <w:spacing w:after="40"/>
            </w:pPr>
            <w:r>
              <w:rPr>
                <w:rFonts w:ascii="Arial" w:cs="Arial" w:eastAsia="Arial" w:hAnsi="Arial"/>
                <w:color w:val="000000"/>
                <w:sz w:val="19"/>
                <w:szCs w:val="19"/>
              </w:rPr>
              <w:t xml:space="preserve">Every time a user views, modifies, or exports your data, it is recorded in an immutable audit log.</w:t>
            </w:r>
          </w:p>
          <w:p>
            <w:pPr>
              <w:spacing w:after="40"/>
            </w:pPr>
            <w:r>
              <w:rPr>
                <w:rFonts w:ascii="Arial" w:cs="Arial" w:eastAsia="Arial" w:hAnsi="Arial"/>
                <w:color w:val="000000"/>
                <w:sz w:val="19"/>
                <w:szCs w:val="19"/>
              </w:rPr>
              <w:t xml:space="preserve">You can export your full audit history at any time.</w:t>
            </w:r>
          </w:p>
          <w:p>
            <w:pPr>
              <w:spacing w:after="40"/>
            </w:pPr>
            <w:r>
              <w:rPr>
                <w:rFonts w:ascii="Arial" w:cs="Arial" w:eastAsia="Arial" w:hAnsi="Arial"/>
                <w:color w:val="000000"/>
                <w:sz w:val="19"/>
                <w:szCs w:val="19"/>
              </w:rPr>
              <w:t xml:space="preserve">Audit logs are retained for 7 years and cannot be deleted by anyone — including Contractly staff.</w:t>
            </w:r>
          </w:p>
          <w:p>
            <w:pPr>
              <w:spacing w:after="40"/>
            </w:pPr>
            <w:r>
              <w:rPr>
                <w:rFonts w:ascii="Arial" w:cs="Arial" w:eastAsia="Arial" w:hAnsi="Arial"/>
                <w:color w:val="000000"/>
                <w:sz w:val="19"/>
                <w:szCs w:val="19"/>
              </w:rPr>
              <w:t xml:space="preserve">Verified by: audit_logs table with write-only RLS policy.</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D8F0F0" w:val="clear"/>
            <w:tcMar>
              <w:top w:type="dxa" w:w="120"/>
              <w:left w:type="dxa" w:w="180"/>
              <w:bottom w:type="dxa" w:w="120"/>
              <w:right w:type="dxa" w:w="180"/>
            </w:tcMar>
          </w:tcPr>
          <w:p>
            <w:pPr>
              <w:spacing w:after="60"/>
            </w:pPr>
            <w:r>
              <w:rPr>
                <w:rFonts w:ascii="Arial" w:cs="Arial" w:eastAsia="Arial" w:hAnsi="Arial"/>
                <w:b/>
                <w:bCs/>
                <w:color w:val="006B70"/>
                <w:sz w:val="20"/>
                <w:szCs w:val="20"/>
              </w:rPr>
              <w:t xml:space="preserve">Commitment 6 — Your data is encrypted everywhere</w:t>
            </w:r>
          </w:p>
          <w:p>
            <w:pPr>
              <w:spacing w:after="40"/>
            </w:pPr>
            <w:r>
              <w:rPr>
                <w:rFonts w:ascii="Arial" w:cs="Arial" w:eastAsia="Arial" w:hAnsi="Arial"/>
                <w:color w:val="000000"/>
                <w:sz w:val="19"/>
                <w:szCs w:val="19"/>
              </w:rPr>
              <w:t xml:space="preserve">All data is encrypted in transit (TLS 1.3) and at rest (AES-256).</w:t>
            </w:r>
          </w:p>
          <w:p>
            <w:pPr>
              <w:spacing w:after="40"/>
            </w:pPr>
            <w:r>
              <w:rPr>
                <w:rFonts w:ascii="Arial" w:cs="Arial" w:eastAsia="Arial" w:hAnsi="Arial"/>
                <w:color w:val="000000"/>
                <w:sz w:val="19"/>
                <w:szCs w:val="19"/>
              </w:rPr>
              <w:t xml:space="preserve">This applies to your contracts in storage, your database records, and your report exports.</w:t>
            </w:r>
          </w:p>
          <w:p>
            <w:pPr>
              <w:spacing w:after="40"/>
            </w:pPr>
            <w:r>
              <w:rPr>
                <w:rFonts w:ascii="Arial" w:cs="Arial" w:eastAsia="Arial" w:hAnsi="Arial"/>
                <w:color w:val="000000"/>
                <w:sz w:val="19"/>
                <w:szCs w:val="19"/>
              </w:rPr>
              <w:t xml:space="preserve">Verified by: Supabase encryption at rest, Vercel TLS enforcement, HSTS headers.</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D8F0F0" w:val="clear"/>
            <w:tcMar>
              <w:top w:type="dxa" w:w="120"/>
              <w:left w:type="dxa" w:w="180"/>
              <w:bottom w:type="dxa" w:w="120"/>
              <w:right w:type="dxa" w:w="180"/>
            </w:tcMar>
          </w:tcPr>
          <w:p>
            <w:pPr>
              <w:spacing w:after="60"/>
            </w:pPr>
            <w:r>
              <w:rPr>
                <w:rFonts w:ascii="Arial" w:cs="Arial" w:eastAsia="Arial" w:hAnsi="Arial"/>
                <w:b/>
                <w:bCs/>
                <w:color w:val="006B70"/>
                <w:sz w:val="20"/>
                <w:szCs w:val="20"/>
              </w:rPr>
              <w:t xml:space="preserve">Commitment 7 — We will tell you if something goes wrong</w:t>
            </w:r>
          </w:p>
          <w:p>
            <w:pPr>
              <w:spacing w:after="40"/>
            </w:pPr>
            <w:r>
              <w:rPr>
                <w:rFonts w:ascii="Arial" w:cs="Arial" w:eastAsia="Arial" w:hAnsi="Arial"/>
                <w:color w:val="000000"/>
                <w:sz w:val="19"/>
                <w:szCs w:val="19"/>
              </w:rPr>
              <w:t xml:space="preserve">If a security incident occurs that could affect your data, we will notify you within 72 hours.</w:t>
            </w:r>
          </w:p>
          <w:p>
            <w:pPr>
              <w:spacing w:after="40"/>
            </w:pPr>
            <w:r>
              <w:rPr>
                <w:rFonts w:ascii="Arial" w:cs="Arial" w:eastAsia="Arial" w:hAnsi="Arial"/>
                <w:color w:val="000000"/>
                <w:sz w:val="19"/>
                <w:szCs w:val="19"/>
              </w:rPr>
              <w:t xml:space="preserve">We maintain a public status page with full incident history.</w:t>
            </w:r>
          </w:p>
          <w:p>
            <w:pPr>
              <w:spacing w:after="40"/>
            </w:pPr>
            <w:r>
              <w:rPr>
                <w:rFonts w:ascii="Arial" w:cs="Arial" w:eastAsia="Arial" w:hAnsi="Arial"/>
                <w:color w:val="000000"/>
                <w:sz w:val="19"/>
                <w:szCs w:val="19"/>
              </w:rPr>
              <w:t xml:space="preserve">We comply with all Privacy Act 1988 notification obligations — OAIC notification within 30 days of an eligible data breach.</w:t>
            </w:r>
          </w:p>
          <w:p>
            <w:pPr>
              <w:spacing w:after="40"/>
            </w:pPr>
            <w:r>
              <w:rPr>
                <w:rFonts w:ascii="Arial" w:cs="Arial" w:eastAsia="Arial" w:hAnsi="Arial"/>
                <w:color w:val="000000"/>
                <w:sz w:val="19"/>
                <w:szCs w:val="19"/>
              </w:rPr>
              <w:t xml:space="preserve">We will never attempt to conceal a security incident.</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D8F0F0" w:val="clear"/>
            <w:tcMar>
              <w:top w:type="dxa" w:w="120"/>
              <w:left w:type="dxa" w:w="180"/>
              <w:bottom w:type="dxa" w:w="120"/>
              <w:right w:type="dxa" w:w="180"/>
            </w:tcMar>
          </w:tcPr>
          <w:p>
            <w:pPr>
              <w:spacing w:after="60"/>
            </w:pPr>
            <w:r>
              <w:rPr>
                <w:rFonts w:ascii="Arial" w:cs="Arial" w:eastAsia="Arial" w:hAnsi="Arial"/>
                <w:b/>
                <w:bCs/>
                <w:color w:val="006B70"/>
                <w:sz w:val="20"/>
                <w:szCs w:val="20"/>
              </w:rPr>
              <w:t xml:space="preserve">Commitment 8 — You can take your data with you</w:t>
            </w:r>
          </w:p>
          <w:p>
            <w:pPr>
              <w:spacing w:after="40"/>
            </w:pPr>
            <w:r>
              <w:rPr>
                <w:rFonts w:ascii="Arial" w:cs="Arial" w:eastAsia="Arial" w:hAnsi="Arial"/>
                <w:color w:val="000000"/>
                <w:sz w:val="19"/>
                <w:szCs w:val="19"/>
              </w:rPr>
              <w:t xml:space="preserve">You can export all your data at any time — contracts, KPIs, actuals, reports, audit logs — in standard formats (JSON, CSV, PDF).</w:t>
            </w:r>
          </w:p>
          <w:p>
            <w:pPr>
              <w:spacing w:after="40"/>
            </w:pPr>
            <w:r>
              <w:rPr>
                <w:rFonts w:ascii="Arial" w:cs="Arial" w:eastAsia="Arial" w:hAnsi="Arial"/>
                <w:color w:val="000000"/>
                <w:sz w:val="19"/>
                <w:szCs w:val="19"/>
              </w:rPr>
              <w:t xml:space="preserve">If you close your account, your data is deleted within 30 days and a deletion certificate is provided.</w:t>
            </w:r>
          </w:p>
          <w:p>
            <w:pPr>
              <w:spacing w:after="40"/>
            </w:pPr>
            <w:r>
              <w:rPr>
                <w:rFonts w:ascii="Arial" w:cs="Arial" w:eastAsia="Arial" w:hAnsi="Arial"/>
                <w:color w:val="000000"/>
                <w:sz w:val="19"/>
                <w:szCs w:val="19"/>
              </w:rPr>
              <w:t xml:space="preserve">We do not hold your data hostage to prevent you leaving.</w:t>
            </w:r>
          </w:p>
          <w:p>
            <w:pPr>
              <w:spacing w:after="40"/>
            </w:pPr>
            <w:r>
              <w:rPr>
                <w:rFonts w:ascii="Arial" w:cs="Arial" w:eastAsia="Arial" w:hAnsi="Arial"/>
                <w:color w:val="000000"/>
                <w:sz w:val="19"/>
                <w:szCs w:val="19"/>
              </w:rPr>
              <w:t xml:space="preserve">Verified by: Data export feature in Settings &gt; Data management.</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D8F0F0" w:val="clear"/>
            <w:tcMar>
              <w:top w:type="dxa" w:w="120"/>
              <w:left w:type="dxa" w:w="180"/>
              <w:bottom w:type="dxa" w:w="120"/>
              <w:right w:type="dxa" w:w="180"/>
            </w:tcMar>
          </w:tcPr>
          <w:p>
            <w:pPr>
              <w:spacing w:after="60"/>
            </w:pPr>
            <w:r>
              <w:rPr>
                <w:rFonts w:ascii="Arial" w:cs="Arial" w:eastAsia="Arial" w:hAnsi="Arial"/>
                <w:b/>
                <w:bCs/>
                <w:color w:val="006B70"/>
                <w:sz w:val="20"/>
                <w:szCs w:val="20"/>
              </w:rPr>
              <w:t xml:space="preserve">Commitment 9 — We are independently tested</w:t>
            </w:r>
          </w:p>
          <w:p>
            <w:pPr>
              <w:spacing w:after="40"/>
            </w:pPr>
            <w:r>
              <w:rPr>
                <w:rFonts w:ascii="Arial" w:cs="Arial" w:eastAsia="Arial" w:hAnsi="Arial"/>
                <w:color w:val="000000"/>
                <w:sz w:val="19"/>
                <w:szCs w:val="19"/>
              </w:rPr>
              <w:t xml:space="preserve">Contractly undergoes annual penetration testing by an AISA-accredited security firm.</w:t>
            </w:r>
          </w:p>
          <w:p>
            <w:pPr>
              <w:spacing w:after="40"/>
            </w:pPr>
            <w:r>
              <w:rPr>
                <w:rFonts w:ascii="Arial" w:cs="Arial" w:eastAsia="Arial" w:hAnsi="Arial"/>
                <w:color w:val="000000"/>
                <w:sz w:val="19"/>
                <w:szCs w:val="19"/>
              </w:rPr>
              <w:t xml:space="preserve">A summary of findings and remediation is available to Enterprise customers under NDA.</w:t>
            </w:r>
          </w:p>
          <w:p>
            <w:pPr>
              <w:spacing w:after="40"/>
            </w:pPr>
            <w:r>
              <w:rPr>
                <w:rFonts w:ascii="Arial" w:cs="Arial" w:eastAsia="Arial" w:hAnsi="Arial"/>
                <w:color w:val="000000"/>
                <w:sz w:val="19"/>
                <w:szCs w:val="19"/>
              </w:rPr>
              <w:t xml:space="preserve">We are working towards SOC 2 Type II certification — target: 18 months post-launch.</w:t>
            </w:r>
          </w:p>
          <w:p>
            <w:pPr>
              <w:spacing w:after="40"/>
            </w:pPr>
            <w:r>
              <w:rPr>
                <w:rFonts w:ascii="Arial" w:cs="Arial" w:eastAsia="Arial" w:hAnsi="Arial"/>
                <w:color w:val="000000"/>
                <w:sz w:val="19"/>
                <w:szCs w:val="19"/>
              </w:rPr>
              <w:t xml:space="preserve">Verified by: Annual pen test report, SOC 2 roadmap.</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D8F0F0" w:val="clear"/>
            <w:tcMar>
              <w:top w:type="dxa" w:w="120"/>
              <w:left w:type="dxa" w:w="180"/>
              <w:bottom w:type="dxa" w:w="120"/>
              <w:right w:type="dxa" w:w="180"/>
            </w:tcMar>
          </w:tcPr>
          <w:p>
            <w:pPr>
              <w:spacing w:after="60"/>
            </w:pPr>
            <w:r>
              <w:rPr>
                <w:rFonts w:ascii="Arial" w:cs="Arial" w:eastAsia="Arial" w:hAnsi="Arial"/>
                <w:b/>
                <w:bCs/>
                <w:color w:val="006B70"/>
                <w:sz w:val="20"/>
                <w:szCs w:val="20"/>
              </w:rPr>
              <w:t xml:space="preserve">Commitment 10 — Contractly staff cannot read your contracts</w:t>
            </w:r>
          </w:p>
          <w:p>
            <w:pPr>
              <w:spacing w:after="40"/>
            </w:pPr>
            <w:r>
              <w:rPr>
                <w:rFonts w:ascii="Arial" w:cs="Arial" w:eastAsia="Arial" w:hAnsi="Arial"/>
                <w:color w:val="000000"/>
                <w:sz w:val="19"/>
                <w:szCs w:val="19"/>
              </w:rPr>
              <w:t xml:space="preserve">Contractly staff do not have standing access to customer contract data.</w:t>
            </w:r>
          </w:p>
          <w:p>
            <w:pPr>
              <w:spacing w:after="40"/>
            </w:pPr>
            <w:r>
              <w:rPr>
                <w:rFonts w:ascii="Arial" w:cs="Arial" w:eastAsia="Arial" w:hAnsi="Arial"/>
                <w:color w:val="000000"/>
                <w:sz w:val="19"/>
                <w:szCs w:val="19"/>
              </w:rPr>
              <w:t xml:space="preserve">Any access to customer data by Contractly staff (e.g. for support) requires explicit customer consent,</w:t>
            </w:r>
          </w:p>
          <w:p>
            <w:pPr>
              <w:spacing w:after="40"/>
            </w:pPr>
            <w:r>
              <w:rPr>
                <w:rFonts w:ascii="Arial" w:cs="Arial" w:eastAsia="Arial" w:hAnsi="Arial"/>
                <w:color w:val="000000"/>
                <w:sz w:val="19"/>
                <w:szCs w:val="19"/>
              </w:rPr>
              <w:t xml:space="preserve">is time-limited, and is recorded in the audit log.</w:t>
            </w:r>
          </w:p>
          <w:p>
            <w:pPr>
              <w:spacing w:after="40"/>
            </w:pPr>
            <w:r>
              <w:rPr>
                <w:rFonts w:ascii="Arial" w:cs="Arial" w:eastAsia="Arial" w:hAnsi="Arial"/>
                <w:color w:val="000000"/>
                <w:sz w:val="19"/>
                <w:szCs w:val="19"/>
              </w:rPr>
              <w:t xml:space="preserve">Production database access by Contractly staff requires two-person approval.</w:t>
            </w:r>
          </w:p>
          <w:p>
            <w:pPr>
              <w:spacing w:after="40"/>
            </w:pPr>
            <w:r>
              <w:rPr>
                <w:rFonts w:ascii="Arial" w:cs="Arial" w:eastAsia="Arial" w:hAnsi="Arial"/>
                <w:color w:val="000000"/>
                <w:sz w:val="19"/>
                <w:szCs w:val="19"/>
              </w:rPr>
              <w:t xml:space="preserve">Verified by: Supabase access controls, break-glass access procedure.</w:t>
            </w:r>
          </w:p>
        </w:tc>
      </w:tr>
    </w:tbl>
    <w:p>
      <w:pPr>
        <w:spacing w:after="60"/>
      </w:pPr>
      <w:r>
        <w:t xml:space="preserve"/>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A7. Security as a product feature — implementation requirements</w:t>
      </w:r>
    </w:p>
    <w:p>
      <w:pPr>
        <w:spacing w:after="80"/>
      </w:pPr>
      <w:r>
        <w:rPr>
          <w:rFonts w:ascii="Arial" w:cs="Arial" w:eastAsia="Arial" w:hAnsi="Arial"/>
          <w:b w:val="false"/>
          <w:bCs w:val="false"/>
          <w:i w:val="false"/>
          <w:iCs w:val="false"/>
          <w:color w:val="000000"/>
          <w:sz w:val="20"/>
          <w:szCs w:val="20"/>
        </w:rPr>
        <w:t xml:space="preserve">The following security features must be built into the product UI — not just documented in policies. Security must be visible and verifiable to customers, not just asserted.</w:t>
      </w:r>
    </w:p>
    <w:p>
      <w:pPr>
        <w:spacing w:after="60"/>
      </w:pPr>
      <w:r>
        <w:t xml:space="preserve"/>
      </w:r>
    </w:p>
    <w:p>
      <w:pPr>
        <w:pStyle w:val="Heading2"/>
        <w:spacing w:after="80" w:before="280"/>
      </w:pPr>
      <w:r>
        <w:rPr>
          <w:rFonts w:ascii="Arial" w:cs="Arial" w:eastAsia="Arial" w:hAnsi="Arial"/>
          <w:b/>
          <w:bCs/>
          <w:color w:val="1F4E79"/>
          <w:sz w:val="28"/>
          <w:szCs w:val="28"/>
        </w:rPr>
        <w:t xml:space="preserve">A7.1 Trust dashboard (in-app)</w:t>
      </w:r>
    </w:p>
    <w:p>
      <w:pPr>
        <w:spacing w:after="80"/>
      </w:pPr>
      <w:r>
        <w:rPr>
          <w:rFonts w:ascii="Arial" w:cs="Arial" w:eastAsia="Arial" w:hAnsi="Arial"/>
          <w:b w:val="false"/>
          <w:bCs w:val="false"/>
          <w:i w:val="false"/>
          <w:iCs w:val="false"/>
          <w:color w:val="000000"/>
          <w:sz w:val="20"/>
          <w:szCs w:val="20"/>
        </w:rPr>
        <w:t xml:space="preserve">A "Security &amp; Trust" page accessible from Settings, showing:</w:t>
      </w:r>
    </w:p>
    <w:p>
      <w:pPr>
        <w:pStyle w:val="ListParagraph"/>
        <w:numPr>
          <w:ilvl w:val="0"/>
          <w:numId w:val="2"/>
        </w:numPr>
        <w:spacing w:after="60"/>
      </w:pPr>
      <w:r>
        <w:rPr>
          <w:rFonts w:ascii="Arial" w:cs="Arial" w:eastAsia="Arial" w:hAnsi="Arial"/>
          <w:sz w:val="20"/>
          <w:szCs w:val="20"/>
        </w:rPr>
        <w:t xml:space="preserve">Data residency map — visual showing where each data type is stored</w:t>
      </w:r>
    </w:p>
    <w:p>
      <w:pPr>
        <w:pStyle w:val="ListParagraph"/>
        <w:numPr>
          <w:ilvl w:val="0"/>
          <w:numId w:val="2"/>
        </w:numPr>
        <w:spacing w:after="60"/>
      </w:pPr>
      <w:r>
        <w:rPr>
          <w:rFonts w:ascii="Arial" w:cs="Arial" w:eastAsia="Arial" w:hAnsi="Arial"/>
          <w:sz w:val="20"/>
          <w:szCs w:val="20"/>
        </w:rPr>
        <w:t xml:space="preserve">Active sessions — list of all logged-in sessions with device, IP, and last active. Revoke button on each.</w:t>
      </w:r>
    </w:p>
    <w:p>
      <w:pPr>
        <w:pStyle w:val="ListParagraph"/>
        <w:numPr>
          <w:ilvl w:val="0"/>
          <w:numId w:val="2"/>
        </w:numPr>
        <w:spacing w:after="60"/>
      </w:pPr>
      <w:r>
        <w:rPr>
          <w:rFonts w:ascii="Arial" w:cs="Arial" w:eastAsia="Arial" w:hAnsi="Arial"/>
          <w:sz w:val="20"/>
          <w:szCs w:val="20"/>
        </w:rPr>
        <w:t xml:space="preserve">Audit log export — download full audit history as CSV</w:t>
      </w:r>
    </w:p>
    <w:p>
      <w:pPr>
        <w:pStyle w:val="ListParagraph"/>
        <w:numPr>
          <w:ilvl w:val="0"/>
          <w:numId w:val="2"/>
        </w:numPr>
        <w:spacing w:after="60"/>
      </w:pPr>
      <w:r>
        <w:rPr>
          <w:rFonts w:ascii="Arial" w:cs="Arial" w:eastAsia="Arial" w:hAnsi="Arial"/>
          <w:sz w:val="20"/>
          <w:szCs w:val="20"/>
        </w:rPr>
        <w:t xml:space="preserve">Connected sub-processors — list of all services that handle customer data</w:t>
      </w:r>
    </w:p>
    <w:p>
      <w:pPr>
        <w:pStyle w:val="ListParagraph"/>
        <w:numPr>
          <w:ilvl w:val="0"/>
          <w:numId w:val="2"/>
        </w:numPr>
        <w:spacing w:after="60"/>
      </w:pPr>
      <w:r>
        <w:rPr>
          <w:rFonts w:ascii="Arial" w:cs="Arial" w:eastAsia="Arial" w:hAnsi="Arial"/>
          <w:sz w:val="20"/>
          <w:szCs w:val="20"/>
        </w:rPr>
        <w:t xml:space="preserve">MFA status — enable/disable MFA, view backup codes</w:t>
      </w:r>
    </w:p>
    <w:p>
      <w:pPr>
        <w:pStyle w:val="ListParagraph"/>
        <w:numPr>
          <w:ilvl w:val="0"/>
          <w:numId w:val="2"/>
        </w:numPr>
        <w:spacing w:after="60"/>
      </w:pPr>
      <w:r>
        <w:rPr>
          <w:rFonts w:ascii="Arial" w:cs="Arial" w:eastAsia="Arial" w:hAnsi="Arial"/>
          <w:sz w:val="20"/>
          <w:szCs w:val="20"/>
        </w:rPr>
        <w:t xml:space="preserve">Data export — trigger full data export (all data in JSON + PDF)</w:t>
      </w:r>
    </w:p>
    <w:p>
      <w:pPr>
        <w:pStyle w:val="ListParagraph"/>
        <w:numPr>
          <w:ilvl w:val="0"/>
          <w:numId w:val="2"/>
        </w:numPr>
        <w:spacing w:after="60"/>
      </w:pPr>
      <w:r>
        <w:rPr>
          <w:rFonts w:ascii="Arial" w:cs="Arial" w:eastAsia="Arial" w:hAnsi="Arial"/>
          <w:sz w:val="20"/>
          <w:szCs w:val="20"/>
        </w:rPr>
        <w:t xml:space="preserve">Account deletion — initiate account closure with data deletion confirmation</w:t>
      </w:r>
    </w:p>
    <w:p>
      <w:pPr>
        <w:spacing w:after="60"/>
      </w:pPr>
      <w:r>
        <w:t xml:space="preserve"/>
      </w:r>
    </w:p>
    <w:p>
      <w:pPr>
        <w:pStyle w:val="Heading2"/>
        <w:spacing w:after="80" w:before="280"/>
      </w:pPr>
      <w:r>
        <w:rPr>
          <w:rFonts w:ascii="Arial" w:cs="Arial" w:eastAsia="Arial" w:hAnsi="Arial"/>
          <w:b/>
          <w:bCs/>
          <w:color w:val="1F4E79"/>
          <w:sz w:val="28"/>
          <w:szCs w:val="28"/>
        </w:rPr>
        <w:t xml:space="preserve">A7.2 Vendor submission security</w:t>
      </w:r>
    </w:p>
    <w:p>
      <w:pPr>
        <w:spacing w:after="80"/>
      </w:pPr>
      <w:r>
        <w:rPr>
          <w:rFonts w:ascii="Arial" w:cs="Arial" w:eastAsia="Arial" w:hAnsi="Arial"/>
          <w:b w:val="false"/>
          <w:bCs w:val="false"/>
          <w:i w:val="false"/>
          <w:iCs w:val="false"/>
          <w:color w:val="000000"/>
          <w:sz w:val="20"/>
          <w:szCs w:val="20"/>
        </w:rPr>
        <w:t xml:space="preserve">The vendor magic link submission form must:</w:t>
      </w:r>
    </w:p>
    <w:p>
      <w:pPr>
        <w:pStyle w:val="ListParagraph"/>
        <w:numPr>
          <w:ilvl w:val="0"/>
          <w:numId w:val="2"/>
        </w:numPr>
        <w:spacing w:after="60"/>
      </w:pPr>
      <w:r>
        <w:rPr>
          <w:rFonts w:ascii="Arial" w:cs="Arial" w:eastAsia="Arial" w:hAnsi="Arial"/>
          <w:sz w:val="20"/>
          <w:szCs w:val="20"/>
        </w:rPr>
        <w:t xml:space="preserve">Display a clear security notice: "This form is secured by Contractly. Your submission is encrypted and only visible to [Organisation Name]."</w:t>
      </w:r>
    </w:p>
    <w:p>
      <w:pPr>
        <w:pStyle w:val="ListParagraph"/>
        <w:numPr>
          <w:ilvl w:val="0"/>
          <w:numId w:val="2"/>
        </w:numPr>
        <w:spacing w:after="60"/>
      </w:pPr>
      <w:r>
        <w:rPr>
          <w:rFonts w:ascii="Arial" w:cs="Arial" w:eastAsia="Arial" w:hAnsi="Arial"/>
          <w:sz w:val="20"/>
          <w:szCs w:val="20"/>
        </w:rPr>
        <w:t xml:space="preserve">Not expose the buyer's internal KPI targets or scoring logic — show only the fields to be filled in</w:t>
      </w:r>
    </w:p>
    <w:p>
      <w:pPr>
        <w:pStyle w:val="ListParagraph"/>
        <w:numPr>
          <w:ilvl w:val="0"/>
          <w:numId w:val="2"/>
        </w:numPr>
        <w:spacing w:after="60"/>
      </w:pPr>
      <w:r>
        <w:rPr>
          <w:rFonts w:ascii="Arial" w:cs="Arial" w:eastAsia="Arial" w:hAnsi="Arial"/>
          <w:sz w:val="20"/>
          <w:szCs w:val="20"/>
        </w:rPr>
        <w:t xml:space="preserve">Invalidate the link immediately after submission — show "This link has been used and is no longer valid" if accessed again</w:t>
      </w:r>
    </w:p>
    <w:p>
      <w:pPr>
        <w:pStyle w:val="ListParagraph"/>
        <w:numPr>
          <w:ilvl w:val="0"/>
          <w:numId w:val="2"/>
        </w:numPr>
        <w:spacing w:after="60"/>
      </w:pPr>
      <w:r>
        <w:rPr>
          <w:rFonts w:ascii="Arial" w:cs="Arial" w:eastAsia="Arial" w:hAnsi="Arial"/>
          <w:sz w:val="20"/>
          <w:szCs w:val="20"/>
        </w:rPr>
        <w:t xml:space="preserve">Include a CAPTCHA or bot detection on submission to prevent automated submission manipulation</w:t>
      </w:r>
    </w:p>
    <w:p>
      <w:pPr>
        <w:pStyle w:val="ListParagraph"/>
        <w:numPr>
          <w:ilvl w:val="0"/>
          <w:numId w:val="2"/>
        </w:numPr>
        <w:spacing w:after="60"/>
      </w:pPr>
      <w:r>
        <w:rPr>
          <w:rFonts w:ascii="Arial" w:cs="Arial" w:eastAsia="Arial" w:hAnsi="Arial"/>
          <w:sz w:val="20"/>
          <w:szCs w:val="20"/>
        </w:rPr>
        <w:t xml:space="preserve">Log the submitting IP address for audit purposes (disclosed in privacy policy)</w:t>
      </w:r>
    </w:p>
    <w:p>
      <w:pPr>
        <w:spacing w:after="60"/>
      </w:pPr>
      <w:r>
        <w:t xml:space="preserve"/>
      </w:r>
    </w:p>
    <w:p>
      <w:pPr>
        <w:pStyle w:val="Heading2"/>
        <w:spacing w:after="80" w:before="280"/>
      </w:pPr>
      <w:r>
        <w:rPr>
          <w:rFonts w:ascii="Arial" w:cs="Arial" w:eastAsia="Arial" w:hAnsi="Arial"/>
          <w:b/>
          <w:bCs/>
          <w:color w:val="1F4E79"/>
          <w:sz w:val="28"/>
          <w:szCs w:val="28"/>
        </w:rPr>
        <w:t xml:space="preserve">A7.3 Contract document security</w:t>
      </w:r>
    </w:p>
    <w:p>
      <w:pPr>
        <w:pStyle w:val="ListParagraph"/>
        <w:numPr>
          <w:ilvl w:val="0"/>
          <w:numId w:val="2"/>
        </w:numPr>
        <w:spacing w:after="60"/>
      </w:pPr>
      <w:r>
        <w:rPr>
          <w:rFonts w:ascii="Arial" w:cs="Arial" w:eastAsia="Arial" w:hAnsi="Arial"/>
          <w:sz w:val="20"/>
          <w:szCs w:val="20"/>
        </w:rPr>
        <w:t xml:space="preserve">All uploaded documents are scanned for malware before storage — use ClamAV via a Lambda function or equivalent</w:t>
      </w:r>
    </w:p>
    <w:p>
      <w:pPr>
        <w:pStyle w:val="ListParagraph"/>
        <w:numPr>
          <w:ilvl w:val="0"/>
          <w:numId w:val="2"/>
        </w:numPr>
        <w:spacing w:after="60"/>
      </w:pPr>
      <w:r>
        <w:rPr>
          <w:rFonts w:ascii="Arial" w:cs="Arial" w:eastAsia="Arial" w:hAnsi="Arial"/>
          <w:sz w:val="20"/>
          <w:szCs w:val="20"/>
        </w:rPr>
        <w:t xml:space="preserve">Documents are served via signed URLs with 1-hour expiry — never publicly accessible</w:t>
      </w:r>
    </w:p>
    <w:p>
      <w:pPr>
        <w:pStyle w:val="ListParagraph"/>
        <w:numPr>
          <w:ilvl w:val="0"/>
          <w:numId w:val="2"/>
        </w:numPr>
        <w:spacing w:after="60"/>
      </w:pPr>
      <w:r>
        <w:rPr>
          <w:rFonts w:ascii="Arial" w:cs="Arial" w:eastAsia="Arial" w:hAnsi="Arial"/>
          <w:sz w:val="20"/>
          <w:szCs w:val="20"/>
        </w:rPr>
        <w:t xml:space="preserve">Download events are logged in the audit table</w:t>
      </w:r>
    </w:p>
    <w:p>
      <w:pPr>
        <w:pStyle w:val="ListParagraph"/>
        <w:numPr>
          <w:ilvl w:val="0"/>
          <w:numId w:val="2"/>
        </w:numPr>
        <w:spacing w:after="60"/>
      </w:pPr>
      <w:r>
        <w:rPr>
          <w:rFonts w:ascii="Arial" w:cs="Arial" w:eastAsia="Arial" w:hAnsi="Arial"/>
          <w:sz w:val="20"/>
          <w:szCs w:val="20"/>
        </w:rPr>
        <w:t xml:space="preserve">Documents deleted from storage when a contract is deleted (subject to retention policy)</w:t>
      </w:r>
    </w:p>
    <w:p>
      <w:pPr>
        <w:spacing w:after="60"/>
      </w:pPr>
      <w:r>
        <w:t xml:space="preserve"/>
      </w:r>
    </w:p>
    <w:p>
      <w:pPr>
        <w:pStyle w:val="Heading2"/>
        <w:spacing w:after="80" w:before="280"/>
      </w:pPr>
      <w:r>
        <w:rPr>
          <w:rFonts w:ascii="Arial" w:cs="Arial" w:eastAsia="Arial" w:hAnsi="Arial"/>
          <w:b/>
          <w:bCs/>
          <w:color w:val="1F4E79"/>
          <w:sz w:val="28"/>
          <w:szCs w:val="28"/>
        </w:rPr>
        <w:t xml:space="preserve">A7.4 Security-related environment variables</w:t>
      </w:r>
    </w:p>
    <w:p>
      <w:pPr>
        <w:shd w:fill="F5F5F5" w:val="clear"/>
        <w:spacing w:after="40"/>
        <w:ind w:left="720"/>
      </w:pPr>
      <w:r>
        <w:rPr>
          <w:rFonts w:ascii="Courier New" w:cs="Courier New" w:eastAsia="Courier New" w:hAnsi="Courier New"/>
          <w:color w:val="2C4770"/>
          <w:sz w:val="18"/>
          <w:szCs w:val="18"/>
        </w:rPr>
        <w:t xml:space="preserve"># Content Security Policy</w:t>
      </w:r>
    </w:p>
    <w:p>
      <w:pPr>
        <w:shd w:fill="F5F5F5" w:val="clear"/>
        <w:spacing w:after="40"/>
        <w:ind w:left="720"/>
      </w:pPr>
      <w:r>
        <w:rPr>
          <w:rFonts w:ascii="Courier New" w:cs="Courier New" w:eastAsia="Courier New" w:hAnsi="Courier New"/>
          <w:color w:val="2C4770"/>
          <w:sz w:val="18"/>
          <w:szCs w:val="18"/>
        </w:rPr>
        <w:t xml:space="preserve">NEXT_PUBLIC_CSP_HEADER="default-src 'self'; script-src 'self' 'unsafe-inline'..."</w:t>
      </w:r>
    </w:p>
    <w:p>
      <w:pPr>
        <w:shd w:fill="F5F5F5" w:val="clear"/>
        <w:spacing w:after="40"/>
        <w:ind w:left="720"/>
      </w:pPr>
      <w:r>
        <w:rPr>
          <w:rFonts w:ascii="Courier New" w:cs="Courier New" w:eastAsia="Courier New" w:hAnsi="Courier New"/>
          <w:color w:val="2C4770"/>
          <w:sz w:val="18"/>
          <w:szCs w:val="18"/>
        </w:rPr>
        <w:t xml:space="preserve"/>
      </w:r>
    </w:p>
    <w:p>
      <w:pPr>
        <w:shd w:fill="F5F5F5" w:val="clear"/>
        <w:spacing w:after="40"/>
        <w:ind w:left="720"/>
      </w:pPr>
      <w:r>
        <w:rPr>
          <w:rFonts w:ascii="Courier New" w:cs="Courier New" w:eastAsia="Courier New" w:hAnsi="Courier New"/>
          <w:color w:val="2C4770"/>
          <w:sz w:val="18"/>
          <w:szCs w:val="18"/>
        </w:rPr>
        <w:t xml:space="preserve"># Rate limiting</w:t>
      </w:r>
    </w:p>
    <w:p>
      <w:pPr>
        <w:shd w:fill="F5F5F5" w:val="clear"/>
        <w:spacing w:after="40"/>
        <w:ind w:left="720"/>
      </w:pPr>
      <w:r>
        <w:rPr>
          <w:rFonts w:ascii="Courier New" w:cs="Courier New" w:eastAsia="Courier New" w:hAnsi="Courier New"/>
          <w:color w:val="2C4770"/>
          <w:sz w:val="18"/>
          <w:szCs w:val="18"/>
        </w:rPr>
        <w:t xml:space="preserve">RATE_LIMIT_REQUESTS_PER_MINUTE=60       # per authenticated user</w:t>
      </w:r>
    </w:p>
    <w:p>
      <w:pPr>
        <w:shd w:fill="F5F5F5" w:val="clear"/>
        <w:spacing w:after="40"/>
        <w:ind w:left="720"/>
      </w:pPr>
      <w:r>
        <w:rPr>
          <w:rFonts w:ascii="Courier New" w:cs="Courier New" w:eastAsia="Courier New" w:hAnsi="Courier New"/>
          <w:color w:val="2C4770"/>
          <w:sz w:val="18"/>
          <w:szCs w:val="18"/>
        </w:rPr>
        <w:t xml:space="preserve">RATE_LIMIT_AI_REQUESTS_PER_HOUR=100     # Claude API calls per org</w:t>
      </w:r>
    </w:p>
    <w:p>
      <w:pPr>
        <w:shd w:fill="F5F5F5" w:val="clear"/>
        <w:spacing w:after="40"/>
        <w:ind w:left="720"/>
      </w:pPr>
      <w:r>
        <w:rPr>
          <w:rFonts w:ascii="Courier New" w:cs="Courier New" w:eastAsia="Courier New" w:hAnsi="Courier New"/>
          <w:color w:val="2C4770"/>
          <w:sz w:val="18"/>
          <w:szCs w:val="18"/>
        </w:rPr>
        <w:t xml:space="preserve"/>
      </w:r>
    </w:p>
    <w:p>
      <w:pPr>
        <w:shd w:fill="F5F5F5" w:val="clear"/>
        <w:spacing w:after="40"/>
        <w:ind w:left="720"/>
      </w:pPr>
      <w:r>
        <w:rPr>
          <w:rFonts w:ascii="Courier New" w:cs="Courier New" w:eastAsia="Courier New" w:hAnsi="Courier New"/>
          <w:color w:val="2C4770"/>
          <w:sz w:val="18"/>
          <w:szCs w:val="18"/>
        </w:rPr>
        <w:t xml:space="preserve"># Malware scanning</w:t>
      </w:r>
    </w:p>
    <w:p>
      <w:pPr>
        <w:shd w:fill="F5F5F5" w:val="clear"/>
        <w:spacing w:after="40"/>
        <w:ind w:left="720"/>
      </w:pPr>
      <w:r>
        <w:rPr>
          <w:rFonts w:ascii="Courier New" w:cs="Courier New" w:eastAsia="Courier New" w:hAnsi="Courier New"/>
          <w:color w:val="2C4770"/>
          <w:sz w:val="18"/>
          <w:szCs w:val="18"/>
        </w:rPr>
        <w:t xml:space="preserve">CLAMAV_LAMBDA_FUNCTION_ARN=arn:aws:lambda:ap-southeast-2:...</w:t>
      </w:r>
    </w:p>
    <w:p>
      <w:pPr>
        <w:shd w:fill="F5F5F5" w:val="clear"/>
        <w:spacing w:after="40"/>
        <w:ind w:left="720"/>
      </w:pPr>
      <w:r>
        <w:rPr>
          <w:rFonts w:ascii="Courier New" w:cs="Courier New" w:eastAsia="Courier New" w:hAnsi="Courier New"/>
          <w:color w:val="2C4770"/>
          <w:sz w:val="18"/>
          <w:szCs w:val="18"/>
        </w:rPr>
        <w:t xml:space="preserve"/>
      </w:r>
    </w:p>
    <w:p>
      <w:pPr>
        <w:shd w:fill="F5F5F5" w:val="clear"/>
        <w:spacing w:after="40"/>
        <w:ind w:left="720"/>
      </w:pPr>
      <w:r>
        <w:rPr>
          <w:rFonts w:ascii="Courier New" w:cs="Courier New" w:eastAsia="Courier New" w:hAnsi="Courier New"/>
          <w:color w:val="2C4770"/>
          <w:sz w:val="18"/>
          <w:szCs w:val="18"/>
        </w:rPr>
        <w:t xml:space="preserve"># Session security</w:t>
      </w:r>
    </w:p>
    <w:p>
      <w:pPr>
        <w:shd w:fill="F5F5F5" w:val="clear"/>
        <w:spacing w:after="40"/>
        <w:ind w:left="720"/>
      </w:pPr>
      <w:r>
        <w:rPr>
          <w:rFonts w:ascii="Courier New" w:cs="Courier New" w:eastAsia="Courier New" w:hAnsi="Courier New"/>
          <w:color w:val="2C4770"/>
          <w:sz w:val="18"/>
          <w:szCs w:val="18"/>
        </w:rPr>
        <w:t xml:space="preserve">SESSION_SECURE_COOKIES=true</w:t>
      </w:r>
    </w:p>
    <w:p>
      <w:pPr>
        <w:shd w:fill="F5F5F5" w:val="clear"/>
        <w:spacing w:after="40"/>
        <w:ind w:left="720"/>
      </w:pPr>
      <w:r>
        <w:rPr>
          <w:rFonts w:ascii="Courier New" w:cs="Courier New" w:eastAsia="Courier New" w:hAnsi="Courier New"/>
          <w:color w:val="2C4770"/>
          <w:sz w:val="18"/>
          <w:szCs w:val="18"/>
        </w:rPr>
        <w:t xml:space="preserve">HSTS_MAX_AGE=31536000</w:t>
      </w:r>
    </w:p>
    <w:p>
      <w:pPr>
        <w:shd w:fill="F5F5F5" w:val="clear"/>
        <w:spacing w:after="40"/>
        <w:ind w:left="720"/>
      </w:pPr>
      <w:r>
        <w:rPr>
          <w:rFonts w:ascii="Courier New" w:cs="Courier New" w:eastAsia="Courier New" w:hAnsi="Courier New"/>
          <w:color w:val="2C4770"/>
          <w:sz w:val="18"/>
          <w:szCs w:val="18"/>
        </w:rPr>
        <w:t xml:space="preserve"/>
      </w:r>
    </w:p>
    <w:p>
      <w:pPr>
        <w:shd w:fill="F5F5F5" w:val="clear"/>
        <w:spacing w:after="40"/>
        <w:ind w:left="720"/>
      </w:pPr>
      <w:r>
        <w:rPr>
          <w:rFonts w:ascii="Courier New" w:cs="Courier New" w:eastAsia="Courier New" w:hAnsi="Courier New"/>
          <w:color w:val="2C4770"/>
          <w:sz w:val="18"/>
          <w:szCs w:val="18"/>
        </w:rPr>
        <w:t xml:space="preserve"># Two-person approval for staff database access (break-glass)</w:t>
      </w:r>
    </w:p>
    <w:p>
      <w:pPr>
        <w:shd w:fill="F5F5F5" w:val="clear"/>
        <w:spacing w:after="40"/>
        <w:ind w:left="720"/>
      </w:pPr>
      <w:r>
        <w:rPr>
          <w:rFonts w:ascii="Courier New" w:cs="Courier New" w:eastAsia="Courier New" w:hAnsi="Courier New"/>
          <w:color w:val="2C4770"/>
          <w:sz w:val="18"/>
          <w:szCs w:val="18"/>
        </w:rPr>
        <w:t xml:space="preserve">BREAKGLASS_APPROVAL_WEBHOOK=https://...</w:t>
      </w:r>
    </w:p>
    <w:p>
      <w:pPr>
        <w:spacing w:after="60"/>
      </w:pPr>
      <w:r>
        <w:t xml:space="preserve"/>
      </w:r>
    </w:p>
    <w:p>
      <w:pPr>
        <w:spacing w:after="0"/>
      </w:pPr>
      <w:r>
        <w:br w:type="page"/>
      </w:r>
    </w:p>
    <w:p>
      <w:pPr>
        <w:jc w:val="center"/>
      </w:pPr>
      <w:r>
        <w:rPr>
          <w:rFonts w:ascii="Arial" w:cs="Arial" w:eastAsia="Arial" w:hAnsi="Arial"/>
          <w:b/>
          <w:bCs/>
          <w:color w:val="1F4E79"/>
          <w:sz w:val="48"/>
          <w:szCs w:val="48"/>
        </w:rPr>
        <w:t xml:space="preserve">PART B</w:t>
      </w:r>
    </w:p>
    <w:p>
      <w:pPr>
        <w:jc w:val="center"/>
      </w:pPr>
      <w:r>
        <w:rPr>
          <w:rFonts w:ascii="Arial" w:cs="Arial" w:eastAsia="Arial" w:hAnsi="Arial"/>
          <w:color w:val="2E75B6"/>
          <w:sz w:val="32"/>
          <w:szCs w:val="32"/>
        </w:rPr>
        <w:t xml:space="preserve">Sprint 11: Vendor-Side Platform</w:t>
      </w:r>
    </w:p>
    <w:p>
      <w:pPr>
        <w:spacing w:after="24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B1. Vendor-side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DEEAF1" w:val="clear"/>
            <w:tcMar>
              <w:top w:type="dxa" w:w="120"/>
              <w:left w:type="dxa" w:w="180"/>
              <w:bottom w:type="dxa" w:w="120"/>
              <w:right w:type="dxa" w:w="180"/>
            </w:tcMar>
          </w:tcPr>
          <w:p>
            <w:pPr>
              <w:spacing w:after="60"/>
            </w:pPr>
            <w:r>
              <w:rPr>
                <w:rFonts w:ascii="Arial" w:cs="Arial" w:eastAsia="Arial" w:hAnsi="Arial"/>
                <w:b/>
                <w:bCs/>
                <w:color w:val="1F4E79"/>
                <w:sz w:val="20"/>
                <w:szCs w:val="20"/>
              </w:rPr>
              <w:t xml:space="preserve">What changes and what stays the same</w:t>
            </w:r>
          </w:p>
          <w:p>
            <w:pPr>
              <w:spacing w:after="40"/>
            </w:pPr>
            <w:r>
              <w:rPr>
                <w:rFonts w:ascii="Arial" w:cs="Arial" w:eastAsia="Arial" w:hAnsi="Arial"/>
                <w:color w:val="000000"/>
                <w:sz w:val="19"/>
                <w:szCs w:val="19"/>
              </w:rPr>
              <w:t xml:space="preserve">The core engine — AI extraction, KPI register, scorecard, breach detection, AI Q&amp;A — is unchanged.</w:t>
            </w:r>
          </w:p>
          <w:p>
            <w:pPr>
              <w:spacing w:after="40"/>
            </w:pPr>
            <w:r>
              <w:rPr>
                <w:rFonts w:ascii="Arial" w:cs="Arial" w:eastAsia="Arial" w:hAnsi="Arial"/>
                <w:color w:val="000000"/>
                <w:sz w:val="19"/>
                <w:szCs w:val="19"/>
              </w:rPr>
              <w:t xml:space="preserve">The existing spec (Sprints 1-10) remains 100% valid. Sprint 11 is additive only.</w:t>
            </w:r>
          </w:p>
          <w:p>
            <w:pPr>
              <w:spacing w:after="40"/>
            </w:pPr>
            <w:r>
              <w:rPr>
                <w:rFonts w:ascii="Arial" w:cs="Arial" w:eastAsia="Arial" w:hAnsi="Arial"/>
                <w:color w:val="000000"/>
                <w:sz w:val="19"/>
                <w:szCs w:val="19"/>
              </w:rPr>
              <w:t xml:space="preserve">Key additions: org_type field, perspective field on contracts, new vendor dashboard,</w:t>
            </w:r>
          </w:p>
          <w:p>
            <w:pPr>
              <w:spacing w:after="40"/>
            </w:pPr>
            <w:r>
              <w:rPr>
                <w:rFonts w:ascii="Arial" w:cs="Arial" w:eastAsia="Arial" w:hAnsi="Arial"/>
                <w:color w:val="000000"/>
                <w:sz w:val="19"/>
                <w:szCs w:val="19"/>
              </w:rPr>
              <w:t xml:space="preserve">  vendor-side breach response paths, customer portfolio view, two-sided submission,</w:t>
            </w:r>
          </w:p>
          <w:p>
            <w:pPr>
              <w:spacing w:after="40"/>
            </w:pPr>
            <w:r>
              <w:rPr>
                <w:rFonts w:ascii="Arial" w:cs="Arial" w:eastAsia="Arial" w:hAnsi="Arial"/>
                <w:color w:val="000000"/>
                <w:sz w:val="19"/>
                <w:szCs w:val="19"/>
              </w:rPr>
              <w:t xml:space="preserve">  customer performance report, vendor pricing tier.</w:t>
            </w:r>
          </w:p>
          <w:p>
            <w:pPr>
              <w:spacing w:after="40"/>
            </w:pPr>
            <w:r>
              <w:rPr>
                <w:rFonts w:ascii="Arial" w:cs="Arial" w:eastAsia="Arial" w:hAnsi="Arial"/>
                <w:color w:val="000000"/>
                <w:sz w:val="19"/>
                <w:szCs w:val="19"/>
              </w:rPr>
              <w:t xml:space="preserve">Zero breaking changes to any existing schema, API, or UI.</w:t>
            </w:r>
          </w:p>
        </w:tc>
      </w:tr>
    </w:tbl>
    <w:p>
      <w:pPr>
        <w:spacing w:after="60"/>
      </w:pPr>
      <w:r>
        <w:t xml:space="preserve"/>
      </w:r>
    </w:p>
    <w:p>
      <w:pPr>
        <w:pStyle w:val="Heading2"/>
        <w:spacing w:after="80" w:before="280"/>
      </w:pPr>
      <w:r>
        <w:rPr>
          <w:rFonts w:ascii="Arial" w:cs="Arial" w:eastAsia="Arial" w:hAnsi="Arial"/>
          <w:b/>
          <w:bCs/>
          <w:color w:val="1F4E79"/>
          <w:sz w:val="28"/>
          <w:szCs w:val="28"/>
        </w:rPr>
        <w:t xml:space="preserve">B1.1 Three vendor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351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 it serves</w:t>
            </w:r>
          </w:p>
        </w:tc>
        <w:tc>
          <w:tcPr>
            <w:tcW w:type="dxa" w:w="351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 delivered</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Proactive self-monitoring</w:t>
            </w:r>
          </w:p>
        </w:tc>
        <w:tc>
          <w:tcPr>
            <w:tcW w:type="dxa" w:w="3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MSPs, telcos, IT outsourcers with multiple enterprise clients</w:t>
            </w:r>
          </w:p>
        </w:tc>
        <w:tc>
          <w:tcPr>
            <w:tcW w:type="dxa" w:w="3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Catch performance shortfalls before the customer does. Avoid surprise credit claims. Manage cure obligations proactively.</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Multi-customer portfolio management</w:t>
            </w:r>
          </w:p>
        </w:tc>
        <w:tc>
          <w:tcPr>
            <w:tcW w:type="dxa" w:w="35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Large vendors with 10-50+ enterprise contracts</w:t>
            </w:r>
          </w:p>
        </w:tc>
        <w:tc>
          <w:tcPr>
            <w:tcW w:type="dxa" w:w="35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One platform to track all customer SLA obligations. Replace spreadsheets and manual monthly reporting.</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Dispute defence</w:t>
            </w:r>
          </w:p>
        </w:tc>
        <w:tc>
          <w:tcPr>
            <w:tcW w:type="dxa" w:w="3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Any vendor facing a customer credit claim or breach notice</w:t>
            </w:r>
          </w:p>
        </w:tc>
        <w:tc>
          <w:tcPr>
            <w:tcW w:type="dxa" w:w="3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Independent record of their own performance data. AI-assisted contractual response. Measurement dispute management.</w:t>
            </w:r>
          </w:p>
        </w:tc>
      </w:tr>
    </w:tbl>
    <w:p>
      <w:pPr>
        <w:spacing w:after="60"/>
      </w:pPr>
      <w:r>
        <w:t xml:space="preserve"/>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B2. Database schema additions</w:t>
      </w:r>
    </w:p>
    <w:p>
      <w:pPr>
        <w:pStyle w:val="Heading2"/>
        <w:spacing w:after="80" w:before="280"/>
      </w:pPr>
      <w:r>
        <w:rPr>
          <w:rFonts w:ascii="Arial" w:cs="Arial" w:eastAsia="Arial" w:hAnsi="Arial"/>
          <w:b/>
          <w:bCs/>
          <w:color w:val="1F4E79"/>
          <w:sz w:val="28"/>
          <w:szCs w:val="28"/>
        </w:rPr>
        <w:t xml:space="preserve">B2.1 Additions to existing tables</w:t>
      </w:r>
    </w:p>
    <w:p>
      <w:pPr>
        <w:pStyle w:val="Heading3"/>
        <w:spacing w:after="60" w:before="200"/>
      </w:pPr>
      <w:r>
        <w:rPr>
          <w:rFonts w:ascii="Arial" w:cs="Arial" w:eastAsia="Arial" w:hAnsi="Arial"/>
          <w:b/>
          <w:bCs/>
          <w:color w:val="2E75B6"/>
          <w:sz w:val="24"/>
          <w:szCs w:val="24"/>
        </w:rPr>
        <w:t xml:space="preserve">B2.1.1 organisations table — add org_type</w:t>
      </w:r>
    </w:p>
    <w:p>
      <w:pPr>
        <w:shd w:fill="F5F5F5" w:val="clear"/>
        <w:spacing w:after="40"/>
        <w:ind w:left="720"/>
      </w:pPr>
      <w:r>
        <w:rPr>
          <w:rFonts w:ascii="Courier New" w:cs="Courier New" w:eastAsia="Courier New" w:hAnsi="Courier New"/>
          <w:color w:val="2C4770"/>
          <w:sz w:val="18"/>
          <w:szCs w:val="18"/>
        </w:rPr>
        <w:t xml:space="preserve">ALTER TABLE organisations</w:t>
      </w:r>
    </w:p>
    <w:p>
      <w:pPr>
        <w:shd w:fill="F5F5F5" w:val="clear"/>
        <w:spacing w:after="40"/>
        <w:ind w:left="720"/>
      </w:pPr>
      <w:r>
        <w:rPr>
          <w:rFonts w:ascii="Courier New" w:cs="Courier New" w:eastAsia="Courier New" w:hAnsi="Courier New"/>
          <w:color w:val="2C4770"/>
          <w:sz w:val="18"/>
          <w:szCs w:val="18"/>
        </w:rPr>
        <w:t xml:space="preserve">  ADD COLUMN org_type text NOT NULL DEFAULT 'buyer'</w:t>
      </w:r>
    </w:p>
    <w:p>
      <w:pPr>
        <w:shd w:fill="F5F5F5" w:val="clear"/>
        <w:spacing w:after="40"/>
        <w:ind w:left="720"/>
      </w:pPr>
      <w:r>
        <w:rPr>
          <w:rFonts w:ascii="Courier New" w:cs="Courier New" w:eastAsia="Courier New" w:hAnsi="Courier New"/>
          <w:color w:val="2C4770"/>
          <w:sz w:val="18"/>
          <w:szCs w:val="18"/>
        </w:rPr>
        <w:t xml:space="preserve">  CONSTRAINT org_type_check CHECK (org_type IN ('buyer', 'vendor', 'both'));</w:t>
      </w:r>
    </w:p>
    <w:p>
      <w:pPr>
        <w:spacing w:after="60"/>
      </w:pPr>
      <w:r>
        <w:t xml:space="preserve"/>
      </w:r>
    </w:p>
    <w:p>
      <w:pPr>
        <w:spacing w:after="80"/>
      </w:pPr>
      <w:r>
        <w:rPr>
          <w:rFonts w:ascii="Arial" w:cs="Arial" w:eastAsia="Arial" w:hAnsi="Arial"/>
          <w:b w:val="false"/>
          <w:bCs w:val="false"/>
          <w:i w:val="false"/>
          <w:iCs w:val="false"/>
          <w:color w:val="000000"/>
          <w:sz w:val="20"/>
          <w:szCs w:val="20"/>
        </w:rPr>
        <w:t xml:space="preserve">The org_type field controls: which dashboard is shown on login, which navigation items appear, and how the AI Q&amp;A system prompt is framed. A "both" organisation sees a toggle to switch between buyer and vendor views.</w:t>
      </w:r>
    </w:p>
    <w:p>
      <w:pPr>
        <w:spacing w:after="60"/>
      </w:pPr>
      <w:r>
        <w:t xml:space="preserve"/>
      </w:r>
    </w:p>
    <w:p>
      <w:pPr>
        <w:pStyle w:val="Heading3"/>
        <w:spacing w:after="60" w:before="200"/>
      </w:pPr>
      <w:r>
        <w:rPr>
          <w:rFonts w:ascii="Arial" w:cs="Arial" w:eastAsia="Arial" w:hAnsi="Arial"/>
          <w:b/>
          <w:bCs/>
          <w:color w:val="2E75B6"/>
          <w:sz w:val="24"/>
          <w:szCs w:val="24"/>
        </w:rPr>
        <w:t xml:space="preserve">B2.1.2 contracts table — add perspective and customer fields</w:t>
      </w:r>
    </w:p>
    <w:p>
      <w:pPr>
        <w:shd w:fill="F5F5F5" w:val="clear"/>
        <w:spacing w:after="40"/>
        <w:ind w:left="720"/>
      </w:pPr>
      <w:r>
        <w:rPr>
          <w:rFonts w:ascii="Courier New" w:cs="Courier New" w:eastAsia="Courier New" w:hAnsi="Courier New"/>
          <w:color w:val="2C4770"/>
          <w:sz w:val="18"/>
          <w:szCs w:val="18"/>
        </w:rPr>
        <w:t xml:space="preserve">ALTER TABLE contracts</w:t>
      </w:r>
    </w:p>
    <w:p>
      <w:pPr>
        <w:shd w:fill="F5F5F5" w:val="clear"/>
        <w:spacing w:after="40"/>
        <w:ind w:left="720"/>
      </w:pPr>
      <w:r>
        <w:rPr>
          <w:rFonts w:ascii="Courier New" w:cs="Courier New" w:eastAsia="Courier New" w:hAnsi="Courier New"/>
          <w:color w:val="2C4770"/>
          <w:sz w:val="18"/>
          <w:szCs w:val="18"/>
        </w:rPr>
        <w:t xml:space="preserve">  ADD COLUMN perspective text NOT NULL DEFAULT 'buyer'</w:t>
      </w:r>
    </w:p>
    <w:p>
      <w:pPr>
        <w:shd w:fill="F5F5F5" w:val="clear"/>
        <w:spacing w:after="40"/>
        <w:ind w:left="720"/>
      </w:pPr>
      <w:r>
        <w:rPr>
          <w:rFonts w:ascii="Courier New" w:cs="Courier New" w:eastAsia="Courier New" w:hAnsi="Courier New"/>
          <w:color w:val="2C4770"/>
          <w:sz w:val="18"/>
          <w:szCs w:val="18"/>
        </w:rPr>
        <w:t xml:space="preserve">  CONSTRAINT perspective_check CHECK (perspective IN ('buyer', 'vendor')),</w:t>
      </w:r>
    </w:p>
    <w:p>
      <w:pPr>
        <w:shd w:fill="F5F5F5" w:val="clear"/>
        <w:spacing w:after="40"/>
        <w:ind w:left="720"/>
      </w:pPr>
      <w:r>
        <w:rPr>
          <w:rFonts w:ascii="Courier New" w:cs="Courier New" w:eastAsia="Courier New" w:hAnsi="Courier New"/>
          <w:color w:val="2C4770"/>
          <w:sz w:val="18"/>
          <w:szCs w:val="18"/>
        </w:rPr>
        <w:t xml:space="preserve">  ADD COLUMN customer_name text,</w:t>
      </w:r>
    </w:p>
    <w:p>
      <w:pPr>
        <w:shd w:fill="F5F5F5" w:val="clear"/>
        <w:spacing w:after="40"/>
        <w:ind w:left="720"/>
      </w:pPr>
      <w:r>
        <w:rPr>
          <w:rFonts w:ascii="Courier New" w:cs="Courier New" w:eastAsia="Courier New" w:hAnsi="Courier New"/>
          <w:color w:val="2C4770"/>
          <w:sz w:val="18"/>
          <w:szCs w:val="18"/>
        </w:rPr>
        <w:t xml:space="preserve">  ADD COLUMN customer_org_id uuid REFERENCES organisations(id);</w:t>
      </w:r>
    </w:p>
    <w:p>
      <w:pPr>
        <w:spacing w:after="60"/>
      </w:pPr>
      <w:r>
        <w:t xml:space="preserve"/>
      </w:r>
    </w:p>
    <w:p>
      <w:pPr>
        <w:spacing w:after="80"/>
      </w:pPr>
      <w:r>
        <w:rPr>
          <w:rFonts w:ascii="Arial" w:cs="Arial" w:eastAsia="Arial" w:hAnsi="Arial"/>
          <w:b w:val="false"/>
          <w:bCs w:val="false"/>
          <w:i w:val="false"/>
          <w:iCs w:val="false"/>
          <w:color w:val="000000"/>
          <w:sz w:val="20"/>
          <w:szCs w:val="20"/>
        </w:rPr>
        <w:t xml:space="preserve">When perspective = "vendor": the customer_name field holds the buyer organisation name. If the buyer is also on Contractly, customer_org_id links to their organisation. This enables the two-sided submission flow.</w:t>
      </w:r>
    </w:p>
    <w:p>
      <w:pPr>
        <w:spacing w:after="60"/>
      </w:pPr>
      <w:r>
        <w:t xml:space="preserve"/>
      </w:r>
    </w:p>
    <w:p>
      <w:pPr>
        <w:pStyle w:val="Heading3"/>
        <w:spacing w:after="60" w:before="200"/>
      </w:pPr>
      <w:r>
        <w:rPr>
          <w:rFonts w:ascii="Arial" w:cs="Arial" w:eastAsia="Arial" w:hAnsi="Arial"/>
          <w:b/>
          <w:bCs/>
          <w:color w:val="2E75B6"/>
          <w:sz w:val="24"/>
          <w:szCs w:val="24"/>
        </w:rPr>
        <w:t xml:space="preserve">B2.1.3 breaches table — add vendor response fields</w:t>
      </w:r>
    </w:p>
    <w:p>
      <w:pPr>
        <w:shd w:fill="F5F5F5" w:val="clear"/>
        <w:spacing w:after="40"/>
        <w:ind w:left="720"/>
      </w:pPr>
      <w:r>
        <w:rPr>
          <w:rFonts w:ascii="Courier New" w:cs="Courier New" w:eastAsia="Courier New" w:hAnsi="Courier New"/>
          <w:color w:val="2C4770"/>
          <w:sz w:val="18"/>
          <w:szCs w:val="18"/>
        </w:rPr>
        <w:t xml:space="preserve">ALTER TABLE breaches</w:t>
      </w:r>
    </w:p>
    <w:p>
      <w:pPr>
        <w:shd w:fill="F5F5F5" w:val="clear"/>
        <w:spacing w:after="40"/>
        <w:ind w:left="720"/>
      </w:pPr>
      <w:r>
        <w:rPr>
          <w:rFonts w:ascii="Courier New" w:cs="Courier New" w:eastAsia="Courier New" w:hAnsi="Courier New"/>
          <w:color w:val="2C4770"/>
          <w:sz w:val="18"/>
          <w:szCs w:val="18"/>
        </w:rPr>
        <w:t xml:space="preserve">  ADD COLUMN is_disputed boolean DEFAULT false,</w:t>
      </w:r>
    </w:p>
    <w:p>
      <w:pPr>
        <w:shd w:fill="F5F5F5" w:val="clear"/>
        <w:spacing w:after="40"/>
        <w:ind w:left="720"/>
      </w:pPr>
      <w:r>
        <w:rPr>
          <w:rFonts w:ascii="Courier New" w:cs="Courier New" w:eastAsia="Courier New" w:hAnsi="Courier New"/>
          <w:color w:val="2C4770"/>
          <w:sz w:val="18"/>
          <w:szCs w:val="18"/>
        </w:rPr>
        <w:t xml:space="preserve">  ADD COLUMN dispute_reason text,</w:t>
      </w:r>
    </w:p>
    <w:p>
      <w:pPr>
        <w:shd w:fill="F5F5F5" w:val="clear"/>
        <w:spacing w:after="40"/>
        <w:ind w:left="720"/>
      </w:pPr>
      <w:r>
        <w:rPr>
          <w:rFonts w:ascii="Courier New" w:cs="Courier New" w:eastAsia="Courier New" w:hAnsi="Courier New"/>
          <w:color w:val="2C4770"/>
          <w:sz w:val="18"/>
          <w:szCs w:val="18"/>
        </w:rPr>
        <w:t xml:space="preserve">  ADD COLUMN force_majeure_claimed boolean DEFAULT false,</w:t>
      </w:r>
    </w:p>
    <w:p>
      <w:pPr>
        <w:shd w:fill="F5F5F5" w:val="clear"/>
        <w:spacing w:after="40"/>
        <w:ind w:left="720"/>
      </w:pPr>
      <w:r>
        <w:rPr>
          <w:rFonts w:ascii="Courier New" w:cs="Courier New" w:eastAsia="Courier New" w:hAnsi="Courier New"/>
          <w:color w:val="2C4770"/>
          <w:sz w:val="18"/>
          <w:szCs w:val="18"/>
        </w:rPr>
        <w:t xml:space="preserve">  ADD COLUMN force_majeure_reason text,</w:t>
      </w:r>
    </w:p>
    <w:p>
      <w:pPr>
        <w:shd w:fill="F5F5F5" w:val="clear"/>
        <w:spacing w:after="40"/>
        <w:ind w:left="720"/>
      </w:pPr>
      <w:r>
        <w:rPr>
          <w:rFonts w:ascii="Courier New" w:cs="Courier New" w:eastAsia="Courier New" w:hAnsi="Courier New"/>
          <w:color w:val="2C4770"/>
          <w:sz w:val="18"/>
          <w:szCs w:val="18"/>
        </w:rPr>
        <w:t xml:space="preserve">  ADD COLUMN cure_plan_submitted timestamptz,</w:t>
      </w:r>
    </w:p>
    <w:p>
      <w:pPr>
        <w:shd w:fill="F5F5F5" w:val="clear"/>
        <w:spacing w:after="40"/>
        <w:ind w:left="720"/>
      </w:pPr>
      <w:r>
        <w:rPr>
          <w:rFonts w:ascii="Courier New" w:cs="Courier New" w:eastAsia="Courier New" w:hAnsi="Courier New"/>
          <w:color w:val="2C4770"/>
          <w:sz w:val="18"/>
          <w:szCs w:val="18"/>
        </w:rPr>
        <w:t xml:space="preserve">  ADD COLUMN cure_deadline date,</w:t>
      </w:r>
    </w:p>
    <w:p>
      <w:pPr>
        <w:shd w:fill="F5F5F5" w:val="clear"/>
        <w:spacing w:after="40"/>
        <w:ind w:left="720"/>
      </w:pPr>
      <w:r>
        <w:rPr>
          <w:rFonts w:ascii="Courier New" w:cs="Courier New" w:eastAsia="Courier New" w:hAnsi="Courier New"/>
          <w:color w:val="2C4770"/>
          <w:sz w:val="18"/>
          <w:szCs w:val="18"/>
        </w:rPr>
        <w:t xml:space="preserve">  ADD COLUMN credit_negotiated numeric(12,2);</w:t>
      </w:r>
    </w:p>
    <w:p>
      <w:pPr>
        <w:spacing w:after="60"/>
      </w:pPr>
      <w:r>
        <w:t xml:space="preserve"/>
      </w:r>
    </w:p>
    <w:p>
      <w:pPr>
        <w:pStyle w:val="Heading2"/>
        <w:spacing w:after="80" w:before="280"/>
      </w:pPr>
      <w:r>
        <w:rPr>
          <w:rFonts w:ascii="Arial" w:cs="Arial" w:eastAsia="Arial" w:hAnsi="Arial"/>
          <w:b/>
          <w:bCs/>
          <w:color w:val="1F4E79"/>
          <w:sz w:val="28"/>
          <w:szCs w:val="28"/>
        </w:rPr>
        <w:t xml:space="preserve">B2.2 New table — vendor_customer_links</w:t>
      </w:r>
    </w:p>
    <w:p>
      <w:pPr>
        <w:shd w:fill="F5F5F5" w:val="clear"/>
        <w:spacing w:after="40"/>
        <w:ind w:left="720"/>
      </w:pPr>
      <w:r>
        <w:rPr>
          <w:rFonts w:ascii="Courier New" w:cs="Courier New" w:eastAsia="Courier New" w:hAnsi="Courier New"/>
          <w:color w:val="2C4770"/>
          <w:sz w:val="18"/>
          <w:szCs w:val="18"/>
        </w:rPr>
        <w:t xml:space="preserve">CREATE TABLE vendor_customer_links (</w:t>
      </w:r>
    </w:p>
    <w:p>
      <w:pPr>
        <w:shd w:fill="F5F5F5" w:val="clear"/>
        <w:spacing w:after="40"/>
        <w:ind w:left="720"/>
      </w:pPr>
      <w:r>
        <w:rPr>
          <w:rFonts w:ascii="Courier New" w:cs="Courier New" w:eastAsia="Courier New" w:hAnsi="Courier New"/>
          <w:color w:val="2C4770"/>
          <w:sz w:val="18"/>
          <w:szCs w:val="18"/>
        </w:rPr>
        <w:t xml:space="preserve">  id                   uuid PRIMARY KEY DEFAULT gen_random_uuid(),</w:t>
      </w:r>
    </w:p>
    <w:p>
      <w:pPr>
        <w:shd w:fill="F5F5F5" w:val="clear"/>
        <w:spacing w:after="40"/>
        <w:ind w:left="720"/>
      </w:pPr>
      <w:r>
        <w:rPr>
          <w:rFonts w:ascii="Courier New" w:cs="Courier New" w:eastAsia="Courier New" w:hAnsi="Courier New"/>
          <w:color w:val="2C4770"/>
          <w:sz w:val="18"/>
          <w:szCs w:val="18"/>
        </w:rPr>
        <w:t xml:space="preserve">  vendor_org_id        uuid REFERENCES organisations(id) NOT NULL,</w:t>
      </w:r>
    </w:p>
    <w:p>
      <w:pPr>
        <w:shd w:fill="F5F5F5" w:val="clear"/>
        <w:spacing w:after="40"/>
        <w:ind w:left="720"/>
      </w:pPr>
      <w:r>
        <w:rPr>
          <w:rFonts w:ascii="Courier New" w:cs="Courier New" w:eastAsia="Courier New" w:hAnsi="Courier New"/>
          <w:color w:val="2C4770"/>
          <w:sz w:val="18"/>
          <w:szCs w:val="18"/>
        </w:rPr>
        <w:t xml:space="preserve">  customer_org_id      uuid REFERENCES organisations(id) NOT NULL,</w:t>
      </w:r>
    </w:p>
    <w:p>
      <w:pPr>
        <w:shd w:fill="F5F5F5" w:val="clear"/>
        <w:spacing w:after="40"/>
        <w:ind w:left="720"/>
      </w:pPr>
      <w:r>
        <w:rPr>
          <w:rFonts w:ascii="Courier New" w:cs="Courier New" w:eastAsia="Courier New" w:hAnsi="Courier New"/>
          <w:color w:val="2C4770"/>
          <w:sz w:val="18"/>
          <w:szCs w:val="18"/>
        </w:rPr>
        <w:t xml:space="preserve">  vendor_contract_id   uuid REFERENCES contracts(id) NOT NULL,</w:t>
      </w:r>
    </w:p>
    <w:p>
      <w:pPr>
        <w:shd w:fill="F5F5F5" w:val="clear"/>
        <w:spacing w:after="40"/>
        <w:ind w:left="720"/>
      </w:pPr>
      <w:r>
        <w:rPr>
          <w:rFonts w:ascii="Courier New" w:cs="Courier New" w:eastAsia="Courier New" w:hAnsi="Courier New"/>
          <w:color w:val="2C4770"/>
          <w:sz w:val="18"/>
          <w:szCs w:val="18"/>
        </w:rPr>
        <w:t xml:space="preserve">  customer_contract_id uuid REFERENCES contracts(id),</w:t>
      </w:r>
    </w:p>
    <w:p>
      <w:pPr>
        <w:shd w:fill="F5F5F5" w:val="clear"/>
        <w:spacing w:after="40"/>
        <w:ind w:left="720"/>
      </w:pPr>
      <w:r>
        <w:rPr>
          <w:rFonts w:ascii="Courier New" w:cs="Courier New" w:eastAsia="Courier New" w:hAnsi="Courier New"/>
          <w:color w:val="2C4770"/>
          <w:sz w:val="18"/>
          <w:szCs w:val="18"/>
        </w:rPr>
        <w:t xml:space="preserve">  link_status          text DEFAULT 'pending'</w:t>
      </w:r>
    </w:p>
    <w:p>
      <w:pPr>
        <w:shd w:fill="F5F5F5" w:val="clear"/>
        <w:spacing w:after="40"/>
        <w:ind w:left="720"/>
      </w:pPr>
      <w:r>
        <w:rPr>
          <w:rFonts w:ascii="Courier New" w:cs="Courier New" w:eastAsia="Courier New" w:hAnsi="Courier New"/>
          <w:color w:val="2C4770"/>
          <w:sz w:val="18"/>
          <w:szCs w:val="18"/>
        </w:rPr>
        <w:t xml:space="preserve">    CONSTRAINT link_status_check CHECK (link_status IN ('pending', 'active', 'declined')),</w:t>
      </w:r>
    </w:p>
    <w:p>
      <w:pPr>
        <w:shd w:fill="F5F5F5" w:val="clear"/>
        <w:spacing w:after="40"/>
        <w:ind w:left="720"/>
      </w:pPr>
      <w:r>
        <w:rPr>
          <w:rFonts w:ascii="Courier New" w:cs="Courier New" w:eastAsia="Courier New" w:hAnsi="Courier New"/>
          <w:color w:val="2C4770"/>
          <w:sz w:val="18"/>
          <w:szCs w:val="18"/>
        </w:rPr>
        <w:t xml:space="preserve">  invited_by           uuid REFERENCES users(id),</w:t>
      </w:r>
    </w:p>
    <w:p>
      <w:pPr>
        <w:shd w:fill="F5F5F5" w:val="clear"/>
        <w:spacing w:after="40"/>
        <w:ind w:left="720"/>
      </w:pPr>
      <w:r>
        <w:rPr>
          <w:rFonts w:ascii="Courier New" w:cs="Courier New" w:eastAsia="Courier New" w:hAnsi="Courier New"/>
          <w:color w:val="2C4770"/>
          <w:sz w:val="18"/>
          <w:szCs w:val="18"/>
        </w:rPr>
        <w:t xml:space="preserve">  linked_at            timestamptz,</w:t>
      </w:r>
    </w:p>
    <w:p>
      <w:pPr>
        <w:shd w:fill="F5F5F5" w:val="clear"/>
        <w:spacing w:after="40"/>
        <w:ind w:left="720"/>
      </w:pPr>
      <w:r>
        <w:rPr>
          <w:rFonts w:ascii="Courier New" w:cs="Courier New" w:eastAsia="Courier New" w:hAnsi="Courier New"/>
          <w:color w:val="2C4770"/>
          <w:sz w:val="18"/>
          <w:szCs w:val="18"/>
        </w:rPr>
        <w:t xml:space="preserve">  created_at           timestamptz DEFAULT now()</w:t>
      </w:r>
    </w:p>
    <w:p>
      <w:pPr>
        <w:shd w:fill="F5F5F5" w:val="clear"/>
        <w:spacing w:after="40"/>
        <w:ind w:left="720"/>
      </w:pPr>
      <w:r>
        <w:rPr>
          <w:rFonts w:ascii="Courier New" w:cs="Courier New" w:eastAsia="Courier New" w:hAnsi="Courier New"/>
          <w:color w:val="2C4770"/>
          <w:sz w:val="18"/>
          <w:szCs w:val="18"/>
        </w:rPr>
        <w:t xml:space="preserve">);</w:t>
      </w:r>
    </w:p>
    <w:p>
      <w:pPr>
        <w:spacing w:after="60"/>
      </w:pPr>
      <w:r>
        <w:t xml:space="preserve"/>
      </w:r>
    </w:p>
    <w:p>
      <w:pPr>
        <w:shd w:fill="F5F5F5" w:val="clear"/>
        <w:spacing w:after="40"/>
        <w:ind w:left="720"/>
      </w:pPr>
      <w:r>
        <w:rPr>
          <w:rFonts w:ascii="Courier New" w:cs="Courier New" w:eastAsia="Courier New" w:hAnsi="Courier New"/>
          <w:color w:val="2C4770"/>
          <w:sz w:val="18"/>
          <w:szCs w:val="18"/>
        </w:rPr>
        <w:t xml:space="preserve">-- RLS: vendor sees their own links. Customer sees links to their contracts.</w:t>
      </w:r>
    </w:p>
    <w:p>
      <w:pPr>
        <w:shd w:fill="F5F5F5" w:val="clear"/>
        <w:spacing w:after="40"/>
        <w:ind w:left="720"/>
      </w:pPr>
      <w:r>
        <w:rPr>
          <w:rFonts w:ascii="Courier New" w:cs="Courier New" w:eastAsia="Courier New" w:hAnsi="Courier New"/>
          <w:color w:val="2C4770"/>
          <w:sz w:val="18"/>
          <w:szCs w:val="18"/>
        </w:rPr>
        <w:t xml:space="preserve">CREATE POLICY "vendor_link_isolation" ON vendor_customer_links</w:t>
      </w:r>
    </w:p>
    <w:p>
      <w:pPr>
        <w:shd w:fill="F5F5F5" w:val="clear"/>
        <w:spacing w:after="40"/>
        <w:ind w:left="720"/>
      </w:pPr>
      <w:r>
        <w:rPr>
          <w:rFonts w:ascii="Courier New" w:cs="Courier New" w:eastAsia="Courier New" w:hAnsi="Courier New"/>
          <w:color w:val="2C4770"/>
          <w:sz w:val="18"/>
          <w:szCs w:val="18"/>
        </w:rPr>
        <w:t xml:space="preserve">  FOR ALL USING (</w:t>
      </w:r>
    </w:p>
    <w:p>
      <w:pPr>
        <w:shd w:fill="F5F5F5" w:val="clear"/>
        <w:spacing w:after="40"/>
        <w:ind w:left="720"/>
      </w:pPr>
      <w:r>
        <w:rPr>
          <w:rFonts w:ascii="Courier New" w:cs="Courier New" w:eastAsia="Courier New" w:hAnsi="Courier New"/>
          <w:color w:val="2C4770"/>
          <w:sz w:val="18"/>
          <w:szCs w:val="18"/>
        </w:rPr>
        <w:t xml:space="preserve">    vendor_org_id = (auth.jwt() -&gt;&gt; 'org_id')::uuid</w:t>
      </w:r>
    </w:p>
    <w:p>
      <w:pPr>
        <w:shd w:fill="F5F5F5" w:val="clear"/>
        <w:spacing w:after="40"/>
        <w:ind w:left="720"/>
      </w:pPr>
      <w:r>
        <w:rPr>
          <w:rFonts w:ascii="Courier New" w:cs="Courier New" w:eastAsia="Courier New" w:hAnsi="Courier New"/>
          <w:color w:val="2C4770"/>
          <w:sz w:val="18"/>
          <w:szCs w:val="18"/>
        </w:rPr>
        <w:t xml:space="preserve">    OR customer_org_id = (auth.jwt() -&gt;&gt; 'org_id')::uuid</w:t>
      </w:r>
    </w:p>
    <w:p>
      <w:pPr>
        <w:shd w:fill="F5F5F5" w:val="clear"/>
        <w:spacing w:after="40"/>
        <w:ind w:left="720"/>
      </w:pPr>
      <w:r>
        <w:rPr>
          <w:rFonts w:ascii="Courier New" w:cs="Courier New" w:eastAsia="Courier New" w:hAnsi="Courier New"/>
          <w:color w:val="2C4770"/>
          <w:sz w:val="18"/>
          <w:szCs w:val="18"/>
        </w:rPr>
        <w:t xml:space="preserve">  );</w:t>
      </w:r>
    </w:p>
    <w:p>
      <w:pPr>
        <w:spacing w:after="60"/>
      </w:pPr>
      <w:r>
        <w:t xml:space="preserve"/>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B3. New and modified features</w:t>
      </w:r>
    </w:p>
    <w:p>
      <w:pPr>
        <w:pStyle w:val="Heading2"/>
        <w:spacing w:after="80" w:before="280"/>
      </w:pPr>
      <w:r>
        <w:rPr>
          <w:rFonts w:ascii="Arial" w:cs="Arial" w:eastAsia="Arial" w:hAnsi="Arial"/>
          <w:b/>
          <w:bCs/>
          <w:color w:val="1F4E79"/>
          <w:sz w:val="28"/>
          <w:szCs w:val="28"/>
        </w:rPr>
        <w:t xml:space="preserve">B3.1 Role-based routing on login</w:t>
      </w:r>
    </w:p>
    <w:p>
      <w:pPr>
        <w:spacing w:after="80"/>
      </w:pPr>
      <w:r>
        <w:rPr>
          <w:rFonts w:ascii="Arial" w:cs="Arial" w:eastAsia="Arial" w:hAnsi="Arial"/>
          <w:b w:val="false"/>
          <w:bCs w:val="false"/>
          <w:i w:val="false"/>
          <w:iCs w:val="false"/>
          <w:color w:val="000000"/>
          <w:sz w:val="20"/>
          <w:szCs w:val="20"/>
        </w:rPr>
        <w:t xml:space="preserve">After successful authentication, the application reads org_type and routes accordingly:</w:t>
      </w:r>
    </w:p>
    <w:p>
      <w:pPr>
        <w:shd w:fill="F5F5F5" w:val="clear"/>
        <w:spacing w:after="40"/>
        <w:ind w:left="720"/>
      </w:pPr>
      <w:r>
        <w:rPr>
          <w:rFonts w:ascii="Courier New" w:cs="Courier New" w:eastAsia="Courier New" w:hAnsi="Courier New"/>
          <w:color w:val="2C4770"/>
          <w:sz w:val="18"/>
          <w:szCs w:val="18"/>
        </w:rPr>
        <w:t xml:space="preserve">// middleware.ts — post-auth routing</w:t>
      </w:r>
    </w:p>
    <w:p>
      <w:pPr>
        <w:shd w:fill="F5F5F5" w:val="clear"/>
        <w:spacing w:after="40"/>
        <w:ind w:left="720"/>
      </w:pPr>
      <w:r>
        <w:rPr>
          <w:rFonts w:ascii="Courier New" w:cs="Courier New" w:eastAsia="Courier New" w:hAnsi="Courier New"/>
          <w:color w:val="2C4770"/>
          <w:sz w:val="18"/>
          <w:szCs w:val="18"/>
        </w:rPr>
        <w:t xml:space="preserve">const orgType = session.org?.org_type</w:t>
      </w:r>
    </w:p>
    <w:p>
      <w:pPr>
        <w:shd w:fill="F5F5F5" w:val="clear"/>
        <w:spacing w:after="40"/>
        <w:ind w:left="720"/>
      </w:pPr>
      <w:r>
        <w:rPr>
          <w:rFonts w:ascii="Courier New" w:cs="Courier New" w:eastAsia="Courier New" w:hAnsi="Courier New"/>
          <w:color w:val="2C4770"/>
          <w:sz w:val="18"/>
          <w:szCs w:val="18"/>
        </w:rPr>
        <w:t xml:space="preserve">if (orgType === 'vendor') redirect('/vendor-dashboard')</w:t>
      </w:r>
    </w:p>
    <w:p>
      <w:pPr>
        <w:shd w:fill="F5F5F5" w:val="clear"/>
        <w:spacing w:after="40"/>
        <w:ind w:left="720"/>
      </w:pPr>
      <w:r>
        <w:rPr>
          <w:rFonts w:ascii="Courier New" w:cs="Courier New" w:eastAsia="Courier New" w:hAnsi="Courier New"/>
          <w:color w:val="2C4770"/>
          <w:sz w:val="18"/>
          <w:szCs w:val="18"/>
        </w:rPr>
        <w:t xml:space="preserve">if (orgType === 'buyer') redirect('/dashboard')</w:t>
      </w:r>
    </w:p>
    <w:p>
      <w:pPr>
        <w:shd w:fill="F5F5F5" w:val="clear"/>
        <w:spacing w:after="40"/>
        <w:ind w:left="720"/>
      </w:pPr>
      <w:r>
        <w:rPr>
          <w:rFonts w:ascii="Courier New" w:cs="Courier New" w:eastAsia="Courier New" w:hAnsi="Courier New"/>
          <w:color w:val="2C4770"/>
          <w:sz w:val="18"/>
          <w:szCs w:val="18"/>
        </w:rPr>
        <w:t xml:space="preserve">if (orgType === 'both') redirect('/dashboard') // default to buyer, toggle available</w:t>
      </w:r>
    </w:p>
    <w:p>
      <w:pPr>
        <w:spacing w:after="60"/>
      </w:pPr>
      <w:r>
        <w:t xml:space="preserve"/>
      </w:r>
    </w:p>
    <w:p>
      <w:pPr>
        <w:spacing w:after="80"/>
      </w:pPr>
      <w:r>
        <w:rPr>
          <w:rFonts w:ascii="Arial" w:cs="Arial" w:eastAsia="Arial" w:hAnsi="Arial"/>
          <w:b w:val="false"/>
          <w:bCs w:val="false"/>
          <w:i w:val="false"/>
          <w:iCs w:val="false"/>
          <w:color w:val="000000"/>
          <w:sz w:val="20"/>
          <w:szCs w:val="20"/>
        </w:rPr>
        <w:t xml:space="preserve">UI language changes when org_type = "vendor":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Buyer language</w:t>
            </w:r>
          </w:p>
        </w:tc>
        <w:tc>
          <w:tcPr>
            <w:tcW w:type="dxa" w:w="451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Vendor language</w:t>
            </w:r>
          </w:p>
        </w:tc>
      </w:tr>
      <w:tr>
        <w:tc>
          <w:tcPr>
            <w:tcW w:type="dxa" w:w="4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"Vendors" (nav)</w:t>
            </w:r>
          </w:p>
        </w:tc>
        <w:tc>
          <w:tcPr>
            <w:tcW w:type="dxa" w:w="4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"Customers" (nav)</w:t>
            </w:r>
          </w:p>
        </w:tc>
      </w:tr>
      <w:tr>
        <w:tc>
          <w:tcPr>
            <w:tcW w:type="dxa" w:w="45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"SLA scorecard"</w:t>
            </w:r>
          </w:p>
        </w:tc>
        <w:tc>
          <w:tcPr>
            <w:tcW w:type="dxa" w:w="45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"Delivery scorecard"</w:t>
            </w:r>
          </w:p>
        </w:tc>
      </w:tr>
      <w:tr>
        <w:tc>
          <w:tcPr>
            <w:tcW w:type="dxa" w:w="4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"Credit entitlement: $8,500"</w:t>
            </w:r>
          </w:p>
        </w:tc>
        <w:tc>
          <w:tcPr>
            <w:tcW w:type="dxa" w:w="4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"Credit exposure: $8,500"</w:t>
            </w:r>
          </w:p>
        </w:tc>
      </w:tr>
      <w:tr>
        <w:tc>
          <w:tcPr>
            <w:tcW w:type="dxa" w:w="45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"Vendor breach — action required"</w:t>
            </w:r>
          </w:p>
        </w:tc>
        <w:tc>
          <w:tcPr>
            <w:tcW w:type="dxa" w:w="45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"Delivery shortfall — action required"</w:t>
            </w:r>
          </w:p>
        </w:tc>
      </w:tr>
      <w:tr>
        <w:tc>
          <w:tcPr>
            <w:tcW w:type="dxa" w:w="4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"Send template to vendor"</w:t>
            </w:r>
          </w:p>
        </w:tc>
        <w:tc>
          <w:tcPr>
            <w:tcW w:type="dxa" w:w="4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"Enter your actuals"</w:t>
            </w:r>
          </w:p>
        </w:tc>
      </w:tr>
      <w:tr>
        <w:tc>
          <w:tcPr>
            <w:tcW w:type="dxa" w:w="45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"Breach pathways"</w:t>
            </w:r>
          </w:p>
        </w:tc>
        <w:tc>
          <w:tcPr>
            <w:tcW w:type="dxa" w:w="45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"Response options"</w:t>
            </w:r>
          </w:p>
        </w:tc>
      </w:tr>
      <w:tr>
        <w:tc>
          <w:tcPr>
            <w:tcW w:type="dxa" w:w="4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"Hold every vendor to the letter"</w:t>
            </w:r>
          </w:p>
        </w:tc>
        <w:tc>
          <w:tcPr>
            <w:tcW w:type="dxa" w:w="4513"/>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"Deliver what you promised"</w:t>
            </w:r>
          </w:p>
        </w:tc>
      </w:tr>
    </w:tbl>
    <w:p>
      <w:pPr>
        <w:spacing w:after="60"/>
      </w:pPr>
      <w:r>
        <w:t xml:space="preserve"/>
      </w:r>
    </w:p>
    <w:p>
      <w:pPr>
        <w:pStyle w:val="Heading2"/>
        <w:spacing w:after="80" w:before="280"/>
      </w:pPr>
      <w:r>
        <w:rPr>
          <w:rFonts w:ascii="Arial" w:cs="Arial" w:eastAsia="Arial" w:hAnsi="Arial"/>
          <w:b/>
          <w:bCs/>
          <w:color w:val="1F4E79"/>
          <w:sz w:val="28"/>
          <w:szCs w:val="28"/>
        </w:rPr>
        <w:t xml:space="preserve">B3.2 Vendor dashboard (new route: /vendor-dashboard)</w:t>
      </w:r>
    </w:p>
    <w:p>
      <w:pPr>
        <w:spacing w:after="80"/>
      </w:pPr>
      <w:r>
        <w:rPr>
          <w:rFonts w:ascii="Arial" w:cs="Arial" w:eastAsia="Arial" w:hAnsi="Arial"/>
          <w:b w:val="false"/>
          <w:bCs w:val="false"/>
          <w:i w:val="false"/>
          <w:iCs w:val="false"/>
          <w:color w:val="000000"/>
          <w:sz w:val="20"/>
          <w:szCs w:val="20"/>
        </w:rPr>
        <w:t xml:space="preserve">The vendor's equivalent of the buyer portfolio dashboard. Metrics row:</w:t>
      </w:r>
    </w:p>
    <w:p>
      <w:pPr>
        <w:pStyle w:val="ListParagraph"/>
        <w:numPr>
          <w:ilvl w:val="0"/>
          <w:numId w:val="2"/>
        </w:numPr>
        <w:spacing w:after="60"/>
      </w:pPr>
      <w:r>
        <w:rPr>
          <w:rFonts w:ascii="Arial" w:cs="Arial" w:eastAsia="Arial" w:hAnsi="Arial"/>
          <w:sz w:val="20"/>
          <w:szCs w:val="20"/>
        </w:rPr>
        <w:t xml:space="preserve">Customers monitored — total active customer contracts</w:t>
      </w:r>
    </w:p>
    <w:p>
      <w:pPr>
        <w:pStyle w:val="ListParagraph"/>
        <w:numPr>
          <w:ilvl w:val="0"/>
          <w:numId w:val="2"/>
        </w:numPr>
        <w:spacing w:after="60"/>
      </w:pPr>
      <w:r>
        <w:rPr>
          <w:rFonts w:ascii="Arial" w:cs="Arial" w:eastAsia="Arial" w:hAnsi="Arial"/>
          <w:sz w:val="20"/>
          <w:szCs w:val="20"/>
        </w:rPr>
        <w:t xml:space="preserve">Portfolio delivery health — weighted average health score across all customers</w:t>
      </w:r>
    </w:p>
    <w:p>
      <w:pPr>
        <w:pStyle w:val="ListParagraph"/>
        <w:numPr>
          <w:ilvl w:val="0"/>
          <w:numId w:val="2"/>
        </w:numPr>
        <w:spacing w:after="60"/>
      </w:pPr>
      <w:r>
        <w:rPr>
          <w:rFonts w:ascii="Arial" w:cs="Arial" w:eastAsia="Arial" w:hAnsi="Arial"/>
          <w:sz w:val="20"/>
          <w:szCs w:val="20"/>
        </w:rPr>
        <w:t xml:space="preserve">Active shortfalls — KPIs currently in breach across all customers</w:t>
      </w:r>
    </w:p>
    <w:p>
      <w:pPr>
        <w:pStyle w:val="ListParagraph"/>
        <w:numPr>
          <w:ilvl w:val="0"/>
          <w:numId w:val="2"/>
        </w:numPr>
        <w:spacing w:after="60"/>
      </w:pPr>
      <w:r>
        <w:rPr>
          <w:rFonts w:ascii="Arial" w:cs="Arial" w:eastAsia="Arial" w:hAnsi="Arial"/>
          <w:sz w:val="20"/>
          <w:szCs w:val="20"/>
        </w:rPr>
        <w:t xml:space="preserve">Total credit exposure — sum of all calculated credits owed across portfolio</w:t>
      </w:r>
    </w:p>
    <w:p>
      <w:pPr>
        <w:pStyle w:val="ListParagraph"/>
        <w:numPr>
          <w:ilvl w:val="0"/>
          <w:numId w:val="2"/>
        </w:numPr>
        <w:spacing w:after="60"/>
      </w:pPr>
      <w:r>
        <w:rPr>
          <w:rFonts w:ascii="Arial" w:cs="Arial" w:eastAsia="Arial" w:hAnsi="Arial"/>
          <w:sz w:val="20"/>
          <w:szCs w:val="20"/>
        </w:rPr>
        <w:t xml:space="preserve">Renewals in 90 days — contracts approaching renewal with notice period countdown</w:t>
      </w:r>
    </w:p>
    <w:p>
      <w:pPr>
        <w:spacing w:after="60"/>
      </w:pPr>
      <w:r>
        <w:t xml:space="preserve"/>
      </w:r>
    </w:p>
    <w:p>
      <w:pPr>
        <w:spacing w:after="80"/>
      </w:pPr>
      <w:r>
        <w:rPr>
          <w:rFonts w:ascii="Arial" w:cs="Arial" w:eastAsia="Arial" w:hAnsi="Arial"/>
          <w:b w:val="false"/>
          <w:bCs w:val="false"/>
          <w:i w:val="false"/>
          <w:iCs w:val="false"/>
          <w:color w:val="000000"/>
          <w:sz w:val="20"/>
          <w:szCs w:val="20"/>
        </w:rPr>
        <w:t xml:space="preserve">Customer health table (equivalent of buyer's vendor health table):</w:t>
      </w:r>
    </w:p>
    <w:p>
      <w:pPr>
        <w:pStyle w:val="ListParagraph"/>
        <w:numPr>
          <w:ilvl w:val="0"/>
          <w:numId w:val="2"/>
        </w:numPr>
        <w:spacing w:after="60"/>
      </w:pPr>
      <w:r>
        <w:rPr>
          <w:rFonts w:ascii="Arial" w:cs="Arial" w:eastAsia="Arial" w:hAnsi="Arial"/>
          <w:sz w:val="20"/>
          <w:szCs w:val="20"/>
        </w:rPr>
        <w:t xml:space="preserve">Customer name — anonymised to "Customer A, B, C" in any exported benchmarks</w:t>
      </w:r>
    </w:p>
    <w:p>
      <w:pPr>
        <w:pStyle w:val="ListParagraph"/>
        <w:numPr>
          <w:ilvl w:val="0"/>
          <w:numId w:val="2"/>
        </w:numPr>
        <w:spacing w:after="60"/>
      </w:pPr>
      <w:r>
        <w:rPr>
          <w:rFonts w:ascii="Arial" w:cs="Arial" w:eastAsia="Arial" w:hAnsi="Arial"/>
          <w:sz w:val="20"/>
          <w:szCs w:val="20"/>
        </w:rPr>
        <w:t xml:space="preserve">Contract name and value</w:t>
      </w:r>
    </w:p>
    <w:p>
      <w:pPr>
        <w:pStyle w:val="ListParagraph"/>
        <w:numPr>
          <w:ilvl w:val="0"/>
          <w:numId w:val="2"/>
        </w:numPr>
        <w:spacing w:after="60"/>
      </w:pPr>
      <w:r>
        <w:rPr>
          <w:rFonts w:ascii="Arial" w:cs="Arial" w:eastAsia="Arial" w:hAnsi="Arial"/>
          <w:sz w:val="20"/>
          <w:szCs w:val="20"/>
        </w:rPr>
        <w:t xml:space="preserve">Delivery health score (0-100)</w:t>
      </w:r>
    </w:p>
    <w:p>
      <w:pPr>
        <w:pStyle w:val="ListParagraph"/>
        <w:numPr>
          <w:ilvl w:val="0"/>
          <w:numId w:val="2"/>
        </w:numPr>
        <w:spacing w:after="60"/>
      </w:pPr>
      <w:r>
        <w:rPr>
          <w:rFonts w:ascii="Arial" w:cs="Arial" w:eastAsia="Arial" w:hAnsi="Arial"/>
          <w:sz w:val="20"/>
          <w:szCs w:val="20"/>
        </w:rPr>
        <w:t xml:space="preserve">Active shortfalls count</w:t>
      </w:r>
    </w:p>
    <w:p>
      <w:pPr>
        <w:pStyle w:val="ListParagraph"/>
        <w:numPr>
          <w:ilvl w:val="0"/>
          <w:numId w:val="2"/>
        </w:numPr>
        <w:spacing w:after="60"/>
      </w:pPr>
      <w:r>
        <w:rPr>
          <w:rFonts w:ascii="Arial" w:cs="Arial" w:eastAsia="Arial" w:hAnsi="Arial"/>
          <w:sz w:val="20"/>
          <w:szCs w:val="20"/>
        </w:rPr>
        <w:t xml:space="preserve">Credit exposure (current period)</w:t>
      </w:r>
    </w:p>
    <w:p>
      <w:pPr>
        <w:pStyle w:val="ListParagraph"/>
        <w:numPr>
          <w:ilvl w:val="0"/>
          <w:numId w:val="2"/>
        </w:numPr>
        <w:spacing w:after="60"/>
      </w:pPr>
      <w:r>
        <w:rPr>
          <w:rFonts w:ascii="Arial" w:cs="Arial" w:eastAsia="Arial" w:hAnsi="Arial"/>
          <w:sz w:val="20"/>
          <w:szCs w:val="20"/>
        </w:rPr>
        <w:t xml:space="preserve">Renewal date and days to notice deadline</w:t>
      </w:r>
    </w:p>
    <w:p>
      <w:pPr>
        <w:pStyle w:val="ListParagraph"/>
        <w:numPr>
          <w:ilvl w:val="0"/>
          <w:numId w:val="2"/>
        </w:numPr>
        <w:spacing w:after="60"/>
      </w:pPr>
      <w:r>
        <w:rPr>
          <w:rFonts w:ascii="Arial" w:cs="Arial" w:eastAsia="Arial" w:hAnsi="Arial"/>
          <w:sz w:val="20"/>
          <w:szCs w:val="20"/>
        </w:rPr>
        <w:t xml:space="preserve">"View details" link to that customer's scorecard</w:t>
      </w:r>
    </w:p>
    <w:p>
      <w:pPr>
        <w:spacing w:after="60"/>
      </w:pPr>
      <w:r>
        <w:t xml:space="preserve"/>
      </w:r>
    </w:p>
    <w:p>
      <w:pPr>
        <w:pStyle w:val="Heading2"/>
        <w:spacing w:after="80" w:before="280"/>
      </w:pPr>
      <w:r>
        <w:rPr>
          <w:rFonts w:ascii="Arial" w:cs="Arial" w:eastAsia="Arial" w:hAnsi="Arial"/>
          <w:b/>
          <w:bCs/>
          <w:color w:val="1F4E79"/>
          <w:sz w:val="28"/>
          <w:szCs w:val="28"/>
        </w:rPr>
        <w:t xml:space="preserve">B3.3 Vendor-side breach response paths (new section 4.5B)</w:t>
      </w:r>
    </w:p>
    <w:p>
      <w:pPr>
        <w:spacing w:after="80"/>
      </w:pPr>
      <w:r>
        <w:rPr>
          <w:rFonts w:ascii="Arial" w:cs="Arial" w:eastAsia="Arial" w:hAnsi="Arial"/>
          <w:b w:val="false"/>
          <w:bCs w:val="false"/>
          <w:i w:val="false"/>
          <w:iCs w:val="false"/>
          <w:color w:val="000000"/>
          <w:sz w:val="20"/>
          <w:szCs w:val="20"/>
        </w:rPr>
        <w:t xml:space="preserve">When a vendor views a KPI breach in their own delivery scorecard, they see response options rather than enforcement options. The contractual path engine uses the same underlying contract extraction but frames options from the vendor's legal position.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Response path</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Available when</w:t>
            </w:r>
          </w:p>
        </w:tc>
        <w:tc>
          <w:tcPr>
            <w:tcW w:type="dxa" w:w="42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AI generates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V1 — Accept and cure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Always on breach detection</w:t>
            </w:r>
          </w:p>
        </w:tc>
        <w:tc>
          <w:tcPr>
            <w:tcW w:type="dxa" w:w="4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Cure plan template, remediation actions log, cure deadline tracker, update notification to customer.</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V2 — Dispute measurement</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Vendor believes measurement methodology is incorrect</w:t>
            </w:r>
          </w:p>
        </w:tc>
        <w:tc>
          <w:tcPr>
            <w:tcW w:type="dxa" w:w="42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Formal measurement dispute notice citing specific clause, alternative calculation methodology, request for joint review.</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V3 — Force majeure notice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Breach caused by qualifying external event</w:t>
            </w:r>
          </w:p>
        </w:tc>
        <w:tc>
          <w:tcPr>
            <w:tcW w:type="dxa" w:w="4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Force majeure notification letter, event description template, contractual window check (most contracts require notice within 5-10 days of event).</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V4 — Credit negotiation</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Credits are owed but vendor has mitigating context</w:t>
            </w:r>
          </w:p>
        </w:tc>
        <w:tc>
          <w:tcPr>
            <w:tcW w:type="dxa" w:w="42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Credit negotiation position letter proposing goodwill amount with supporting rationale. Preserves relationship while acknowledging shortfall.</w:t>
            </w:r>
          </w:p>
        </w:tc>
      </w:tr>
    </w:tbl>
    <w:p>
      <w:pPr>
        <w:spacing w:after="60"/>
      </w:pPr>
      <w:r>
        <w:t xml:space="preserve"/>
      </w:r>
    </w:p>
    <w:p>
      <w:pPr>
        <w:pStyle w:val="Heading3"/>
        <w:spacing w:after="60" w:before="200"/>
      </w:pPr>
      <w:r>
        <w:rPr>
          <w:rFonts w:ascii="Arial" w:cs="Arial" w:eastAsia="Arial" w:hAnsi="Arial"/>
          <w:b/>
          <w:bCs/>
          <w:color w:val="2E75B6"/>
          <w:sz w:val="24"/>
          <w:szCs w:val="24"/>
        </w:rPr>
        <w:t xml:space="preserve">B3.3.1 AI prompt adjustment for vendor-side breach paths</w:t>
      </w:r>
    </w:p>
    <w:p>
      <w:pPr>
        <w:spacing w:after="80"/>
      </w:pPr>
      <w:r>
        <w:rPr>
          <w:rFonts w:ascii="Arial" w:cs="Arial" w:eastAsia="Arial" w:hAnsi="Arial"/>
          <w:b w:val="false"/>
          <w:bCs w:val="false"/>
          <w:i w:val="false"/>
          <w:iCs w:val="false"/>
          <w:color w:val="000000"/>
          <w:sz w:val="20"/>
          <w:szCs w:val="20"/>
        </w:rPr>
        <w:t xml:space="preserve">The AI contract Q&amp;A system prompt receives a perspective parameter that shifts the framing:</w:t>
      </w:r>
    </w:p>
    <w:p>
      <w:pPr>
        <w:shd w:fill="F5F5F5" w:val="clear"/>
        <w:spacing w:after="40"/>
        <w:ind w:left="720"/>
      </w:pPr>
      <w:r>
        <w:rPr>
          <w:rFonts w:ascii="Courier New" w:cs="Courier New" w:eastAsia="Courier New" w:hAnsi="Courier New"/>
          <w:color w:val="2C4770"/>
          <w:sz w:val="18"/>
          <w:szCs w:val="18"/>
        </w:rPr>
        <w:t xml:space="preserve">// packages/ai/prompts/breach-paths.ts</w:t>
      </w:r>
    </w:p>
    <w:p>
      <w:pPr>
        <w:shd w:fill="F5F5F5" w:val="clear"/>
        <w:spacing w:after="40"/>
        <w:ind w:left="720"/>
      </w:pPr>
      <w:r>
        <w:rPr>
          <w:rFonts w:ascii="Courier New" w:cs="Courier New" w:eastAsia="Courier New" w:hAnsi="Courier New"/>
          <w:color w:val="2C4770"/>
          <w:sz w:val="18"/>
          <w:szCs w:val="18"/>
        </w:rPr>
        <w:t xml:space="preserve">const systemPrompt = perspective === 'vendor'</w:t>
      </w:r>
    </w:p>
    <w:p>
      <w:pPr>
        <w:shd w:fill="F5F5F5" w:val="clear"/>
        <w:spacing w:after="40"/>
        <w:ind w:left="720"/>
      </w:pPr>
      <w:r>
        <w:rPr>
          <w:rFonts w:ascii="Courier New" w:cs="Courier New" w:eastAsia="Courier New" w:hAnsi="Courier New"/>
          <w:color w:val="2C4770"/>
          <w:sz w:val="18"/>
          <w:szCs w:val="18"/>
        </w:rPr>
        <w:t xml:space="preserve">  ? `You are a contract advisor helping a managed service provider understand</w:t>
      </w:r>
    </w:p>
    <w:p>
      <w:pPr>
        <w:shd w:fill="F5F5F5" w:val="clear"/>
        <w:spacing w:after="40"/>
        <w:ind w:left="720"/>
      </w:pPr>
      <w:r>
        <w:rPr>
          <w:rFonts w:ascii="Courier New" w:cs="Courier New" w:eastAsia="Courier New" w:hAnsi="Courier New"/>
          <w:color w:val="2C4770"/>
          <w:sz w:val="18"/>
          <w:szCs w:val="18"/>
        </w:rPr>
        <w:t xml:space="preserve">     their obligations and available responses when they have missed an SLA.</w:t>
      </w:r>
    </w:p>
    <w:p>
      <w:pPr>
        <w:shd w:fill="F5F5F5" w:val="clear"/>
        <w:spacing w:after="40"/>
        <w:ind w:left="720"/>
      </w:pPr>
      <w:r>
        <w:rPr>
          <w:rFonts w:ascii="Courier New" w:cs="Courier New" w:eastAsia="Courier New" w:hAnsi="Courier New"/>
          <w:color w:val="2C4770"/>
          <w:sz w:val="18"/>
          <w:szCs w:val="18"/>
        </w:rPr>
        <w:t xml:space="preserve">     Focus on: cure obligations, notice requirements for force majeure,</w:t>
      </w:r>
    </w:p>
    <w:p>
      <w:pPr>
        <w:shd w:fill="F5F5F5" w:val="clear"/>
        <w:spacing w:after="40"/>
        <w:ind w:left="720"/>
      </w:pPr>
      <w:r>
        <w:rPr>
          <w:rFonts w:ascii="Courier New" w:cs="Courier New" w:eastAsia="Courier New" w:hAnsi="Courier New"/>
          <w:color w:val="2C4770"/>
          <w:sz w:val="18"/>
          <w:szCs w:val="18"/>
        </w:rPr>
        <w:t xml:space="preserve">     measurement dispute rights, and credit negotiation options.</w:t>
      </w:r>
    </w:p>
    <w:p>
      <w:pPr>
        <w:shd w:fill="F5F5F5" w:val="clear"/>
        <w:spacing w:after="40"/>
        <w:ind w:left="720"/>
      </w:pPr>
      <w:r>
        <w:rPr>
          <w:rFonts w:ascii="Courier New" w:cs="Courier New" w:eastAsia="Courier New" w:hAnsi="Courier New"/>
          <w:color w:val="2C4770"/>
          <w:sz w:val="18"/>
          <w:szCs w:val="18"/>
        </w:rPr>
        <w:t xml:space="preserve">     Always cite the specific clause. Be honest about the vendor's exposure.`</w:t>
      </w:r>
    </w:p>
    <w:p>
      <w:pPr>
        <w:shd w:fill="F5F5F5" w:val="clear"/>
        <w:spacing w:after="40"/>
        <w:ind w:left="720"/>
      </w:pPr>
      <w:r>
        <w:rPr>
          <w:rFonts w:ascii="Courier New" w:cs="Courier New" w:eastAsia="Courier New" w:hAnsi="Courier New"/>
          <w:color w:val="2C4770"/>
          <w:sz w:val="18"/>
          <w:szCs w:val="18"/>
        </w:rPr>
        <w:t xml:space="preserve">  : `You are a contract analyst helping an enterprise buyer understand</w:t>
      </w:r>
    </w:p>
    <w:p>
      <w:pPr>
        <w:shd w:fill="F5F5F5" w:val="clear"/>
        <w:spacing w:after="40"/>
        <w:ind w:left="720"/>
      </w:pPr>
      <w:r>
        <w:rPr>
          <w:rFonts w:ascii="Courier New" w:cs="Courier New" w:eastAsia="Courier New" w:hAnsi="Courier New"/>
          <w:color w:val="2C4770"/>
          <w:sz w:val="18"/>
          <w:szCs w:val="18"/>
        </w:rPr>
        <w:t xml:space="preserve">     their rights when a vendor has missed an SLA.</w:t>
      </w:r>
    </w:p>
    <w:p>
      <w:pPr>
        <w:shd w:fill="F5F5F5" w:val="clear"/>
        <w:spacing w:after="40"/>
        <w:ind w:left="720"/>
      </w:pPr>
      <w:r>
        <w:rPr>
          <w:rFonts w:ascii="Courier New" w:cs="Courier New" w:eastAsia="Courier New" w:hAnsi="Courier New"/>
          <w:color w:val="2C4770"/>
          <w:sz w:val="18"/>
          <w:szCs w:val="18"/>
        </w:rPr>
        <w:t xml:space="preserve">     Focus on: credit entitlement, performance improvement notices,</w:t>
      </w:r>
    </w:p>
    <w:p>
      <w:pPr>
        <w:shd w:fill="F5F5F5" w:val="clear"/>
        <w:spacing w:after="40"/>
        <w:ind w:left="720"/>
      </w:pPr>
      <w:r>
        <w:rPr>
          <w:rFonts w:ascii="Courier New" w:cs="Courier New" w:eastAsia="Courier New" w:hAnsi="Courier New"/>
          <w:color w:val="2C4770"/>
          <w:sz w:val="18"/>
          <w:szCs w:val="18"/>
        </w:rPr>
        <w:t xml:space="preserve">     termination rights, and escalation procedures.`</w:t>
      </w:r>
    </w:p>
    <w:p>
      <w:pPr>
        <w:spacing w:after="60"/>
      </w:pPr>
      <w:r>
        <w:t xml:space="preserve"/>
      </w:r>
    </w:p>
    <w:p>
      <w:pPr>
        <w:pStyle w:val="Heading2"/>
        <w:spacing w:after="80" w:before="280"/>
      </w:pPr>
      <w:r>
        <w:rPr>
          <w:rFonts w:ascii="Arial" w:cs="Arial" w:eastAsia="Arial" w:hAnsi="Arial"/>
          <w:b/>
          <w:bCs/>
          <w:color w:val="1F4E79"/>
          <w:sz w:val="28"/>
          <w:szCs w:val="28"/>
        </w:rPr>
        <w:t xml:space="preserve">B3.4 Customer performance report (new report type)</w:t>
      </w:r>
    </w:p>
    <w:p>
      <w:pPr>
        <w:spacing w:after="80"/>
      </w:pPr>
      <w:r>
        <w:rPr>
          <w:rFonts w:ascii="Arial" w:cs="Arial" w:eastAsia="Arial" w:hAnsi="Arial"/>
          <w:b w:val="false"/>
          <w:bCs w:val="false"/>
          <w:i w:val="false"/>
          <w:iCs w:val="false"/>
          <w:color w:val="000000"/>
          <w:sz w:val="20"/>
          <w:szCs w:val="20"/>
        </w:rPr>
        <w:t xml:space="preserve">The vendor generates a monthly performance report to send to their customer. This replaces the manual Word/Excel reports vendors currently produce.</w:t>
      </w:r>
    </w:p>
    <w:p>
      <w:pPr>
        <w:spacing w:after="60"/>
      </w:pPr>
      <w:r>
        <w:t xml:space="preserve"/>
      </w:r>
    </w:p>
    <w:p>
      <w:pPr>
        <w:pStyle w:val="ListParagraph"/>
        <w:numPr>
          <w:ilvl w:val="0"/>
          <w:numId w:val="2"/>
        </w:numPr>
        <w:spacing w:after="60"/>
      </w:pPr>
      <w:r>
        <w:rPr>
          <w:rFonts w:ascii="Arial" w:cs="Arial" w:eastAsia="Arial" w:hAnsi="Arial"/>
          <w:sz w:val="20"/>
          <w:szCs w:val="20"/>
        </w:rPr>
        <w:t xml:space="preserve">Header: Vendor name, customer name, reporting period, contract reference</w:t>
      </w:r>
    </w:p>
    <w:p>
      <w:pPr>
        <w:pStyle w:val="ListParagraph"/>
        <w:numPr>
          <w:ilvl w:val="0"/>
          <w:numId w:val="2"/>
        </w:numPr>
        <w:spacing w:after="60"/>
      </w:pPr>
      <w:r>
        <w:rPr>
          <w:rFonts w:ascii="Arial" w:cs="Arial" w:eastAsia="Arial" w:hAnsi="Arial"/>
          <w:sz w:val="20"/>
          <w:szCs w:val="20"/>
        </w:rPr>
        <w:t xml:space="preserve">Executive summary: overall delivery health, KPIs met, shortfalls, trend vs prior period</w:t>
      </w:r>
    </w:p>
    <w:p>
      <w:pPr>
        <w:pStyle w:val="ListParagraph"/>
        <w:numPr>
          <w:ilvl w:val="0"/>
          <w:numId w:val="2"/>
        </w:numPr>
        <w:spacing w:after="60"/>
      </w:pPr>
      <w:r>
        <w:rPr>
          <w:rFonts w:ascii="Arial" w:cs="Arial" w:eastAsia="Arial" w:hAnsi="Arial"/>
          <w:sz w:val="20"/>
          <w:szCs w:val="20"/>
        </w:rPr>
        <w:t xml:space="preserve">KPI detail: each metric with target, actual, status, and a vendor-authored narrative explanation field</w:t>
      </w:r>
    </w:p>
    <w:p>
      <w:pPr>
        <w:pStyle w:val="ListParagraph"/>
        <w:numPr>
          <w:ilvl w:val="0"/>
          <w:numId w:val="2"/>
        </w:numPr>
        <w:spacing w:after="60"/>
      </w:pPr>
      <w:r>
        <w:rPr>
          <w:rFonts w:ascii="Arial" w:cs="Arial" w:eastAsia="Arial" w:hAnsi="Arial"/>
          <w:sz w:val="20"/>
          <w:szCs w:val="20"/>
        </w:rPr>
        <w:t xml:space="preserve">Incident log: all P1/P2 incidents during the period with root cause and resolution</w:t>
      </w:r>
    </w:p>
    <w:p>
      <w:pPr>
        <w:pStyle w:val="ListParagraph"/>
        <w:numPr>
          <w:ilvl w:val="0"/>
          <w:numId w:val="2"/>
        </w:numPr>
        <w:spacing w:after="60"/>
      </w:pPr>
      <w:r>
        <w:rPr>
          <w:rFonts w:ascii="Arial" w:cs="Arial" w:eastAsia="Arial" w:hAnsi="Arial"/>
          <w:sz w:val="20"/>
          <w:szCs w:val="20"/>
        </w:rPr>
        <w:t xml:space="preserve">Shortfall section (if applicable): credit applicable, remediation plan reference, cure timeline</w:t>
      </w:r>
    </w:p>
    <w:p>
      <w:pPr>
        <w:pStyle w:val="ListParagraph"/>
        <w:numPr>
          <w:ilvl w:val="0"/>
          <w:numId w:val="2"/>
        </w:numPr>
        <w:spacing w:after="60"/>
      </w:pPr>
      <w:r>
        <w:rPr>
          <w:rFonts w:ascii="Arial" w:cs="Arial" w:eastAsia="Arial" w:hAnsi="Arial"/>
          <w:sz w:val="20"/>
          <w:szCs w:val="20"/>
        </w:rPr>
        <w:t xml:space="preserve">Next period outlook: any planned maintenance windows, known risks, improvement commitments</w:t>
      </w:r>
    </w:p>
    <w:p>
      <w:pPr>
        <w:spacing w:after="60"/>
      </w:pPr>
      <w:r>
        <w:t xml:space="preserve"/>
      </w:r>
    </w:p>
    <w:p>
      <w:pPr>
        <w:spacing w:after="80"/>
      </w:pPr>
      <w:r>
        <w:rPr>
          <w:rFonts w:ascii="Arial" w:cs="Arial" w:eastAsia="Arial" w:hAnsi="Arial"/>
          <w:b w:val="false"/>
          <w:bCs w:val="false"/>
          <w:i w:val="false"/>
          <w:iCs w:val="false"/>
          <w:color w:val="000000"/>
          <w:sz w:val="20"/>
          <w:szCs w:val="20"/>
        </w:rPr>
        <w:t xml:space="preserve">Key difference from buyer report: where buyer reports say "credit entitlement: $8,500", vendor reports say "service credit applicable: $8,500 — see remediation plan attached". Same calculation, professional framing that acknowledges the shortfall and demonstrates accountability.</w:t>
      </w:r>
    </w:p>
    <w:p>
      <w:pPr>
        <w:spacing w:after="60"/>
      </w:pPr>
      <w:r>
        <w:t xml:space="preserve"/>
      </w:r>
    </w:p>
    <w:p>
      <w:pPr>
        <w:pStyle w:val="Heading2"/>
        <w:spacing w:after="80" w:before="280"/>
      </w:pPr>
      <w:r>
        <w:rPr>
          <w:rFonts w:ascii="Arial" w:cs="Arial" w:eastAsia="Arial" w:hAnsi="Arial"/>
          <w:b/>
          <w:bCs/>
          <w:color w:val="1F4E79"/>
          <w:sz w:val="28"/>
          <w:szCs w:val="28"/>
        </w:rPr>
        <w:t xml:space="preserve">B3.5 Two-sided submission (linked accounts)</w:t>
      </w:r>
    </w:p>
    <w:p>
      <w:pPr>
        <w:pStyle w:val="Heading3"/>
        <w:spacing w:after="60" w:before="200"/>
      </w:pPr>
      <w:r>
        <w:rPr>
          <w:rFonts w:ascii="Arial" w:cs="Arial" w:eastAsia="Arial" w:hAnsi="Arial"/>
          <w:b/>
          <w:bCs/>
          <w:color w:val="2E75B6"/>
          <w:sz w:val="24"/>
          <w:szCs w:val="24"/>
        </w:rPr>
        <w:t xml:space="preserve">B3.5.1 Link initiation flow</w:t>
      </w:r>
    </w:p>
    <w:p>
      <w:pPr>
        <w:pStyle w:val="ListParagraph"/>
        <w:numPr>
          <w:ilvl w:val="0"/>
          <w:numId w:val="3"/>
        </w:numPr>
        <w:spacing w:after="60"/>
      </w:pPr>
      <w:r>
        <w:rPr>
          <w:rFonts w:ascii="Arial" w:cs="Arial" w:eastAsia="Arial" w:hAnsi="Arial"/>
          <w:sz w:val="20"/>
          <w:szCs w:val="20"/>
        </w:rPr>
        <w:t xml:space="preserve">Buyer navigates to Vendor &gt; [Vendor Name] &gt; Settings &gt; "Invite vendor to connect"</w:t>
      </w:r>
    </w:p>
    <w:p>
      <w:pPr>
        <w:pStyle w:val="ListParagraph"/>
        <w:numPr>
          <w:ilvl w:val="0"/>
          <w:numId w:val="3"/>
        </w:numPr>
        <w:spacing w:after="60"/>
      </w:pPr>
      <w:r>
        <w:rPr>
          <w:rFonts w:ascii="Arial" w:cs="Arial" w:eastAsia="Arial" w:hAnsi="Arial"/>
          <w:sz w:val="20"/>
          <w:szCs w:val="20"/>
        </w:rPr>
        <w:t xml:space="preserve">Platform sends email to vendor contact: "Acme Corp has invited you to connect your Contractly account to your contract with them"</w:t>
      </w:r>
    </w:p>
    <w:p>
      <w:pPr>
        <w:pStyle w:val="ListParagraph"/>
        <w:numPr>
          <w:ilvl w:val="0"/>
          <w:numId w:val="3"/>
        </w:numPr>
        <w:spacing w:after="60"/>
      </w:pPr>
      <w:r>
        <w:rPr>
          <w:rFonts w:ascii="Arial" w:cs="Arial" w:eastAsia="Arial" w:hAnsi="Arial"/>
          <w:sz w:val="20"/>
          <w:szCs w:val="20"/>
        </w:rPr>
        <w:t xml:space="preserve">Vendor accepts on their Contractly account — selects the matching contract from their portfolio</w:t>
      </w:r>
    </w:p>
    <w:p>
      <w:pPr>
        <w:pStyle w:val="ListParagraph"/>
        <w:numPr>
          <w:ilvl w:val="0"/>
          <w:numId w:val="3"/>
        </w:numPr>
        <w:spacing w:after="60"/>
      </w:pPr>
      <w:r>
        <w:rPr>
          <w:rFonts w:ascii="Arial" w:cs="Arial" w:eastAsia="Arial" w:hAnsi="Arial"/>
          <w:sz w:val="20"/>
          <w:szCs w:val="20"/>
        </w:rPr>
        <w:t xml:space="preserve">vendor_customer_links record created with status = "active"</w:t>
      </w:r>
    </w:p>
    <w:p>
      <w:pPr>
        <w:pStyle w:val="ListParagraph"/>
        <w:numPr>
          <w:ilvl w:val="0"/>
          <w:numId w:val="3"/>
        </w:numPr>
        <w:spacing w:after="60"/>
      </w:pPr>
      <w:r>
        <w:rPr>
          <w:rFonts w:ascii="Arial" w:cs="Arial" w:eastAsia="Arial" w:hAnsi="Arial"/>
          <w:sz w:val="20"/>
          <w:szCs w:val="20"/>
        </w:rPr>
        <w:t xml:space="preserve">Both organisations now see a "Connected" badge on the relevant contract</w:t>
      </w:r>
    </w:p>
    <w:p>
      <w:pPr>
        <w:spacing w:after="60"/>
      </w:pPr>
      <w:r>
        <w:t xml:space="preserve"/>
      </w:r>
    </w:p>
    <w:p>
      <w:pPr>
        <w:pStyle w:val="Heading3"/>
        <w:spacing w:after="60" w:before="200"/>
      </w:pPr>
      <w:r>
        <w:rPr>
          <w:rFonts w:ascii="Arial" w:cs="Arial" w:eastAsia="Arial" w:hAnsi="Arial"/>
          <w:b/>
          <w:bCs/>
          <w:color w:val="2E75B6"/>
          <w:sz w:val="24"/>
          <w:szCs w:val="24"/>
        </w:rPr>
        <w:t xml:space="preserve">B3.5.2 Linked submission flow</w:t>
      </w:r>
    </w:p>
    <w:p>
      <w:pPr>
        <w:pStyle w:val="ListParagraph"/>
        <w:numPr>
          <w:ilvl w:val="0"/>
          <w:numId w:val="3"/>
        </w:numPr>
        <w:spacing w:after="60"/>
      </w:pPr>
      <w:r>
        <w:rPr>
          <w:rFonts w:ascii="Arial" w:cs="Arial" w:eastAsia="Arial" w:hAnsi="Arial"/>
          <w:sz w:val="20"/>
          <w:szCs w:val="20"/>
        </w:rPr>
        <w:t xml:space="preserve">At the start of each reporting period, the platform checks vendor_customer_links for active connections</w:t>
      </w:r>
    </w:p>
    <w:p>
      <w:pPr>
        <w:pStyle w:val="ListParagraph"/>
        <w:numPr>
          <w:ilvl w:val="0"/>
          <w:numId w:val="3"/>
        </w:numPr>
        <w:spacing w:after="60"/>
      </w:pPr>
      <w:r>
        <w:rPr>
          <w:rFonts w:ascii="Arial" w:cs="Arial" w:eastAsia="Arial" w:hAnsi="Arial"/>
          <w:sz w:val="20"/>
          <w:szCs w:val="20"/>
        </w:rPr>
        <w:t xml:space="preserve">Instead of sending an Excel template to the vendor, the platform sends a notification: "Your submission for [Customer Name] is due by [date] — submit via your Contractly dashboard"</w:t>
      </w:r>
    </w:p>
    <w:p>
      <w:pPr>
        <w:pStyle w:val="ListParagraph"/>
        <w:numPr>
          <w:ilvl w:val="0"/>
          <w:numId w:val="3"/>
        </w:numPr>
        <w:spacing w:after="60"/>
      </w:pPr>
      <w:r>
        <w:rPr>
          <w:rFonts w:ascii="Arial" w:cs="Arial" w:eastAsia="Arial" w:hAnsi="Arial"/>
          <w:sz w:val="20"/>
          <w:szCs w:val="20"/>
        </w:rPr>
        <w:t xml:space="preserve">Vendor submits actuals via their own Contractly platform as they normally would for their own self-monitoring</w:t>
      </w:r>
    </w:p>
    <w:p>
      <w:pPr>
        <w:pStyle w:val="ListParagraph"/>
        <w:numPr>
          <w:ilvl w:val="0"/>
          <w:numId w:val="3"/>
        </w:numPr>
        <w:spacing w:after="60"/>
      </w:pPr>
      <w:r>
        <w:rPr>
          <w:rFonts w:ascii="Arial" w:cs="Arial" w:eastAsia="Arial" w:hAnsi="Arial"/>
          <w:sz w:val="20"/>
          <w:szCs w:val="20"/>
        </w:rPr>
        <w:t xml:space="preserve">On submission, a cross-account sync writes the actuals to the buyer's submission_period record</w:t>
      </w:r>
    </w:p>
    <w:p>
      <w:pPr>
        <w:pStyle w:val="ListParagraph"/>
        <w:numPr>
          <w:ilvl w:val="0"/>
          <w:numId w:val="3"/>
        </w:numPr>
        <w:spacing w:after="60"/>
      </w:pPr>
      <w:r>
        <w:rPr>
          <w:rFonts w:ascii="Arial" w:cs="Arial" w:eastAsia="Arial" w:hAnsi="Arial"/>
          <w:sz w:val="20"/>
          <w:szCs w:val="20"/>
        </w:rPr>
        <w:t xml:space="preserve">Buyer's scorecard updates automatically — no upload, no email, no template</w:t>
      </w:r>
    </w:p>
    <w:p>
      <w:pPr>
        <w:spacing w:after="60"/>
      </w:pPr>
      <w:r>
        <w:t xml:space="preserve"/>
      </w:r>
    </w:p>
    <w:p>
      <w:pPr>
        <w:shd w:fill="F5F5F5" w:val="clear"/>
        <w:spacing w:after="40"/>
        <w:ind w:left="720"/>
      </w:pPr>
      <w:r>
        <w:rPr>
          <w:rFonts w:ascii="Courier New" w:cs="Courier New" w:eastAsia="Courier New" w:hAnsi="Courier New"/>
          <w:color w:val="2C4770"/>
          <w:sz w:val="18"/>
          <w:szCs w:val="18"/>
        </w:rPr>
        <w:t xml:space="preserve">// Cross-account sync — triggered after vendor kpi_actuals INSERT</w:t>
      </w:r>
    </w:p>
    <w:p>
      <w:pPr>
        <w:shd w:fill="F5F5F5" w:val="clear"/>
        <w:spacing w:after="40"/>
        <w:ind w:left="720"/>
      </w:pPr>
      <w:r>
        <w:rPr>
          <w:rFonts w:ascii="Courier New" w:cs="Courier New" w:eastAsia="Courier New" w:hAnsi="Courier New"/>
          <w:color w:val="2C4770"/>
          <w:sz w:val="18"/>
          <w:szCs w:val="18"/>
        </w:rPr>
        <w:t xml:space="preserve">async function syncLinkedActuals(vendorActual: KPIActual): Promise&lt;void&gt; {</w:t>
      </w:r>
    </w:p>
    <w:p>
      <w:pPr>
        <w:shd w:fill="F5F5F5" w:val="clear"/>
        <w:spacing w:after="40"/>
        <w:ind w:left="720"/>
      </w:pPr>
      <w:r>
        <w:rPr>
          <w:rFonts w:ascii="Courier New" w:cs="Courier New" w:eastAsia="Courier New" w:hAnsi="Courier New"/>
          <w:color w:val="2C4770"/>
          <w:sz w:val="18"/>
          <w:szCs w:val="18"/>
        </w:rPr>
        <w:t xml:space="preserve">  const link = await getActiveLink(vendorActual.submission_period_id)</w:t>
      </w:r>
    </w:p>
    <w:p>
      <w:pPr>
        <w:shd w:fill="F5F5F5" w:val="clear"/>
        <w:spacing w:after="40"/>
        <w:ind w:left="720"/>
      </w:pPr>
      <w:r>
        <w:rPr>
          <w:rFonts w:ascii="Courier New" w:cs="Courier New" w:eastAsia="Courier New" w:hAnsi="Courier New"/>
          <w:color w:val="2C4770"/>
          <w:sz w:val="18"/>
          <w:szCs w:val="18"/>
        </w:rPr>
        <w:t xml:space="preserve">  if (!link) return</w:t>
      </w:r>
    </w:p>
    <w:p>
      <w:pPr>
        <w:shd w:fill="F5F5F5" w:val="clear"/>
        <w:spacing w:after="40"/>
        <w:ind w:left="720"/>
      </w:pPr>
      <w:r>
        <w:rPr>
          <w:rFonts w:ascii="Courier New" w:cs="Courier New" w:eastAsia="Courier New" w:hAnsi="Courier New"/>
          <w:color w:val="2C4770"/>
          <w:sz w:val="18"/>
          <w:szCs w:val="18"/>
        </w:rPr>
        <w:t xml:space="preserve">  // Create matching kpi_actual in buyer's submission period</w:t>
      </w:r>
    </w:p>
    <w:p>
      <w:pPr>
        <w:shd w:fill="F5F5F5" w:val="clear"/>
        <w:spacing w:after="40"/>
        <w:ind w:left="720"/>
      </w:pPr>
      <w:r>
        <w:rPr>
          <w:rFonts w:ascii="Courier New" w:cs="Courier New" w:eastAsia="Courier New" w:hAnsi="Courier New"/>
          <w:color w:val="2C4770"/>
          <w:sz w:val="18"/>
          <w:szCs w:val="18"/>
        </w:rPr>
        <w:t xml:space="preserve">  // Using service role key — bypasses buyer RLS for this specific sync operation</w:t>
      </w:r>
    </w:p>
    <w:p>
      <w:pPr>
        <w:shd w:fill="F5F5F5" w:val="clear"/>
        <w:spacing w:after="40"/>
        <w:ind w:left="720"/>
      </w:pPr>
      <w:r>
        <w:rPr>
          <w:rFonts w:ascii="Courier New" w:cs="Courier New" w:eastAsia="Courier New" w:hAnsi="Courier New"/>
          <w:color w:val="2C4770"/>
          <w:sz w:val="18"/>
          <w:szCs w:val="18"/>
        </w:rPr>
        <w:t xml:space="preserve">  // Audit log entry created for both orgs</w:t>
      </w:r>
    </w:p>
    <w:p>
      <w:pPr>
        <w:shd w:fill="F5F5F5" w:val="clear"/>
        <w:spacing w:after="40"/>
        <w:ind w:left="720"/>
      </w:pPr>
      <w:r>
        <w:rPr>
          <w:rFonts w:ascii="Courier New" w:cs="Courier New" w:eastAsia="Courier New" w:hAnsi="Courier New"/>
          <w:color w:val="2C4770"/>
          <w:sz w:val="18"/>
          <w:szCs w:val="18"/>
        </w:rPr>
        <w:t xml:space="preserve">  await supabaseAdmin.from('kpi_actuals').insert({</w:t>
      </w:r>
    </w:p>
    <w:p>
      <w:pPr>
        <w:shd w:fill="F5F5F5" w:val="clear"/>
        <w:spacing w:after="40"/>
        <w:ind w:left="720"/>
      </w:pPr>
      <w:r>
        <w:rPr>
          <w:rFonts w:ascii="Courier New" w:cs="Courier New" w:eastAsia="Courier New" w:hAnsi="Courier New"/>
          <w:color w:val="2C4770"/>
          <w:sz w:val="18"/>
          <w:szCs w:val="18"/>
        </w:rPr>
        <w:t xml:space="preserve">    ...vendorActual,</w:t>
      </w:r>
    </w:p>
    <w:p>
      <w:pPr>
        <w:shd w:fill="F5F5F5" w:val="clear"/>
        <w:spacing w:after="40"/>
        <w:ind w:left="720"/>
      </w:pPr>
      <w:r>
        <w:rPr>
          <w:rFonts w:ascii="Courier New" w:cs="Courier New" w:eastAsia="Courier New" w:hAnsi="Courier New"/>
          <w:color w:val="2C4770"/>
          <w:sz w:val="18"/>
          <w:szCs w:val="18"/>
        </w:rPr>
        <w:t xml:space="preserve">    submission_period_id: link.customer_submission_period_id,</w:t>
      </w:r>
    </w:p>
    <w:p>
      <w:pPr>
        <w:shd w:fill="F5F5F5" w:val="clear"/>
        <w:spacing w:after="40"/>
        <w:ind w:left="720"/>
      </w:pPr>
      <w:r>
        <w:rPr>
          <w:rFonts w:ascii="Courier New" w:cs="Courier New" w:eastAsia="Courier New" w:hAnsi="Courier New"/>
          <w:color w:val="2C4770"/>
          <w:sz w:val="18"/>
          <w:szCs w:val="18"/>
        </w:rPr>
        <w:t xml:space="preserve">    sync_source: 'vendor_linked_submission'</w:t>
      </w:r>
    </w:p>
    <w:p>
      <w:pPr>
        <w:shd w:fill="F5F5F5" w:val="clear"/>
        <w:spacing w:after="40"/>
        <w:ind w:left="720"/>
      </w:pPr>
      <w:r>
        <w:rPr>
          <w:rFonts w:ascii="Courier New" w:cs="Courier New" w:eastAsia="Courier New" w:hAnsi="Courier New"/>
          <w:color w:val="2C4770"/>
          <w:sz w:val="18"/>
          <w:szCs w:val="18"/>
        </w:rPr>
        <w:t xml:space="preserve">  })</w:t>
      </w:r>
    </w:p>
    <w:p>
      <w:pPr>
        <w:shd w:fill="F5F5F5" w:val="clear"/>
        <w:spacing w:after="40"/>
        <w:ind w:left="720"/>
      </w:pPr>
      <w:r>
        <w:rPr>
          <w:rFonts w:ascii="Courier New" w:cs="Courier New" w:eastAsia="Courier New" w:hAnsi="Courier New"/>
          <w:color w:val="2C4770"/>
          <w:sz w:val="18"/>
          <w:szCs w:val="18"/>
        </w:rPr>
        <w:t xml:space="preserve">}</w:t>
      </w:r>
    </w:p>
    <w:p>
      <w:pPr>
        <w:spacing w:after="60"/>
      </w:pPr>
      <w:r>
        <w:t xml:space="preserve"/>
      </w:r>
    </w:p>
    <w:p>
      <w:pPr>
        <w:pStyle w:val="Heading2"/>
        <w:spacing w:after="80" w:before="280"/>
      </w:pPr>
      <w:r>
        <w:rPr>
          <w:rFonts w:ascii="Arial" w:cs="Arial" w:eastAsia="Arial" w:hAnsi="Arial"/>
          <w:b/>
          <w:bCs/>
          <w:color w:val="1F4E79"/>
          <w:sz w:val="28"/>
          <w:szCs w:val="28"/>
        </w:rPr>
        <w:t xml:space="preserve">B3.6 Self-populate actuals (vendor without linked account)</w:t>
      </w:r>
    </w:p>
    <w:p>
      <w:pPr>
        <w:spacing w:after="80"/>
      </w:pPr>
      <w:r>
        <w:rPr>
          <w:rFonts w:ascii="Arial" w:cs="Arial" w:eastAsia="Arial" w:hAnsi="Arial"/>
          <w:b w:val="false"/>
          <w:bCs w:val="false"/>
          <w:i w:val="false"/>
          <w:iCs w:val="false"/>
          <w:color w:val="000000"/>
          <w:sz w:val="20"/>
          <w:szCs w:val="20"/>
        </w:rPr>
        <w:t xml:space="preserve">For vendors not connected to a buyer account, the submission flow changes slightly. Instead of receiving a template by email, the vendor navigates to their own platform:</w:t>
      </w:r>
    </w:p>
    <w:p>
      <w:pPr>
        <w:pStyle w:val="ListParagraph"/>
        <w:numPr>
          <w:ilvl w:val="0"/>
          <w:numId w:val="2"/>
        </w:numPr>
        <w:spacing w:after="60"/>
      </w:pPr>
      <w:r>
        <w:rPr>
          <w:rFonts w:ascii="Arial" w:cs="Arial" w:eastAsia="Arial" w:hAnsi="Arial"/>
          <w:sz w:val="20"/>
          <w:szCs w:val="20"/>
        </w:rPr>
        <w:t xml:space="preserve">Customers &gt; [Customer Name] &gt; Submissions &gt; [Period] &gt; "Enter actuals"</w:t>
      </w:r>
    </w:p>
    <w:p>
      <w:pPr>
        <w:pStyle w:val="ListParagraph"/>
        <w:numPr>
          <w:ilvl w:val="0"/>
          <w:numId w:val="2"/>
        </w:numPr>
        <w:spacing w:after="60"/>
      </w:pPr>
      <w:r>
        <w:rPr>
          <w:rFonts w:ascii="Arial" w:cs="Arial" w:eastAsia="Arial" w:hAnsi="Arial"/>
          <w:sz w:val="20"/>
          <w:szCs w:val="20"/>
        </w:rPr>
        <w:t xml:space="preserve">The same web form appears, pre-populated with KPI targets from their uploaded copy of the contract</w:t>
      </w:r>
    </w:p>
    <w:p>
      <w:pPr>
        <w:pStyle w:val="ListParagraph"/>
        <w:numPr>
          <w:ilvl w:val="0"/>
          <w:numId w:val="2"/>
        </w:numPr>
        <w:spacing w:after="60"/>
      </w:pPr>
      <w:r>
        <w:rPr>
          <w:rFonts w:ascii="Arial" w:cs="Arial" w:eastAsia="Arial" w:hAnsi="Arial"/>
          <w:sz w:val="20"/>
          <w:szCs w:val="20"/>
        </w:rPr>
        <w:t xml:space="preserve">Vendor fills in actuals and submits — data goes into their own scorecard</w:t>
      </w:r>
    </w:p>
    <w:p>
      <w:pPr>
        <w:pStyle w:val="ListParagraph"/>
        <w:numPr>
          <w:ilvl w:val="0"/>
          <w:numId w:val="2"/>
        </w:numPr>
        <w:spacing w:after="60"/>
      </w:pPr>
      <w:r>
        <w:rPr>
          <w:rFonts w:ascii="Arial" w:cs="Arial" w:eastAsia="Arial" w:hAnsi="Arial"/>
          <w:sz w:val="20"/>
          <w:szCs w:val="20"/>
        </w:rPr>
        <w:t xml:space="preserve">If vendor is connected to the buyer: actuals sync to buyer automatically</w:t>
      </w:r>
    </w:p>
    <w:p>
      <w:pPr>
        <w:pStyle w:val="ListParagraph"/>
        <w:numPr>
          <w:ilvl w:val="0"/>
          <w:numId w:val="2"/>
        </w:numPr>
        <w:spacing w:after="60"/>
      </w:pPr>
      <w:r>
        <w:rPr>
          <w:rFonts w:ascii="Arial" w:cs="Arial" w:eastAsia="Arial" w:hAnsi="Arial"/>
          <w:sz w:val="20"/>
          <w:szCs w:val="20"/>
        </w:rPr>
        <w:t xml:space="preserve">If not connected: vendor can optionally export the submission as a formatted PDF or Excel to send to the buyer manually</w:t>
      </w:r>
    </w:p>
    <w:p>
      <w:pPr>
        <w:spacing w:after="60"/>
      </w:pPr>
      <w:r>
        <w:t xml:space="preserve"/>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B4. New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400"/>
        <w:gridCol w:w="2026"/>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3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/api/vendor-dashboard</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Vendor portfolio overview — all customers, health scores, credit exposure</w:t>
            </w:r>
          </w:p>
        </w:tc>
        <w:tc>
          <w:tcPr>
            <w:tcW w:type="dxa" w:w="2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manager+</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GET</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/api/customers</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List all customer contracts (vendor perspective)</w:t>
            </w:r>
          </w:p>
        </w:tc>
        <w:tc>
          <w:tcPr>
            <w:tcW w:type="dxa" w:w="2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viewer+</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/api/customers/[id]/link</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Initiate connected account link request</w:t>
            </w:r>
          </w:p>
        </w:tc>
        <w:tc>
          <w:tcPr>
            <w:tcW w:type="dxa" w:w="2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admin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PUT</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/api/links/[id]/accept</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Accept a link invitation</w:t>
            </w:r>
          </w:p>
        </w:tc>
        <w:tc>
          <w:tcPr>
            <w:tcW w:type="dxa" w:w="2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admin</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PUT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/api/links/[id]/decline</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Decline a link invitation</w:t>
            </w:r>
          </w:p>
        </w:tc>
        <w:tc>
          <w:tcPr>
            <w:tcW w:type="dxa" w:w="2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admin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GET</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/api/breaches/[id]/vendor-paths</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Get vendor response options for a breach</w:t>
            </w:r>
          </w:p>
        </w:tc>
        <w:tc>
          <w:tcPr>
            <w:tcW w:type="dxa" w:w="2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viewer+</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/api/breaches/[id]/dispute</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Submit measurement dispute</w:t>
            </w:r>
          </w:p>
        </w:tc>
        <w:tc>
          <w:tcPr>
            <w:tcW w:type="dxa" w:w="2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manager+</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POST</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/api/breaches/[id]/force-majeure</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Submit force majeure claim</w:t>
            </w:r>
          </w:p>
        </w:tc>
        <w:tc>
          <w:tcPr>
            <w:tcW w:type="dxa" w:w="2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manager+</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/api/breaches/[id]/cure-plan</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Submit cure plan</w:t>
            </w:r>
          </w:p>
        </w:tc>
        <w:tc>
          <w:tcPr>
            <w:tcW w:type="dxa" w:w="2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manager+</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POST</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/api/reports/customer-performance</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Generate customer-facing performance report</w:t>
            </w:r>
          </w:p>
        </w:tc>
        <w:tc>
          <w:tcPr>
            <w:tcW w:type="dxa" w:w="2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manager+</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/api/sync/linked-actuals</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Internal — sync actuals to linked buyer account</w:t>
            </w:r>
          </w:p>
        </w:tc>
        <w:tc>
          <w:tcPr>
            <w:tcW w:type="dxa" w:w="2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service_role</w:t>
            </w:r>
          </w:p>
        </w:tc>
      </w:tr>
    </w:tbl>
    <w:p>
      <w:pPr>
        <w:spacing w:after="60"/>
      </w:pPr>
      <w:r>
        <w:t xml:space="preserve"/>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B5. New UI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3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Vendor dashboard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/vendor-dashboard</w:t>
            </w:r>
          </w:p>
        </w:tc>
        <w:tc>
          <w:tcPr>
            <w:tcW w:type="dxa" w:w="3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Customer portfolio overview — mirror of buyer's /dashboard</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Customer list</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/customers</w:t>
            </w:r>
          </w:p>
        </w:tc>
        <w:tc>
          <w:tcPr>
            <w:tcW w:type="dxa" w:w="3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All customer contracts — mirror of /vendors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Customer detail</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/customers/[id]</w:t>
            </w:r>
          </w:p>
        </w:tc>
        <w:tc>
          <w:tcPr>
            <w:tcW w:type="dxa" w:w="3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Per-customer contract, KPIs, delivery scorecard</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Delivery scorecard</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/customers/[id]/scorecard</w:t>
            </w:r>
          </w:p>
        </w:tc>
        <w:tc>
          <w:tcPr>
            <w:tcW w:type="dxa" w:w="3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Vendor's delivery performance vs customer SLAs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Response options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/customers/[id]/breaches/[bid]</w:t>
            </w:r>
          </w:p>
        </w:tc>
        <w:tc>
          <w:tcPr>
            <w:tcW w:type="dxa" w:w="3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Vendor breach response paths — V1 through V4</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Linked accounts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/settings/connections</w:t>
            </w:r>
          </w:p>
        </w:tc>
        <w:tc>
          <w:tcPr>
            <w:tcW w:type="dxa" w:w="3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Manage buyer-vendor account links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Trust dashboard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/settings/security</w:t>
            </w:r>
          </w:p>
        </w:tc>
        <w:tc>
          <w:tcPr>
            <w:tcW w:type="dxa" w:w="3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Security posture, sessions, audit log, data export</w:t>
            </w:r>
          </w:p>
        </w:tc>
      </w:tr>
    </w:tbl>
    <w:p>
      <w:pPr>
        <w:spacing w:after="6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B6. Pricing — vendor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Plan name</w:t>
            </w:r>
          </w:p>
        </w:tc>
        <w:tc>
          <w:tcPr>
            <w:tcW w:type="dxa" w:w="6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Vendor — Connected</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Price</w:t>
            </w:r>
          </w:p>
        </w:tc>
        <w:tc>
          <w:tcPr>
            <w:tcW w:type="dxa" w:w="6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$149/month (billed annually) — $179/month billed monthly</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Customers monitored</w:t>
            </w:r>
          </w:p>
        </w:tc>
        <w:tc>
          <w:tcPr>
            <w:tcW w:type="dxa" w:w="6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Up to 10 customer contracts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Pricing logic</w:t>
            </w:r>
          </w:p>
        </w:tc>
        <w:tc>
          <w:tcPr>
            <w:tcW w:type="dxa" w:w="6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Lower than buyer pricing — vendors have lower willingness to pay and are adopting to serve their buyers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Features included</w:t>
            </w:r>
          </w:p>
        </w:tc>
        <w:tc>
          <w:tcPr>
            <w:tcW w:type="dxa" w:w="6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All scorecard, KPI register, AI extraction, AI Q&amp;A, vendor-side breach response, customer performance reports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Not included</w:t>
            </w:r>
          </w:p>
        </w:tc>
        <w:tc>
          <w:tcPr>
            <w:tcW w:type="dxa" w:w="6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Linked two-sided submission (available from Vendor Pro), white-label reports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Vendor Pro</w:t>
            </w:r>
          </w:p>
        </w:tc>
        <w:tc>
          <w:tcPr>
            <w:tcW w:type="dxa" w:w="6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$349/month — unlimited customers, linked submissions, API access, white-label customer reports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Revenue model note</w:t>
            </w:r>
          </w:p>
        </w:tc>
        <w:tc>
          <w:tcPr>
            <w:tcW w:type="dxa" w:w="6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 single buyer-vendor relationship where both are on Contractly generates $948-$2,148/yr from both sides of the same contract</w:t>
            </w:r>
          </w:p>
        </w:tc>
      </w:tr>
    </w:tbl>
    <w:p>
      <w:pPr>
        <w:spacing w:after="60"/>
      </w:pPr>
      <w:r>
        <w:t xml:space="preserve"/>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B7. Sprint 11 build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226"/>
        <w:gridCol w:w="240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42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Success criteria</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11a</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1 week</w:t>
            </w:r>
          </w:p>
        </w:tc>
        <w:tc>
          <w:tcPr>
            <w:tcW w:type="dxa" w:w="4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Schema additions — org_type, perspective, vendor_customer_links table, breach response fields. RLS policies updated.</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Existing tests still pass. New fields present in schema.</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11b</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2 weeks</w:t>
            </w:r>
          </w:p>
        </w:tc>
        <w:tc>
          <w:tcPr>
            <w:tcW w:type="dxa" w:w="42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Role-based routing and vendor dashboard — org_type detection on login, vendor dashboard page, customer list, UI language mapping.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Vendor org sees customer portfolio on login. Language correctly flipped.</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11c</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2 weeks</w:t>
            </w:r>
          </w:p>
        </w:tc>
        <w:tc>
          <w:tcPr>
            <w:tcW w:type="dxa" w:w="4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Vendor-side breach response paths — four response options, AI prompt adjustment for vendor perspective, cure plan tracking.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Vendor clicking a breach shortfall sees V1-V4 response options with correct AI-drafted notices.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11d</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2 weeks</w:t>
            </w:r>
          </w:p>
        </w:tc>
        <w:tc>
          <w:tcPr>
            <w:tcW w:type="dxa" w:w="42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Linked accounts — link invitation flow, cross-account sync, linked submission UI, connected badge.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Buyer invites vendor, vendor accepts, vendor submits actuals, buyer scorecard updates automatically.</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11e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1 week</w:t>
            </w:r>
          </w:p>
        </w:tc>
        <w:tc>
          <w:tcPr>
            <w:tcW w:type="dxa" w:w="4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Customer performance report — vendor-branded report, narrative field, shortfall framing, PDF export.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Vendor generates a PDF report showing their delivery performance for a specific customer and period.</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11f</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1 week</w:t>
            </w:r>
          </w:p>
        </w:tc>
        <w:tc>
          <w:tcPr>
            <w:tcW w:type="dxa" w:w="42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Security trust dashboard (in-app) — sessions, audit export, data export, sub-processor list, MFA management.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Any user can navigate to Settings &gt; Security and see their session list, export audit log, trigger data export.</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11g</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1 week</w:t>
            </w:r>
          </w:p>
        </w:tc>
        <w:tc>
          <w:tcPr>
            <w:tcW w:type="dxa" w:w="4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Trust Centre page (marketing site) — ten commitments, sub-processor list, security certifications, incident history, DPA download.</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Public page live at trust.contractly.com.au with all ten commitments and supporting evidence links.</w:t>
            </w:r>
          </w:p>
        </w:tc>
      </w:tr>
    </w:tbl>
    <w:p>
      <w:pPr>
        <w:spacing w:after="60"/>
      </w:pPr>
      <w:r>
        <w:t xml:space="preserve"/>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Document summary</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E2EFDA" w:val="clear"/>
            <w:tcMar>
              <w:top w:type="dxa" w:w="120"/>
              <w:left w:type="dxa" w:w="180"/>
              <w:bottom w:type="dxa" w:w="120"/>
              <w:right w:type="dxa" w:w="180"/>
            </w:tcMar>
          </w:tcPr>
          <w:p>
            <w:pPr>
              <w:spacing w:after="60"/>
            </w:pPr>
            <w:r>
              <w:rPr>
                <w:rFonts w:ascii="Arial" w:cs="Arial" w:eastAsia="Arial" w:hAnsi="Arial"/>
                <w:b/>
                <w:bCs/>
                <w:color w:val="375623"/>
                <w:sz w:val="20"/>
                <w:szCs w:val="20"/>
              </w:rPr>
              <w:t xml:space="preserve">What to hand to Claude Code</w:t>
            </w:r>
          </w:p>
          <w:p>
            <w:pPr>
              <w:spacing w:after="40"/>
            </w:pPr>
            <w:r>
              <w:rPr>
                <w:rFonts w:ascii="Arial" w:cs="Arial" w:eastAsia="Arial" w:hAnsi="Arial"/>
                <w:color w:val="000000"/>
                <w:sz w:val="19"/>
                <w:szCs w:val="19"/>
              </w:rPr>
              <w:t xml:space="preserve">File 1: Contractly_Technical_Specification_v1.0.docx — Sprints 1-10 (Phase 1 MVP)</w:t>
            </w:r>
          </w:p>
          <w:p>
            <w:pPr>
              <w:spacing w:after="40"/>
            </w:pPr>
            <w:r>
              <w:rPr>
                <w:rFonts w:ascii="Arial" w:cs="Arial" w:eastAsia="Arial" w:hAnsi="Arial"/>
                <w:color w:val="000000"/>
                <w:sz w:val="19"/>
                <w:szCs w:val="19"/>
              </w:rPr>
              <w:t xml:space="preserve">File 2: This document — Sprint 11 addendum + Security architecture</w:t>
            </w:r>
          </w:p>
          <w:p>
            <w:pPr>
              <w:spacing w:after="40"/>
            </w:pPr>
            <w:r>
              <w:rPr>
                <w:rFonts w:ascii="Arial" w:cs="Arial" w:eastAsia="Arial" w:hAnsi="Arial"/>
                <w:color w:val="000000"/>
                <w:sz w:val="19"/>
                <w:szCs w:val="19"/>
              </w:rPr>
              <w:t xml:space="preserve"/>
            </w:r>
          </w:p>
          <w:p>
            <w:pPr>
              <w:spacing w:after="40"/>
            </w:pPr>
            <w:r>
              <w:rPr>
                <w:rFonts w:ascii="Arial" w:cs="Arial" w:eastAsia="Arial" w:hAnsi="Arial"/>
                <w:color w:val="000000"/>
                <w:sz w:val="19"/>
                <w:szCs w:val="19"/>
              </w:rPr>
              <w:t xml:space="preserve">Instruct Claude Code to:</w:t>
            </w:r>
          </w:p>
          <w:p>
            <w:pPr>
              <w:spacing w:after="40"/>
            </w:pPr>
            <w:r>
              <w:rPr>
                <w:rFonts w:ascii="Arial" w:cs="Arial" w:eastAsia="Arial" w:hAnsi="Arial"/>
                <w:color w:val="000000"/>
                <w:sz w:val="19"/>
                <w:szCs w:val="19"/>
              </w:rPr>
              <w:t xml:space="preserve">  1. Implement Sprints 1-10 first. Each sprint has explicit success criteria.</w:t>
            </w:r>
          </w:p>
          <w:p>
            <w:pPr>
              <w:spacing w:after="40"/>
            </w:pPr>
            <w:r>
              <w:rPr>
                <w:rFonts w:ascii="Arial" w:cs="Arial" w:eastAsia="Arial" w:hAnsi="Arial"/>
                <w:color w:val="000000"/>
                <w:sz w:val="19"/>
                <w:szCs w:val="19"/>
              </w:rPr>
              <w:t xml:space="preserve">  2. After Sprint 10 is live and paying customers exist, begin Sprint 11.</w:t>
            </w:r>
          </w:p>
          <w:p>
            <w:pPr>
              <w:spacing w:after="40"/>
            </w:pPr>
            <w:r>
              <w:rPr>
                <w:rFonts w:ascii="Arial" w:cs="Arial" w:eastAsia="Arial" w:hAnsi="Arial"/>
                <w:color w:val="000000"/>
                <w:sz w:val="19"/>
                <w:szCs w:val="19"/>
              </w:rPr>
              <w:t xml:space="preserve">  3. Sprint 11 has no breaking changes — it is fully additive to the Phase 1 codebase.</w:t>
            </w:r>
          </w:p>
          <w:p>
            <w:pPr>
              <w:spacing w:after="40"/>
            </w:pPr>
            <w:r>
              <w:rPr>
                <w:rFonts w:ascii="Arial" w:cs="Arial" w:eastAsia="Arial" w:hAnsi="Arial"/>
                <w:color w:val="000000"/>
                <w:sz w:val="19"/>
                <w:szCs w:val="19"/>
              </w:rPr>
              <w:t xml:space="preserve">  4. Security features in Part A should be implemented from Sprint 1, not Sprint 11.</w:t>
            </w:r>
          </w:p>
          <w:p>
            <w:pPr>
              <w:spacing w:after="40"/>
            </w:pPr>
            <w:r>
              <w:rPr>
                <w:rFonts w:ascii="Arial" w:cs="Arial" w:eastAsia="Arial" w:hAnsi="Arial"/>
                <w:color w:val="000000"/>
                <w:sz w:val="19"/>
                <w:szCs w:val="19"/>
              </w:rPr>
              <w:t xml:space="preserve">     Specifically: RLS policies (Sprint 1), audit logging (Sprint 2), encryption (Sprint 1),</w:t>
            </w:r>
          </w:p>
          <w:p>
            <w:pPr>
              <w:spacing w:after="40"/>
            </w:pPr>
            <w:r>
              <w:rPr>
                <w:rFonts w:ascii="Arial" w:cs="Arial" w:eastAsia="Arial" w:hAnsi="Arial"/>
                <w:color w:val="000000"/>
                <w:sz w:val="19"/>
                <w:szCs w:val="19"/>
              </w:rPr>
              <w:t xml:space="preserve">     malware scanning (Sprint 3), signed URLs for documents (Sprint 3).</w:t>
            </w:r>
          </w:p>
          <w:p>
            <w:pPr>
              <w:spacing w:after="40"/>
            </w:pPr>
            <w:r>
              <w:rPr>
                <w:rFonts w:ascii="Arial" w:cs="Arial" w:eastAsia="Arial" w:hAnsi="Arial"/>
                <w:color w:val="000000"/>
                <w:sz w:val="19"/>
                <w:szCs w:val="19"/>
              </w:rPr>
              <w:t xml:space="preserve">  5. The Trust Centre page (marketing site) should be live at launch, not as an afterthought.</w:t>
            </w:r>
          </w:p>
        </w:tc>
      </w:tr>
    </w:tbl>
    <w:p>
      <w:pPr>
        <w:spacing w:after="60"/>
      </w:pPr>
      <w:r>
        <w:t xml:space="preserve"/>
      </w:r>
    </w:p>
    <w:p>
      <w:pPr>
        <w:spacing w:after="60"/>
      </w:pPr>
      <w:r>
        <w:t xml:space="preserve"/>
      </w:r>
    </w:p>
    <w:p>
      <w:pPr>
        <w:jc w:val="center"/>
      </w:pPr>
      <w:r>
        <w:rPr>
          <w:rFonts w:ascii="Arial" w:cs="Arial" w:eastAsia="Arial" w:hAnsi="Arial"/>
          <w:i/>
          <w:iCs/>
          <w:color w:val="595959"/>
          <w:sz w:val="20"/>
          <w:szCs w:val="20"/>
        </w:rPr>
        <w:t xml:space="preserve">— End of addendum —</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Contractly — Sprint 11 Addendum + Security Architecture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5000"/>
      <w:gridCol w:w="4386"/>
    </w:tblGrid>
    <w:tr>
      <w:tc>
        <w:tcPr>
          <w:tcW w:type="dxa" w:w="5000"/>
          <w:tcBorders>
            <w:top w:val="none" w:color="FFFFFF" w:sz="0"/>
            <w:left w:val="none" w:color="FFFFFF" w:sz="0"/>
            <w:bottom w:val="none" w:color="FFFFFF" w:sz="0"/>
            <w:right w:val="none" w:color="FFFFFF" w:sz="0"/>
          </w:tcBorders>
          <w:tcMar>
            <w:top w:type="dxa" w:w="60"/>
            <w:bottom w:type="dxa" w:w="60"/>
          </w:tcMar>
        </w:tcPr>
        <w:p>
          <w:r>
            <w:rPr>
              <w:rFonts w:ascii="Arial" w:cs="Arial" w:eastAsia="Arial" w:hAnsi="Arial"/>
              <w:b/>
              <w:bCs/>
              <w:color w:val="1F4E79"/>
              <w:sz w:val="18"/>
              <w:szCs w:val="18"/>
            </w:rPr>
            <w:t xml:space="preserve">Contractly — Technical Specification Addendum</w:t>
          </w:r>
        </w:p>
      </w:tc>
      <w:tc>
        <w:tcPr>
          <w:tcW w:type="dxa" w:w="4386"/>
          <w:tcBorders>
            <w:top w:val="none" w:color="FFFFFF" w:sz="0"/>
            <w:left w:val="none" w:color="FFFFFF" w:sz="0"/>
            <w:bottom w:val="none" w:color="FFFFFF" w:sz="0"/>
            <w:right w:val="none" w:color="FFFFFF" w:sz="0"/>
          </w:tcBorders>
          <w:tcMar>
            <w:top w:type="dxa" w:w="60"/>
            <w:bottom w:type="dxa" w:w="60"/>
          </w:tcMar>
        </w:tcPr>
        <w:p>
          <w:pPr>
            <w:jc w:val="right"/>
          </w:pPr>
          <w:r>
            <w:rPr>
              <w:rFonts w:ascii="Arial" w:cs="Arial" w:eastAsia="Arial" w:hAnsi="Arial"/>
              <w:color w:val="595959"/>
              <w:sz w:val="18"/>
              <w:szCs w:val="18"/>
            </w:rPr>
            <w:t xml:space="preserve">Sprint 11 + Security Architecture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2026-04-15T07:48:17.385Z</dcterms:created>
  <dcterms:modified xsi:type="dcterms:W3CDTF">2026-04-15T07:48:17.386Z</dcterms:modified>
</cp:coreProperties>
</file>

<file path=docProps/custom.xml><?xml version="1.0" encoding="utf-8"?>
<Properties xmlns="http://schemas.openxmlformats.org/officeDocument/2006/custom-properties" xmlns:vt="http://schemas.openxmlformats.org/officeDocument/2006/docPropsVTypes"/>
</file>