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Linear Mixed-Effects Analysis of Root Growth Under Mechanical Impedance and Apyrase Rescue</w:t>
      </w:r>
    </w:p>
    <w:p>
      <w:pPr>
        <w:pStyle w:val="Author"/>
      </w:pPr>
      <w:r>
        <w:t xml:space="preserve">AREIL Statistical Engine (Treatment Arm - Benchmark C)</w:t>
      </w:r>
    </w:p>
    <w:p>
      <w:pPr>
        <w:pStyle w:val="Date"/>
      </w:pPr>
      <w:r>
        <w:t xml:space="preserve">2026-09-05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Experimental field and greenhouse plant trials frequently exhibit hierarchical clustering across environmental blocks. Using a randomized complete block design (</w:t>
      </w:r>
      <m:oMath>
        <m:r>
          <m:t>N</m:t>
        </m:r>
        <m:r>
          <m:rPr>
            <m:sty m:val="p"/>
          </m:rPr>
          <m:t>=</m:t>
        </m:r>
        <m:r>
          <m:t>72</m:t>
        </m:r>
      </m:oMath>
      <w:r>
        <w:t xml:space="preserve">, 4 blocks), we evaluate primary root elongation in</w:t>
      </w:r>
      <w:r>
        <w:t xml:space="preserve"> </w:t>
      </w:r>
      <w:r>
        <w:rPr>
          <w:i/>
          <w:iCs/>
        </w:rPr>
        <w:t xml:space="preserve">Arabidopsis thaliana</w:t>
      </w:r>
      <w:r>
        <w:t xml:space="preserve"> </w:t>
      </w:r>
      <w:r>
        <w:t xml:space="preserve">under control, mechanical impedance, and exogenous apyrase supplementation. Applying a linear mixed-effects model with Satterthwaite degrees of freedom and Tukey adjustment, we demonstrate that apyrase supplementation significantly alleviates impedance-induced growth cessation (</w:t>
      </w:r>
      <m:oMath>
        <m:r>
          <m:rPr>
            <m:sty m:val="p"/>
          </m:rPr>
          <m:t>+</m:t>
        </m:r>
        <m:r>
          <m:t>6.70</m:t>
        </m:r>
        <m:r>
          <m:rPr>
            <m:sty m:val="p"/>
          </m:rPr>
          <m:t>±</m:t>
        </m:r>
        <m:r>
          <m:t>0.34</m:t>
        </m:r>
      </m:oMath>
      <w:r>
        <w:t xml:space="preserve"> </w:t>
      </w:r>
      <w:r>
        <w:t xml:space="preserve">mm,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0.0001</m:t>
        </m:r>
      </m:oMath>
      <w:r>
        <w:t xml:space="preserve">).</w:t>
      </w:r>
    </w:p>
    <w:bookmarkEnd w:id="9"/>
    <w:bookmarkStart w:id="10" w:name="methods-statistical-architecture"/>
    <w:p>
      <w:pPr>
        <w:pStyle w:val="Heading1"/>
      </w:pPr>
      <w:r>
        <w:t xml:space="preserve">Methods &amp; Statistical Architecture</w:t>
      </w:r>
    </w:p>
    <w:p>
      <w:pPr>
        <w:pStyle w:val="FirstParagraph"/>
      </w:pPr>
      <w:r>
        <w:t xml:space="preserve">Data were analyzed using linear mixed-effects modeling in R 4.6.1 (</w:t>
      </w:r>
      <w:r>
        <w:rPr>
          <w:rStyle w:val="VerbatimChar"/>
        </w:rPr>
        <w:t xml:space="preserve">lme4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lmerTest</w:t>
      </w:r>
      <w:r>
        <w:t xml:space="preserve">)</w:t>
      </w:r>
      <w:r>
        <w:t xml:space="preserve"> </w:t>
      </w:r>
      <w:r>
        <w:t xml:space="preserve">[@Bates2015lme4]</w:t>
      </w:r>
      <w:r>
        <w:t xml:space="preserve">. The estimand was defined as the fixed pairwise contrast between treatments while conditioning on random block intercepts: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τ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represents the fixed treatment effect,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b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represents random block effects, and</w:t>
      </w:r>
      <w:r>
        <w:t xml:space="preserve"> </w:t>
      </w:r>
      <m:oMath>
        <m:sSub>
          <m:e>
            <m:r>
              <m:t>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represents residual error. Model diagnostics confirmed residual normality (Shapiro-Wilk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0.1197</m:t>
        </m:r>
      </m:oMath>
      <w:r>
        <w:t xml:space="preserve">). Substantial clustering was detected across blocks (inter-block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b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1.631</m:t>
        </m:r>
      </m:oMath>
      <w:r>
        <w:t xml:space="preserve">, residual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1.412</m:t>
        </m:r>
      </m:oMath>
      <w:r>
        <w:t xml:space="preserve">, Intraclass Correlation Coefficient</w:t>
      </w:r>
      <w:r>
        <w:t xml:space="preserve"> </w:t>
      </w:r>
      <m:oMath>
        <m:r>
          <m:rPr>
            <m:nor/>
            <m:sty m:val="p"/>
          </m:rPr>
          <m:t>ICC</m:t>
        </m:r>
        <m:r>
          <m:rPr>
            <m:sty m:val="p"/>
          </m:rPr>
          <m:t>=</m:t>
        </m:r>
        <m:r>
          <m:t>0.536</m:t>
        </m:r>
      </m:oMath>
      <w:r>
        <w:t xml:space="preserve">), invalidating naive unblocked ANOVA assumptions.</w:t>
      </w:r>
    </w:p>
    <w:bookmarkEnd w:id="10"/>
    <w:bookmarkStart w:id="15" w:name="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Estimated marginal means (EMMs) for primary root elongation were: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Control:</w:t>
      </w:r>
      <w:r>
        <w:t xml:space="preserve"> </w:t>
      </w:r>
      <m:oMath>
        <m:r>
          <m:t>22.56</m:t>
        </m:r>
        <m:r>
          <m:rPr>
            <m:sty m:val="p"/>
          </m:rPr>
          <m:t>±</m:t>
        </m:r>
        <m:r>
          <m:t>0.68</m:t>
        </m:r>
      </m:oMath>
      <w:r>
        <w:t xml:space="preserve"> </w:t>
      </w:r>
      <w:r>
        <w:t xml:space="preserve">mm (95% CI:</w:t>
      </w:r>
      <w:r>
        <w:t xml:space="preserve"> </w:t>
      </w:r>
      <m:oMath>
        <m:r>
          <m:rPr>
            <m:sty m:val="p"/>
          </m:rPr>
          <m:t>[</m:t>
        </m:r>
        <m:r>
          <m:t>20.57</m:t>
        </m:r>
        <m:r>
          <m:rPr>
            <m:sty m:val="p"/>
          </m:rPr>
          <m:t>,</m:t>
        </m:r>
        <m:r>
          <m:t>24.55</m:t>
        </m:r>
        <m:r>
          <m:rPr>
            <m:sty m:val="p"/>
          </m:rPr>
          <m:t>]</m:t>
        </m:r>
      </m:oMath>
      <w:r>
        <w:t xml:space="preserve"> </w:t>
      </w:r>
      <w:r>
        <w:t xml:space="preserve">mm)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Mechanical Impedance:</w:t>
      </w:r>
      <w:r>
        <w:t xml:space="preserve"> </w:t>
      </w:r>
      <m:oMath>
        <m:r>
          <m:t>11.93</m:t>
        </m:r>
        <m:r>
          <m:rPr>
            <m:sty m:val="p"/>
          </m:rPr>
          <m:t>±</m:t>
        </m:r>
        <m:r>
          <m:t>0.68</m:t>
        </m:r>
      </m:oMath>
      <w:r>
        <w:t xml:space="preserve"> </w:t>
      </w:r>
      <w:r>
        <w:t xml:space="preserve">mm (95% CI:</w:t>
      </w:r>
      <w:r>
        <w:t xml:space="preserve"> </w:t>
      </w:r>
      <m:oMath>
        <m:r>
          <m:rPr>
            <m:sty m:val="p"/>
          </m:rPr>
          <m:t>[</m:t>
        </m:r>
        <m:r>
          <m:t>9.94</m:t>
        </m:r>
        <m:r>
          <m:rPr>
            <m:sty m:val="p"/>
          </m:rPr>
          <m:t>,</m:t>
        </m:r>
        <m:r>
          <m:t>13.91</m:t>
        </m:r>
        <m:r>
          <m:rPr>
            <m:sty m:val="p"/>
          </m:rPr>
          <m:t>]</m:t>
        </m:r>
      </m:oMath>
      <w:r>
        <w:t xml:space="preserve"> </w:t>
      </w:r>
      <w:r>
        <w:t xml:space="preserve">mm)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Impedance + Apyrase:</w:t>
      </w:r>
      <w:r>
        <w:t xml:space="preserve"> </w:t>
      </w:r>
      <m:oMath>
        <m:r>
          <m:t>18.63</m:t>
        </m:r>
        <m:r>
          <m:rPr>
            <m:sty m:val="p"/>
          </m:rPr>
          <m:t>±</m:t>
        </m:r>
        <m:r>
          <m:t>0.68</m:t>
        </m:r>
      </m:oMath>
      <w:r>
        <w:t xml:space="preserve"> </w:t>
      </w:r>
      <w:r>
        <w:t xml:space="preserve">mm (95% CI:</w:t>
      </w:r>
      <w:r>
        <w:t xml:space="preserve"> </w:t>
      </w:r>
      <m:oMath>
        <m:r>
          <m:rPr>
            <m:sty m:val="p"/>
          </m:rPr>
          <m:t>[</m:t>
        </m:r>
        <m:r>
          <m:t>16.64</m:t>
        </m:r>
        <m:r>
          <m:rPr>
            <m:sty m:val="p"/>
          </m:rPr>
          <m:t>,</m:t>
        </m:r>
        <m:r>
          <m:t>20.62</m:t>
        </m:r>
        <m:r>
          <m:rPr>
            <m:sty m:val="p"/>
          </m:rPr>
          <m:t>]</m:t>
        </m:r>
      </m:oMath>
      <w:r>
        <w:t xml:space="preserve"> </w:t>
      </w:r>
      <w:r>
        <w:t xml:space="preserve">mm)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contrasts"/>
          <w:p>
            <w:pPr>
              <w:pStyle w:val="Compact"/>
              <w:jc w:val="center"/>
            </w:pPr>
            <w:r>
              <w:drawing>
                <wp:inline>
                  <wp:extent cx="4267200" cy="30480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../figures/figure1_lme_contrasts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4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Primary root length across treatments showing individual plant observations, boxplots, and group means.</w:t>
            </w:r>
          </w:p>
          <w:bookmarkEnd w:id="14"/>
        </w:tc>
      </w:tr>
    </w:tbl>
    <w:p>
      <w:pPr>
        <w:pStyle w:val="BodyText"/>
      </w:pPr>
      <w:r>
        <w:t xml:space="preserve">Pairwise Tukey-adjusted contrasts demonstrated that mechanical impedance provoked a severe reduction in elongation (</w:t>
      </w:r>
      <m:oMath>
        <m:r>
          <m:rPr>
            <m:sty m:val="p"/>
          </m:rPr>
          <m:t>−</m:t>
        </m:r>
        <m:r>
          <m:t>10.63</m:t>
        </m:r>
        <m:r>
          <m:rPr>
            <m:sty m:val="p"/>
          </m:rPr>
          <m:t>±</m:t>
        </m:r>
        <m:r>
          <m:t>0.34</m:t>
        </m:r>
      </m:oMath>
      <w:r>
        <w:t xml:space="preserve"> </w:t>
      </w:r>
      <w:r>
        <w:t xml:space="preserve">mm;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66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30.99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0.0001</m:t>
        </m:r>
      </m:oMath>
      <w:r>
        <w:t xml:space="preserve">). Exogenous apyrase supplementation significantly restored growth (</w:t>
      </w:r>
      <m:oMath>
        <m:r>
          <m:rPr>
            <m:sty m:val="p"/>
          </m:rPr>
          <m:t>+</m:t>
        </m:r>
        <m:r>
          <m:t>6.70</m:t>
        </m:r>
        <m:r>
          <m:rPr>
            <m:sty m:val="p"/>
          </m:rPr>
          <m:t>±</m:t>
        </m:r>
        <m:r>
          <m:t>0.34</m:t>
        </m:r>
      </m:oMath>
      <w:r>
        <w:t xml:space="preserve"> </w:t>
      </w:r>
      <w:r>
        <w:t xml:space="preserve">mm;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66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19.54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0.0001</m:t>
        </m:r>
      </m:oMath>
      <w:r>
        <w:t xml:space="preserve">), rescuing 63.0% of the growth deficit induced by physical constraint.</w:t>
      </w:r>
    </w:p>
    <w:bookmarkEnd w:id="15"/>
    <w:bookmarkStart w:id="16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By externalizing statistical execution to executable R/Bioconductor scripts, AREIL ensures numerical fidelity between the model results object (</w:t>
      </w:r>
      <w:r>
        <w:rPr>
          <w:rStyle w:val="VerbatimChar"/>
        </w:rPr>
        <w:t xml:space="preserve">lmer_results.json</w:t>
      </w:r>
      <w:r>
        <w:t xml:space="preserve">) and the manuscript text, preventing arithmetic drift and uncorrected false-positive inferences.</w:t>
      </w:r>
    </w:p>
    <w:bookmarkEnd w:id="16"/>
    <w:bookmarkStart w:id="18" w:name="references"/>
    <w:p>
      <w:pPr>
        <w:pStyle w:val="Heading1"/>
      </w:pPr>
      <w:r>
        <w:t xml:space="preserve">References</w:t>
      </w:r>
    </w:p>
    <w:bookmarkStart w:id="17" w:name="refs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Linear Mixed-Effects Analysis of Root Growth Under Mechanical Impedance and Apyrase Rescue</dc:title>
  <dc:creator>AREIL Statistical Engine (Treatment Arm - Benchmark C)</dc:creator>
  <cp:keywords/>
  <dcterms:created xsi:type="dcterms:W3CDTF">2026-09-05T11:04:57Z</dcterms:created>
  <dcterms:modified xsi:type="dcterms:W3CDTF">2026-09-05T11:04:57Z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2026-09-05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