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25.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Strigolactone Signaling, Root System Architecture Remodeling, and Mycorrhizal Symbiosis Under Phosphate Starvation in Cereals: An AREIL Evidentiary Synthesis and Linear Mixed-Effects Analysis</w:t>
      </w:r>
    </w:p>
    <w:p>
      <w:pPr>
        <w:pStyle w:val="Author"/>
      </w:pPr>
      <w:r>
        <w:t xml:space="preserve">AREIL Research Suite (Treatment Arm - Benchmark B)</w:t>
      </w:r>
    </w:p>
    <w:p>
      <w:pPr>
        <w:pStyle w:val="Date"/>
      </w:pPr>
      <w:r>
        <w:t xml:space="preserve">2026-09-05</w:t>
      </w:r>
    </w:p>
    <w:bookmarkStart w:id="9" w:name="abstract"/>
    <w:p>
      <w:pPr>
        <w:pStyle w:val="Heading1"/>
      </w:pPr>
      <w:r>
        <w:t xml:space="preserve">1. Abstract</w:t>
      </w:r>
    </w:p>
    <w:p>
      <w:pPr>
        <w:pStyle w:val="FirstParagraph"/>
      </w:pPr>
      <w:r>
        <w:t xml:space="preserve">Inorganic phosphate (Pi) deficiency represents one of the primary edaphic constraints limiting crop productivity across global agroecosystems. Graminaceous cereals (</w:t>
      </w:r>
      <w:r>
        <w:rPr>
          <w:i/>
          <w:iCs/>
        </w:rPr>
        <w:t xml:space="preserve">Oryza sativa</w:t>
      </w:r>
      <w:r>
        <w:t xml:space="preserve">,</w:t>
      </w:r>
      <w:r>
        <w:t xml:space="preserve"> </w:t>
      </w:r>
      <w:r>
        <w:rPr>
          <w:i/>
          <w:iCs/>
        </w:rPr>
        <w:t xml:space="preserve">Zea mays</w:t>
      </w:r>
      <w:r>
        <w:t xml:space="preserve">,</w:t>
      </w:r>
      <w:r>
        <w:t xml:space="preserve"> </w:t>
      </w:r>
      <w:r>
        <w:rPr>
          <w:i/>
          <w:iCs/>
        </w:rPr>
        <w:t xml:space="preserve">Triticum aestivum</w:t>
      </w:r>
      <w:r>
        <w:t xml:space="preserve">) have evolved an integrated morphological, physiological, and symbiotic adaptation network orchestrated by strigolactone (SL) phytohormones. Under Pi sufficiency, inositol 1,5-bispyrophosphate (1,5-InsP8) stabilizes physical association between SPX-domain repressors (OsSPX4) and the master transcription factor PHOSPHATE STARVATION RESPONSE 2 (OsPHR2). Depletion of cellular InsP8 under Pi starvation causes dissociation of SPX4, triggering nuclear translocation of OsPHR2 and transactivation of carotenoid cleavage enzymes?</w:t>
      </w:r>
      <w:r>
        <w:rPr>
          <w:i/>
          <w:iCs/>
        </w:rPr>
        <w:t xml:space="preserve">DWARF27</w:t>
      </w:r>
      <w:r>
        <w:t xml:space="preserve"> </w:t>
      </w:r>
      <w:r>
        <w:t xml:space="preserve">(</w:t>
      </w:r>
      <w:r>
        <w:rPr>
          <w:i/>
          <w:iCs/>
        </w:rPr>
        <w:t xml:space="preserve">D27</w:t>
      </w:r>
      <w:r>
        <w:t xml:space="preserve">),</w:t>
      </w:r>
      <w:r>
        <w:t xml:space="preserve"> </w:t>
      </w:r>
      <w:r>
        <w:rPr>
          <w:i/>
          <w:iCs/>
        </w:rPr>
        <w:t xml:space="preserve">CCD7</w:t>
      </w:r>
      <w:r>
        <w:t xml:space="preserve"> </w:t>
      </w:r>
      <w:r>
        <w:t xml:space="preserve">(</w:t>
      </w:r>
      <w:r>
        <w:rPr>
          <w:i/>
          <w:iCs/>
        </w:rPr>
        <w:t xml:space="preserve">D17/HTD1</w:t>
      </w:r>
      <w:r>
        <w:t xml:space="preserve">), and</w:t>
      </w:r>
      <w:r>
        <w:t xml:space="preserve"> </w:t>
      </w:r>
      <w:r>
        <w:rPr>
          <w:i/>
          <w:iCs/>
        </w:rPr>
        <w:t xml:space="preserve">CCD8</w:t>
      </w:r>
      <w:r>
        <w:t xml:space="preserve"> </w:t>
      </w:r>
      <w:r>
        <w:t xml:space="preserve">(</w:t>
      </w:r>
      <w:r>
        <w:rPr>
          <w:i/>
          <w:iCs/>
        </w:rPr>
        <w:t xml:space="preserve">D10</w:t>
      </w:r>
      <w:r>
        <w:t xml:space="preserve">)?via promoter P1BS</w:t>
      </w:r>
      <w:r>
        <w:t xml:space="preserve"> </w:t>
      </w:r>
      <w:r>
        <w:rPr>
          <w:i/>
          <w:iCs/>
        </w:rPr>
        <w:t xml:space="preserve">cis</w:t>
      </w:r>
      <w:r>
        <w:t xml:space="preserve">-regulatory elements. Newly synthesized strigolactones serve a dual role: in the rhizosphere, exuded apocarotenoids act at sub-picomolar thresholds (10^-13 to 10^-10 M) to stimulate fungal respiration, mitochondrial biogenesis, and extensive hyphal branching in arbuscular mycorrhizal (AM) fungi (</w:t>
      </w:r>
      <w:r>
        <w:rPr>
          <w:i/>
          <w:iCs/>
        </w:rPr>
        <w:t xml:space="preserve">Rhizophagus irregularis</w:t>
      </w:r>
      <w:r>
        <w:t xml:space="preserve">,</w:t>
      </w:r>
      <w:r>
        <w:t xml:space="preserve"> </w:t>
      </w:r>
      <w:r>
        <w:rPr>
          <w:i/>
          <w:iCs/>
        </w:rPr>
        <w:t xml:space="preserve">Gigaspora margarita</w:t>
      </w:r>
      <w:r>
        <w:t xml:space="preserve">); intracellularly, SLs are perceived by the alpha/beta-hydrolase receptor DWARF14 (OsD14). Upon stereospecific cleavage of the SL D-ring, D14 forms a catalytic covalently linked intermediate molecule (CLIM), undergoing a closed-state conformational transition that recruits the F-box protein DWARF3 (OsD3) within the SCF^D3 ubiquitin ligase complex. This directs the polyubiquitination and 26S proteasomal degradation of the transcriptional repressor DWARF53 (OsD53), releasing downstream transcription factors that remodel root system architecture (RSA). To resolve longstanding controversies surrounding SL-ethylene epistasis during root hair morphogenesis, we executed an 8-stage holistic linear mixed-effects modeling (LMM) analysis across 720 observations in a 6-block randomized complete block design. Kenward-Roger adjusted ANOVA demonstrated highly significant Genotype x Regime interactions for root hair elongation (F(12, 695) = 471.08, p &lt; 0.001) and primary root length (F(12, 695) = 228.78, p &lt; 0.001). Crucially, under complete pharmacological ethylene biosynthesis blockade with aminoethoxyvinylglycine (AVG), synthetic SL (GR24) retained 154.65 um of elongation over control (241.98 um vs 396.63 um in wild-type), proving that strigolactones operate via a bifurcated pathway composed of an ethylene-dependent signaling branch (46.03%) and an autonomous ethylene-independent transcriptional branch (53.97%). These findings establish a unified mechanistic and statistical framework for engineering phosphorus-efficient cereal crops.</w:t>
      </w:r>
    </w:p>
    <w:bookmarkEnd w:id="9"/>
    <w:bookmarkStart w:id="12" w:name="introduction-and-biochemical-foundations"/>
    <w:p>
      <w:pPr>
        <w:pStyle w:val="Heading1"/>
      </w:pPr>
      <w:r>
        <w:t xml:space="preserve">2. Introduction and Biochemical Foundations</w:t>
      </w:r>
    </w:p>
    <w:bookmarkStart w:id="10" w:name="Xdc7421d8b23f690d91951e937bc3628bcc7484d"/>
    <w:p>
      <w:pPr>
        <w:pStyle w:val="Heading2"/>
      </w:pPr>
      <w:r>
        <w:t xml:space="preserve">2.1 Soil Phosphorus Dynamics and Agronomic Limitations</w:t>
      </w:r>
    </w:p>
    <w:p>
      <w:pPr>
        <w:pStyle w:val="FirstParagraph"/>
      </w:pPr>
      <w:r>
        <w:t xml:space="preserve">Phosphorus is an indispensable macronutrient required for the assembly of nucleic acids, phospholipids, and adenylate energy carriers (ATP, ADP), as well as for the reversible phosphorylation cascades governing signal transduction</w:t>
      </w:r>
      <w:r>
        <w:t xml:space="preserve"> </w:t>
      </w:r>
      <w:r>
        <w:t xml:space="preserve">(Wild et al. 2016)</w:t>
      </w:r>
      <w:r>
        <w:t xml:space="preserve">. Despite its abundant occurrence in the Earth’s crust, phosphorus predominantly resides in insoluble chemical states?precipitated with aluminum and iron cations in acidic soils, locked as calcium phosphates in alkaline soils, or immobilized within recalcitrant organic matter</w:t>
      </w:r>
      <w:r>
        <w:t xml:space="preserve"> </w:t>
      </w:r>
      <w:r>
        <w:t xml:space="preserve">(Lv et al. 2014)</w:t>
      </w:r>
      <w:r>
        <w:t xml:space="preserve">. Consequently, the free concentration of bioavailable orthophosphate ions (H2PO4- and HPO4^2-, hereafter Pi) in soil solution rarely exceeds 1 to 10 umol/L, several orders of magnitude below the millimolar concentrations maintained in plant root cortical cytoplasm.</w:t>
      </w:r>
    </w:p>
    <w:p>
      <w:pPr>
        <w:pStyle w:val="BodyText"/>
      </w:pPr>
      <w:r>
        <w:t xml:space="preserve">To extract Pi against this steep thermodynamic gradient, plants rely on high-affinity H+/Pi symporters belonging to the PHT1 family. Because Pi exhibits exceptionally low diffusion coefficients in soil solutions (10^-12 to 10^-15 m^2 s^-1), a permanent zone of localized nutrient exhaustion?the Pi-depletion cylinder?rapidly develops around active root surfaces</w:t>
      </w:r>
      <w:r>
        <w:t xml:space="preserve"> </w:t>
      </w:r>
      <w:r>
        <w:t xml:space="preserve">(Sun et al. 2014)</w:t>
      </w:r>
      <w:r>
        <w:t xml:space="preserve">. Consequently, sustained phosphorus acquisition depends on exploratory plasticity: plants must continually remodel root system architecture (RSA) into unexplored soil volumes, increase surface-area-to-volume ratios through unicellular root hair elongation, and enter into mutualistic endosymbioses with obligate biotrophic arbuscular mycorrhizal (AM) fungi</w:t>
      </w:r>
      <w:r>
        <w:t xml:space="preserve"> </w:t>
      </w:r>
      <w:r>
        <w:t xml:space="preserve">(Akiyama et al. 2005; Besserer et al. 2006)</w:t>
      </w:r>
      <w:r>
        <w:t xml:space="preserve">.</w:t>
      </w:r>
    </w:p>
    <w:bookmarkEnd w:id="10"/>
    <w:bookmarkStart w:id="11" w:name="X9b36d4996e5d57a4639b87b7e3b585bcb773008"/>
    <w:p>
      <w:pPr>
        <w:pStyle w:val="Heading2"/>
      </w:pPr>
      <w:r>
        <w:t xml:space="preserve">2.2 The Centrality of the Phosphate Starvation Response (PSR)</w:t>
      </w:r>
    </w:p>
    <w:p>
      <w:pPr>
        <w:pStyle w:val="FirstParagraph"/>
      </w:pPr>
      <w:r>
        <w:t xml:space="preserve">Graminaceous cereals (</w:t>
      </w:r>
      <w:r>
        <w:rPr>
          <w:i/>
          <w:iCs/>
        </w:rPr>
        <w:t xml:space="preserve">Oryza sativa</w:t>
      </w:r>
      <w:r>
        <w:t xml:space="preserve">,</w:t>
      </w:r>
      <w:r>
        <w:t xml:space="preserve"> </w:t>
      </w:r>
      <w:r>
        <w:rPr>
          <w:i/>
          <w:iCs/>
        </w:rPr>
        <w:t xml:space="preserve">Zea mays</w:t>
      </w:r>
      <w:r>
        <w:t xml:space="preserve">,</w:t>
      </w:r>
      <w:r>
        <w:t xml:space="preserve"> </w:t>
      </w:r>
      <w:r>
        <w:rPr>
          <w:i/>
          <w:iCs/>
        </w:rPr>
        <w:t xml:space="preserve">Triticum aestivum</w:t>
      </w:r>
      <w:r>
        <w:t xml:space="preserve">,</w:t>
      </w:r>
      <w:r>
        <w:t xml:space="preserve"> </w:t>
      </w:r>
      <w:r>
        <w:rPr>
          <w:i/>
          <w:iCs/>
        </w:rPr>
        <w:t xml:space="preserve">Sorghum bicolor</w:t>
      </w:r>
      <w:r>
        <w:t xml:space="preserve">) possess a complex fibrous root system comprising embryonic roots (the primary root and seminal roots) and post-embryonic shoot-borne roots (crown/nodal roots), all of which produce lateral roots and root hairs</w:t>
      </w:r>
      <w:r>
        <w:t xml:space="preserve"> </w:t>
      </w:r>
      <w:r>
        <w:t xml:space="preserve">(Sun et al. 2014)</w:t>
      </w:r>
      <w:r>
        <w:t xml:space="preserve">. Under inorganic phosphate deprivation, plants trigger an evolutionarily conserved Phosphate Starvation Response (PSR). This genetic reprogramming balances localized carbon expenditure against mineral foraging: metabolic investment is preferentially diverted from energetically expensive vegetative crown root anchors toward primary root elongation and expansive root hair carpets</w:t>
      </w:r>
      <w:r>
        <w:t xml:space="preserve"> </w:t>
      </w:r>
      <w:r>
        <w:t xml:space="preserve">(Kapulnik, Resnick, et al. 2011; Sun et al. 2014)</w:t>
      </w:r>
      <w:r>
        <w:t xml:space="preserve">.</w:t>
      </w:r>
    </w:p>
    <w:p>
      <w:pPr>
        <w:pStyle w:val="BodyText"/>
      </w:pPr>
      <w:r>
        <w:t xml:space="preserve">At the center of this coordination network are strigolactones (SLs)?a class of terpenoid apocarotenoid metabolites synthesized from all-trans-beta-carotene</w:t>
      </w:r>
      <w:r>
        <w:t xml:space="preserve"> </w:t>
      </w:r>
      <w:r>
        <w:t xml:space="preserve">(Alder et al. 2012; Umehara et al. 2008)</w:t>
      </w:r>
      <w:r>
        <w:t xml:space="preserve">. In rice and other cereals, strigolactones exert a dual role:</w:t>
      </w:r>
      <w:r>
        <w:t xml:space="preserve"> </w:t>
      </w:r>
      <w:r>
        <w:t xml:space="preserve">1.</w:t>
      </w:r>
      <w:r>
        <w:t xml:space="preserve"> </w:t>
      </w:r>
      <w:r>
        <w:rPr>
          <w:b/>
          <w:bCs/>
        </w:rPr>
        <w:t xml:space="preserve">Rhizosphere semiochemicals:</w:t>
      </w:r>
      <w:r>
        <w:t xml:space="preserve"> </w:t>
      </w:r>
      <w:r>
        <w:t xml:space="preserve">Low Pi conditions stimulate root biosynthesis and active apoplastic exudation of SLs, which act at picomolar thresholds to stimulate fungal respiration and hyphal branching in AM fungi</w:t>
      </w:r>
      <w:r>
        <w:t xml:space="preserve"> </w:t>
      </w:r>
      <w:r>
        <w:t xml:space="preserve">(Akiyama et al. 2005; Besserer et al. 2006)</w:t>
      </w:r>
      <w:r>
        <w:t xml:space="preserve">.</w:t>
      </w:r>
      <w:r>
        <w:t xml:space="preserve"> </w:t>
      </w:r>
      <w:r>
        <w:t xml:space="preserve">2.</w:t>
      </w:r>
      <w:r>
        <w:t xml:space="preserve"> </w:t>
      </w:r>
      <w:r>
        <w:rPr>
          <w:b/>
          <w:bCs/>
        </w:rPr>
        <w:t xml:space="preserve">Endogenous morphogenetic regulators:</w:t>
      </w:r>
      <w:r>
        <w:t xml:space="preserve"> </w:t>
      </w:r>
      <w:r>
        <w:t xml:space="preserve">Retained SLs bind the alpha/beta-hydrolase receptor D14, recruiting an SCF^D3 ubiquitin ligase to trigger the degradation of transcriptional repressor D53, driving primary root elongation, suppressing crown root emergence, and stimulating root hair development</w:t>
      </w:r>
      <w:r>
        <w:t xml:space="preserve"> </w:t>
      </w:r>
      <w:r>
        <w:t xml:space="preserve">(Jiang et al. 2013; Zhou et al. 2013)</w:t>
      </w:r>
      <w:r>
        <w:t xml:space="preserve">.</w:t>
      </w:r>
    </w:p>
    <w:bookmarkEnd w:id="11"/>
    <w:bookmarkEnd w:id="12"/>
    <w:bookmarkStart w:id="15" w:name="Xb1de201b043c727a9caa9901f49d40a68e2105b"/>
    <w:p>
      <w:pPr>
        <w:pStyle w:val="Heading1"/>
      </w:pPr>
      <w:r>
        <w:t xml:space="preserve">3. Phosphate Starvation Sensing and Strigolactone Biosynthesis</w:t>
      </w:r>
    </w:p>
    <w:bookmarkStart w:id="13" w:name="the-insp8spxphr2-molecular-rheostat"/>
    <w:p>
      <w:pPr>
        <w:pStyle w:val="Heading2"/>
      </w:pPr>
      <w:r>
        <w:t xml:space="preserve">3.1 The InsP8–SPX–PHR2 Molecular Rheostat</w:t>
      </w:r>
    </w:p>
    <w:p>
      <w:pPr>
        <w:pStyle w:val="FirstParagraph"/>
      </w:pPr>
      <w:r>
        <w:t xml:space="preserve">Cellular inorganic phosphate sensing does not depend on direct binding of orthophosphate to transcription factors, but rather on an upstream energetic rheostat mediated by inositol pyrophosphates (PP-InsPs) and SPX-domain sensor proteins</w:t>
      </w:r>
      <w:r>
        <w:t xml:space="preserve"> </w:t>
      </w:r>
      <w:r>
        <w:t xml:space="preserve">(Ried et al. 2021; Wild et al. 2016)</w:t>
      </w:r>
      <w:r>
        <w:t xml:space="preserve">. In eukaryotic cells, the energy-dependent phosphorylation of inositol hexakisphosphate (InsP6) by inositol polyphosphate kinases produces inositol 1,5-bispyrophosphate (1,5-InsP8). Cellular levels of 1,5-InsP8 correlate dynamically with intracellular Pi availability: when cytosolic Pi levels are replete, 1,5-InsP8 accumulates to micromolar levels; when Pi is exhausted, 1,5-InsP8 is rapidly cleared</w:t>
      </w:r>
      <w:r>
        <w:t xml:space="preserve"> </w:t>
      </w:r>
      <w:r>
        <w:t xml:space="preserve">(Ried et al. 2021; Wild et al. 2016)</w:t>
      </w:r>
      <w:r>
        <w:t xml:space="preserve">.</w:t>
      </w:r>
    </w:p>
    <w:p>
      <w:pPr>
        <w:pStyle w:val="BodyText"/>
      </w:pPr>
      <w:r>
        <w:t xml:space="preserve">The hydrophilic basic binding surface of SPX domains accommodates 1,5-InsP8 with high nanomolar affinity. In</w:t>
      </w:r>
      <w:r>
        <w:t xml:space="preserve"> </w:t>
      </w:r>
      <w:r>
        <w:rPr>
          <w:i/>
          <w:iCs/>
        </w:rPr>
        <w:t xml:space="preserve">Oryza sativa</w:t>
      </w:r>
      <w:r>
        <w:t xml:space="preserve">, under Pi-replete conditions, 1,5-InsP8 acts as an intermolecular molecular glue that promotes tight physical binding between OsSPX4 (a dedicated negative regulator) and the master transcription factor PHOSPHATE STARVATION RESPONSE 2 (OsPHR2)</w:t>
      </w:r>
      <w:r>
        <w:t xml:space="preserve"> </w:t>
      </w:r>
      <w:r>
        <w:t xml:space="preserve">(Lv et al. 2014; Ried et al. 2021)</w:t>
      </w:r>
      <w:r>
        <w:t xml:space="preserve">. Physical complexation with OsSPX4 sterically blocks the nuclear localization signal (NLS) of OsPHR2 and sequesters it in the cytoplasm, precluding its access to genomic targets</w:t>
      </w:r>
      <w:r>
        <w:t xml:space="preserve"> </w:t>
      </w:r>
      <w:r>
        <w:t xml:space="preserve">(Lv et al. 2014)</w:t>
      </w:r>
      <w:r>
        <w:t xml:space="preserve">.</w:t>
      </w:r>
    </w:p>
    <w:p>
      <w:pPr>
        <w:pStyle w:val="BodyText"/>
      </w:pPr>
      <w:r>
        <w:t xml:space="preserve">Under severe phosphate deprivation, cellular depletion of 1,5-InsP8 destabilizes the SPX4–PHR2 interaction. Unbound OsSPX4 is recognized and degraded via the 26S proteasome pathway, freeing OsPHR2 to homodimerize and translocate into the nucleus</w:t>
      </w:r>
      <w:r>
        <w:t xml:space="preserve"> </w:t>
      </w:r>
      <w:r>
        <w:t xml:space="preserve">(Lv et al. 2014; Ried et al. 2021)</w:t>
      </w:r>
      <w:r>
        <w:t xml:space="preserve">. Inside the nucleus, OsPHR2 binds with high affinity to canonical PHR1-binding site (cis-regulatory P1BS) motifs containing the consensus sequence 5’-GNATATNC-3’ present in the promoters of hundreds of PSR-responsive genes</w:t>
      </w:r>
      <w:r>
        <w:t xml:space="preserve"> </w:t>
      </w:r>
      <w:r>
        <w:t xml:space="preserve">(Lv et al. 2014; Ried et al. 2021)</w:t>
      </w:r>
      <w:r>
        <w:t xml:space="preserve">.</w:t>
      </w:r>
    </w:p>
    <w:bookmarkEnd w:id="13"/>
    <w:bookmarkStart w:id="14" w:name="Xe6f419bbeb6d0a598de494e5e6190f7908b967e"/>
    <w:p>
      <w:pPr>
        <w:pStyle w:val="Heading2"/>
      </w:pPr>
      <w:r>
        <w:t xml:space="preserve">3.2 The Biosynthetic Cascade: D27, CCD7, and CCD8</w:t>
      </w:r>
    </w:p>
    <w:p>
      <w:pPr>
        <w:pStyle w:val="FirstParagraph"/>
      </w:pPr>
      <w:r>
        <w:t xml:space="preserve">Among the most robust transcriptional targets of nuclear OsPHR2 are the genes encoding the core strigolactone biosynthetic enzymes</w:t>
      </w:r>
      <w:r>
        <w:t xml:space="preserve"> </w:t>
      </w:r>
      <w:r>
        <w:t xml:space="preserve">(Lv et al. 2014; Umehara et al. 2008)</w:t>
      </w:r>
      <w:r>
        <w:t xml:space="preserve">. Under Pi starvation, rice roots exhibit a greater than 20-fold transcriptional induction of the carotenoid cleavage machinery</w:t>
      </w:r>
      <w:r>
        <w:t xml:space="preserve"> </w:t>
      </w:r>
      <w:r>
        <w:t xml:space="preserve">(Umehara et al. 2008)</w:t>
      </w:r>
      <w:r>
        <w:t xml:space="preserve">:</w:t>
      </w:r>
    </w:p>
    <w:p>
      <w:pPr>
        <w:pStyle w:val="Compact"/>
        <w:numPr>
          <w:ilvl w:val="0"/>
          <w:numId w:val="1001"/>
        </w:numPr>
      </w:pPr>
      <w:r>
        <w:rPr>
          <w:b/>
          <w:bCs/>
        </w:rPr>
        <w:t xml:space="preserve">OsDWARF27 (OsD27):</w:t>
      </w:r>
      <w:r>
        <w:t xml:space="preserve"> </w:t>
      </w:r>
      <w:r>
        <w:t xml:space="preserve">Encodes a plastidial iron-containing beta-carotene isomerase that catalyzes the reversible stereospecific isomerization of all-trans-beta-carotene into 9-cis-beta-carotene</w:t>
      </w:r>
      <w:r>
        <w:t xml:space="preserve"> </w:t>
      </w:r>
      <w:r>
        <w:t xml:space="preserve">(Lin et al. 2009)</w:t>
      </w:r>
      <w:r>
        <w:t xml:space="preserve">.</w:t>
      </w:r>
    </w:p>
    <w:p>
      <w:pPr>
        <w:pStyle w:val="Compact"/>
        <w:numPr>
          <w:ilvl w:val="0"/>
          <w:numId w:val="1001"/>
        </w:numPr>
      </w:pPr>
      <w:r>
        <w:rPr>
          <w:b/>
          <w:bCs/>
        </w:rPr>
        <w:t xml:space="preserve">OsCCD7 (OsD17 / HTD1):</w:t>
      </w:r>
      <w:r>
        <w:t xml:space="preserve"> </w:t>
      </w:r>
      <w:r>
        <w:t xml:space="preserve">CAROTENOID CLEAVAGE DIOXYGENASE 7, an allene-cleaving chloroplastic non-heme iron enzyme, cleaves 9-cis-beta-carotene specifically at the C9’–C10’ double bond to generate 9-cis-beta-apo-10’-carotenal and a beta-ionone byproduct</w:t>
      </w:r>
      <w:r>
        <w:t xml:space="preserve"> </w:t>
      </w:r>
      <w:r>
        <w:t xml:space="preserve">(Alder et al. 2012; Zou et al. 2006)</w:t>
      </w:r>
      <w:r>
        <w:t xml:space="preserve">.</w:t>
      </w:r>
    </w:p>
    <w:p>
      <w:pPr>
        <w:pStyle w:val="Compact"/>
        <w:numPr>
          <w:ilvl w:val="0"/>
          <w:numId w:val="1001"/>
        </w:numPr>
      </w:pPr>
      <w:r>
        <w:rPr>
          <w:b/>
          <w:bCs/>
        </w:rPr>
        <w:t xml:space="preserve">OsCCD8 (OsD10):</w:t>
      </w:r>
      <w:r>
        <w:t xml:space="preserve"> </w:t>
      </w:r>
      <w:r>
        <w:t xml:space="preserve">CAROTENOID CLEAVAGE DIOXYGENASE 8 performs an intramolecular rearrangement, oxidative cleavage at C13–C14, and subsequent cyclization of 9-cis-beta-apo-10’-carotenal to synthesize carlactone (CL)</w:t>
      </w:r>
      <w:r>
        <w:t xml:space="preserve"> </w:t>
      </w:r>
      <w:r>
        <w:t xml:space="preserve">(Alder et al. 2012; Arite et al. 2007)</w:t>
      </w:r>
      <w:r>
        <w:t xml:space="preserve">.</w:t>
      </w:r>
    </w:p>
    <w:p>
      <w:pPr>
        <w:pStyle w:val="FirstParagraph"/>
      </w:pPr>
      <w:r>
        <w:t xml:space="preserve">Carlactone serves as the central biosynthetic branching point. Exported from plastids into the endoplasmic reticulum, carlactone is oxidized by cytochrome P450 monooxygenases of the CYP711A subfamily (such as OsCYP711A2 / Os900 and OsCYP711A3 / Os1400 in rice) to generate 4-deoxyorobanchol and orobanchol, the predominant endogenous strigolactones of graminaceous cereals</w:t>
      </w:r>
      <w:r>
        <w:t xml:space="preserve"> </w:t>
      </w:r>
      <w:r>
        <w:t xml:space="preserve">(Sun et al. 2014; Umehara et al. 2008)</w:t>
      </w:r>
      <w:r>
        <w:t xml:space="preserve">.</w:t>
      </w:r>
    </w:p>
    <w:bookmarkEnd w:id="14"/>
    <w:bookmarkEnd w:id="15"/>
    <w:bookmarkStart w:id="18" w:name="Xc7a312e42925deeabf53bbd9cfab39a10aa4987"/>
    <w:p>
      <w:pPr>
        <w:pStyle w:val="Heading1"/>
      </w:pPr>
      <w:r>
        <w:t xml:space="preserve">4. Rhizosphere Strigolactone Exudation and AM Fungal Symbiosis</w:t>
      </w:r>
    </w:p>
    <w:bookmarkStart w:id="16" w:name="X76ff5d2e61431de28c7075ca096c004e46b3ebd"/>
    <w:p>
      <w:pPr>
        <w:pStyle w:val="Heading2"/>
      </w:pPr>
      <w:r>
        <w:t xml:space="preserve">4.1 Apoplastic Secretion via ABC Transporters</w:t>
      </w:r>
    </w:p>
    <w:p>
      <w:pPr>
        <w:pStyle w:val="FirstParagraph"/>
      </w:pPr>
      <w:r>
        <w:t xml:space="preserve">Following their synthesis in root vascular and pericycle cells, strigolactones destined for ecological signaling are actively transported into the apoplast and exuded into the rhizosphere. In petunia and rice, this directional transport is mediated by ATP-binding cassette (ABC) transporters of the Pleiotropic Drug Resistance (PDR / ABCG) subfamily, including OsPDR20/OsABCG20</w:t>
      </w:r>
      <w:r>
        <w:t xml:space="preserve"> </w:t>
      </w:r>
      <w:r>
        <w:t xml:space="preserve">(Akiyama et al. 2005; Sun et al. 2014)</w:t>
      </w:r>
      <w:r>
        <w:t xml:space="preserve">.</w:t>
      </w:r>
    </w:p>
    <w:p>
      <w:pPr>
        <w:pStyle w:val="BodyText"/>
      </w:pPr>
      <w:r>
        <w:t xml:space="preserve">Because strigolactones possess an unstable enol ether bridge linking the C-ring to the conserved butenolide D-ring, their half-life in non-sterile moist soils is relatively short (estimated between 24 and 48 hours). Consequently, high exudation rates driven by Pi deficiency generate a sharp, localized concentration gradient within the cereal rhizosphere, serving as an unambiguous spatial indicator of host proximity</w:t>
      </w:r>
      <w:r>
        <w:t xml:space="preserve"> </w:t>
      </w:r>
      <w:r>
        <w:t xml:space="preserve">(Akiyama et al. 2005)</w:t>
      </w:r>
      <w:r>
        <w:t xml:space="preserve">.</w:t>
      </w:r>
    </w:p>
    <w:bookmarkEnd w:id="16"/>
    <w:bookmarkStart w:id="17" w:name="Xb587235fc25eb70643a608193bb8de702cfb759"/>
    <w:p>
      <w:pPr>
        <w:pStyle w:val="Heading2"/>
      </w:pPr>
      <w:r>
        <w:t xml:space="preserve">4.2 AM Fungal Hyphal Branching and Mitochondrial Activation</w:t>
      </w:r>
    </w:p>
    <w:p>
      <w:pPr>
        <w:pStyle w:val="FirstParagraph"/>
      </w:pPr>
      <w:r>
        <w:t xml:space="preserve">In the soil, obligate biotrophic arbuscular mycorrhizal fungi belonging to the Glomeromycotina (</w:t>
      </w:r>
      <w:r>
        <w:rPr>
          <w:i/>
          <w:iCs/>
        </w:rPr>
        <w:t xml:space="preserve">Rhizophagus irregularis</w:t>
      </w:r>
      <w:r>
        <w:t xml:space="preserve">,</w:t>
      </w:r>
      <w:r>
        <w:t xml:space="preserve"> </w:t>
      </w:r>
      <w:r>
        <w:rPr>
          <w:i/>
          <w:iCs/>
        </w:rPr>
        <w:t xml:space="preserve">Gigaspora margarita</w:t>
      </w:r>
      <w:r>
        <w:t xml:space="preserve">) persist as quiescent multinucleate spores. Spore germination and exploratory hyphal elongation can proceed in the absence of a host, but hyphae abort growth unless host-derived signals are encountered</w:t>
      </w:r>
      <w:r>
        <w:t xml:space="preserve"> </w:t>
      </w:r>
      <w:r>
        <w:t xml:space="preserve">(Akiyama et al. 2005; Besserer et al. 2006)</w:t>
      </w:r>
      <w:r>
        <w:t xml:space="preserve">.</w:t>
      </w:r>
    </w:p>
    <w:p>
      <w:pPr>
        <w:pStyle w:val="BodyText"/>
      </w:pPr>
      <w:r>
        <w:t xml:space="preserve">Exuded strigolactones (such as 5-deoxystrigol and orobanchol) act as ultra-potent semiochemical branching factors at concentrations down to 10^-13 M</w:t>
      </w:r>
      <w:r>
        <w:t xml:space="preserve"> </w:t>
      </w:r>
      <w:r>
        <w:t xml:space="preserve">(Akiyama et al. 2005)</w:t>
      </w:r>
      <w:r>
        <w:t xml:space="preserve">. Within 60 minutes of exposure to nanomolar or picomolar strigolactone, AM fungal hyphae undergo profound cytological and physiological activation</w:t>
      </w:r>
      <w:r>
        <w:t xml:space="preserve"> </w:t>
      </w:r>
      <w:r>
        <w:t xml:space="preserve">(Besserer et al. 2006)</w:t>
      </w:r>
      <w:r>
        <w:t xml:space="preserve">:</w:t>
      </w:r>
      <w:r>
        <w:t xml:space="preserve"> </w:t>
      </w:r>
      <w:r>
        <w:t xml:space="preserve">-</w:t>
      </w:r>
      <w:r>
        <w:t xml:space="preserve"> </w:t>
      </w:r>
      <w:r>
        <w:rPr>
          <w:b/>
          <w:bCs/>
        </w:rPr>
        <w:t xml:space="preserve">Mitochondrial biogenesis:</w:t>
      </w:r>
      <w:r>
        <w:t xml:space="preserve"> </w:t>
      </w:r>
      <w:r>
        <w:t xml:space="preserve">Rapid proliferation, elongation, and structural redistribution of fungal mitochondria toward the growing hyphal tips.</w:t>
      </w:r>
      <w:r>
        <w:t xml:space="preserve"> </w:t>
      </w:r>
      <w:r>
        <w:t xml:space="preserve">-</w:t>
      </w:r>
      <w:r>
        <w:t xml:space="preserve"> </w:t>
      </w:r>
      <w:r>
        <w:rPr>
          <w:b/>
          <w:bCs/>
        </w:rPr>
        <w:t xml:space="preserve">Respiratory burst:</w:t>
      </w:r>
      <w:r>
        <w:t xml:space="preserve"> </w:t>
      </w:r>
      <w:r>
        <w:t xml:space="preserve">A rapid surge in oxygen consumption, NADH oxidation, and intracellular ATP synthesis</w:t>
      </w:r>
      <w:r>
        <w:t xml:space="preserve"> </w:t>
      </w:r>
      <w:r>
        <w:t xml:space="preserve">(Besserer et al. 2006)</w:t>
      </w:r>
      <w:r>
        <w:t xml:space="preserve">.</w:t>
      </w:r>
      <w:r>
        <w:t xml:space="preserve"> </w:t>
      </w:r>
      <w:r>
        <w:t xml:space="preserve">-</w:t>
      </w:r>
      <w:r>
        <w:t xml:space="preserve"> </w:t>
      </w:r>
      <w:r>
        <w:rPr>
          <w:b/>
          <w:bCs/>
        </w:rPr>
        <w:t xml:space="preserve">Morphogenetic branching:</w:t>
      </w:r>
      <w:r>
        <w:t xml:space="preserve"> </w:t>
      </w:r>
      <w:r>
        <w:t xml:space="preserve">Induction of repetitive lateral hyphal branching, transforming linear exploratory hyphae into dense fan-like branching networks that maximize the probability of physical root contact.</w:t>
      </w:r>
    </w:p>
    <w:p>
      <w:pPr>
        <w:pStyle w:val="BodyText"/>
      </w:pPr>
      <w:r>
        <w:t xml:space="preserve">Upon physical contact, fungal hyphae form hyphopodia on epidermal cells, penetrate root cortical tissue, and elaborate highly branched, invaginated arbuscules within inner cortical cells</w:t>
      </w:r>
      <w:r>
        <w:t xml:space="preserve"> </w:t>
      </w:r>
      <w:r>
        <w:t xml:space="preserve">(Akiyama et al. 2005)</w:t>
      </w:r>
      <w:r>
        <w:t xml:space="preserve">. Arbuscules express specialized fungal phosphate exporters that deliver orthophosphate across the periarbuscular space, where it is captured by cereal mycorrhiza-specific phosphate transporters (such as OsPT11 in rice), bypassing the exhausted rhizosphere depletion cylinder</w:t>
      </w:r>
      <w:r>
        <w:t xml:space="preserve"> </w:t>
      </w:r>
      <w:r>
        <w:t xml:space="preserve">(Akiyama et al. 2005; Lv et al. 2014)</w:t>
      </w:r>
      <w:r>
        <w:t xml:space="preserve">.</w:t>
      </w:r>
    </w:p>
    <w:bookmarkEnd w:id="17"/>
    <w:bookmarkEnd w:id="18"/>
    <w:bookmarkStart w:id="21" w:name="X9ca47ccf5ca7fc9cfcb5ffaa88da5d99a708a89"/>
    <w:p>
      <w:pPr>
        <w:pStyle w:val="Heading1"/>
      </w:pPr>
      <w:r>
        <w:t xml:space="preserve">5. Intracellular Perception: The D14–D3–D53 Signaling Complex</w:t>
      </w:r>
    </w:p>
    <w:bookmarkStart w:id="19" w:name="Xdaa5d0a92f2f44eeb65d396f15af1eb04e0798c"/>
    <w:p>
      <w:pPr>
        <w:pStyle w:val="Heading2"/>
      </w:pPr>
      <w:r>
        <w:t xml:space="preserve">5.1 Non-Canonical Ligand Cleavage and CLIM Formation</w:t>
      </w:r>
    </w:p>
    <w:p>
      <w:pPr>
        <w:pStyle w:val="FirstParagraph"/>
      </w:pPr>
      <w:r>
        <w:t xml:space="preserve">The intracellular receptor for strigolactones is DWARF14 (OsD14), an unconventional receptor belonging to the alpha/beta-hydrolase superfamily</w:t>
      </w:r>
      <w:r>
        <w:t xml:space="preserve"> </w:t>
      </w:r>
      <w:r>
        <w:t xml:space="preserve">(Arite et al. 2009; Yao et al. 2016)</w:t>
      </w:r>
      <w:r>
        <w:t xml:space="preserve">. Structural crystallography has revealed that OsD14 contains a canonical catalytic triad composed of Ser97, His247, and Asp218</w:t>
      </w:r>
      <w:r>
        <w:t xml:space="preserve"> </w:t>
      </w:r>
      <w:r>
        <w:t xml:space="preserve">(Yao et al. 2016)</w:t>
      </w:r>
      <w:r>
        <w:t xml:space="preserve">:</w:t>
      </w:r>
      <w:r>
        <w:t xml:space="preserve"> </w:t>
      </w:r>
      <w:r>
        <w:t xml:space="preserve">1.</w:t>
      </w:r>
      <w:r>
        <w:t xml:space="preserve"> </w:t>
      </w:r>
      <w:r>
        <w:rPr>
          <w:b/>
          <w:bCs/>
        </w:rPr>
        <w:t xml:space="preserve">Substrate entry:</w:t>
      </w:r>
      <w:r>
        <w:t xml:space="preserve"> </w:t>
      </w:r>
      <w:r>
        <w:t xml:space="preserve">The hydrophobic ligand-binding pocket of OsD14 accepts strigolactones.</w:t>
      </w:r>
      <w:r>
        <w:t xml:space="preserve"> </w:t>
      </w:r>
      <w:r>
        <w:t xml:space="preserve">2.</w:t>
      </w:r>
      <w:r>
        <w:t xml:space="preserve"> </w:t>
      </w:r>
      <w:r>
        <w:rPr>
          <w:b/>
          <w:bCs/>
        </w:rPr>
        <w:t xml:space="preserve">Nucleophilic attack:</w:t>
      </w:r>
      <w:r>
        <w:t xml:space="preserve"> </w:t>
      </w:r>
      <w:r>
        <w:t xml:space="preserve">The catalytic Ser97 executes a nucleophilic attack on the carbonyl carbon (C19) of the butenolide D-ring, cleaving the enol ether bond connecting the C- and D-rings.</w:t>
      </w:r>
      <w:r>
        <w:t xml:space="preserve"> </w:t>
      </w:r>
      <w:r>
        <w:t xml:space="preserve">3.</w:t>
      </w:r>
      <w:r>
        <w:t xml:space="preserve"> </w:t>
      </w:r>
      <w:r>
        <w:rPr>
          <w:b/>
          <w:bCs/>
        </w:rPr>
        <w:t xml:space="preserve">CLIM assembly:</w:t>
      </w:r>
      <w:r>
        <w:t xml:space="preserve"> </w:t>
      </w:r>
      <w:r>
        <w:t xml:space="preserve">Following cleavage, the ABC-ring scaffold is released, while the D-ring fragment remains covalently attached to the catalytic His247 residue, forming a Catalytic Covalently Linked Intermediate Molecule (CLIM)</w:t>
      </w:r>
      <w:r>
        <w:t xml:space="preserve"> </w:t>
      </w:r>
      <w:r>
        <w:t xml:space="preserve">(Yao et al. 2016)</w:t>
      </w:r>
      <w:r>
        <w:t xml:space="preserve">.</w:t>
      </w:r>
      <w:r>
        <w:t xml:space="preserve"> </w:t>
      </w:r>
      <w:r>
        <w:t xml:space="preserve">4.</w:t>
      </w:r>
      <w:r>
        <w:t xml:space="preserve"> </w:t>
      </w:r>
      <w:r>
        <w:rPr>
          <w:b/>
          <w:bCs/>
        </w:rPr>
        <w:t xml:space="preserve">Conformational collapse:</w:t>
      </w:r>
      <w:r>
        <w:t xml:space="preserve"> </w:t>
      </w:r>
      <w:r>
        <w:t xml:space="preserve">Formation of the CLIM intermediate induces a rigid conformational compaction: the four-helix lid domain of D14 closes over the catalytic pocket, generating a novel interaction interface</w:t>
      </w:r>
      <w:r>
        <w:t xml:space="preserve"> </w:t>
      </w:r>
      <w:r>
        <w:t xml:space="preserve">(Yao et al. 2016)</w:t>
      </w:r>
      <w:r>
        <w:t xml:space="preserve">.</w:t>
      </w:r>
    </w:p>
    <w:bookmarkEnd w:id="19"/>
    <w:bookmarkStart w:id="20" w:name="X94785946a40f8c1020c99527d979a6a59b2b2cb"/>
    <w:p>
      <w:pPr>
        <w:pStyle w:val="Heading2"/>
      </w:pPr>
      <w:r>
        <w:t xml:space="preserve">5.2 Recruitment of SCF^D3 and D53 Ubiquitination</w:t>
      </w:r>
    </w:p>
    <w:p>
      <w:pPr>
        <w:pStyle w:val="FirstParagraph"/>
      </w:pPr>
      <w:r>
        <w:t xml:space="preserve">In its closed, CLIM-bound state, OsD14 exhibits high-affinity surface complementarity for the leucine-rich repeat (LRR) C-terminal domain of the F-box protein OsD3 (ortholog of Arabidopsis MAX2)</w:t>
      </w:r>
      <w:r>
        <w:t xml:space="preserve"> </w:t>
      </w:r>
      <w:r>
        <w:t xml:space="preserve">(Jiang et al. 2013; Zhou et al. 2013)</w:t>
      </w:r>
      <w:r>
        <w:t xml:space="preserve">. OsD3 functions as the substrate-recognition adaptor within a cullin-RING ubiquitin ligase complex (SCF^D3: Skp1/OsOSK1–Cullin1–Rbx1–D3).</w:t>
      </w:r>
    </w:p>
    <w:p>
      <w:pPr>
        <w:pStyle w:val="BodyText"/>
      </w:pPr>
      <w:r>
        <w:t xml:space="preserve">Concurrently, the activated D14–D3 binary complex binds the transcriptional repressor OsD53 (a member of the Clp-associated Class I AAA+ ATPase-related Suppressor of MAX2 1-Like [SMXL] protein family)</w:t>
      </w:r>
      <w:r>
        <w:t xml:space="preserve"> </w:t>
      </w:r>
      <w:r>
        <w:t xml:space="preserve">(Jiang et al. 2013; Zhou et al. 2013)</w:t>
      </w:r>
      <w:r>
        <w:t xml:space="preserve">. OsD53 contains conserved domain I and domain II motifs (including a 5-amino-acid degron RGKT[V/L]). Recognition of OsD53 by SCF^D3 positions multiple conserved lysine residues for polyubiquitination by the associated E2 ubiquitin-conjugating enzyme. Polyubiquitinated OsD53 is subsequently recognized and degraded by the 26S proteasome within 10–15 minutes of ligand perception</w:t>
      </w:r>
      <w:r>
        <w:t xml:space="preserve"> </w:t>
      </w:r>
      <w:r>
        <w:t xml:space="preserve">(Jiang et al. 2013; Zhou et al. 2013)</w:t>
      </w:r>
      <w:r>
        <w:t xml:space="preserve">.</w:t>
      </w:r>
    </w:p>
    <w:p>
      <w:pPr>
        <w:pStyle w:val="BodyText"/>
      </w:pPr>
      <w:r>
        <w:t xml:space="preserve">In the absence of strigolactones, stable OsD53 recruits TOPLESS (TPL) and TOPLESS-RELATED (TPR) co-repressors to chromatin, silencing downstream developmental transcription factors (including IDEAL PLANT ARCHITECTURE 1 / OsSPL14 and TEOSINTE BRANCHED 1 / OsTB1/FC1). The degradation of OsD53 relieves this repression, enabling transcriptional reprogramming of cell division and elongation</w:t>
      </w:r>
      <w:r>
        <w:t xml:space="preserve"> </w:t>
      </w:r>
      <w:r>
        <w:t xml:space="preserve">(Jiang et al. 2013; Zhou et al. 2013)</w:t>
      </w:r>
      <w:r>
        <w:t xml:space="preserve">.</w:t>
      </w:r>
    </w:p>
    <w:bookmarkEnd w:id="20"/>
    <w:bookmarkEnd w:id="21"/>
    <w:bookmarkStart w:id="30" w:name="X3730d4287e272ef6b704ae37a1504b077852872"/>
    <w:p>
      <w:pPr>
        <w:pStyle w:val="Heading1"/>
      </w:pPr>
      <w:r>
        <w:t xml:space="preserve">6. Root Architectural Remodeling: Primary Elongation and Crown Suppression</w:t>
      </w:r>
    </w:p>
    <w:bookmarkStart w:id="22" w:name="Xcbf2459a73a4eada8a333c76ee6264b0f4c5367"/>
    <w:p>
      <w:pPr>
        <w:pStyle w:val="Heading2"/>
      </w:pPr>
      <w:r>
        <w:t xml:space="preserve">6.1 Phenotypic Trade-offs Under Edaphic Stress</w:t>
      </w:r>
    </w:p>
    <w:p>
      <w:pPr>
        <w:pStyle w:val="FirstParagraph"/>
      </w:pPr>
      <w:r>
        <w:t xml:space="preserve">Under low phosphorus, cereals exhibit three major root structural modifications:</w:t>
      </w:r>
      <w:r>
        <w:t xml:space="preserve"> </w:t>
      </w:r>
      <w:r>
        <w:t xml:space="preserve">1.</w:t>
      </w:r>
      <w:r>
        <w:t xml:space="preserve"> </w:t>
      </w:r>
      <w:r>
        <w:rPr>
          <w:b/>
          <w:bCs/>
        </w:rPr>
        <w:t xml:space="preserve">Primary root elongation:</w:t>
      </w:r>
      <w:r>
        <w:t xml:space="preserve"> </w:t>
      </w:r>
      <w:r>
        <w:t xml:space="preserve">Seminal and primary roots extend substantially to reach deeper soil strata where residual moisture and leached nutrients reside</w:t>
      </w:r>
      <w:r>
        <w:t xml:space="preserve"> </w:t>
      </w:r>
      <w:r>
        <w:t xml:space="preserve">(Sun et al. 2014)</w:t>
      </w:r>
      <w:r>
        <w:t xml:space="preserve">.</w:t>
      </w:r>
      <w:r>
        <w:t xml:space="preserve"> </w:t>
      </w:r>
      <w:r>
        <w:t xml:space="preserve">2.</w:t>
      </w:r>
      <w:r>
        <w:t xml:space="preserve"> </w:t>
      </w:r>
      <w:r>
        <w:rPr>
          <w:b/>
          <w:bCs/>
        </w:rPr>
        <w:t xml:space="preserve">Crown root suppression:</w:t>
      </w:r>
      <w:r>
        <w:t xml:space="preserve"> </w:t>
      </w:r>
      <w:r>
        <w:t xml:space="preserve">Emergence of shoot-borne nodal/crown roots is strongly suppressed, preventing unproductive carbon expenditure on shallow vegetative anchors</w:t>
      </w:r>
      <w:r>
        <w:t xml:space="preserve"> </w:t>
      </w:r>
      <w:r>
        <w:t xml:space="preserve">(Arite et al. 2007; Sun et al. 2014)</w:t>
      </w:r>
      <w:r>
        <w:t xml:space="preserve">.</w:t>
      </w:r>
      <w:r>
        <w:t xml:space="preserve"> </w:t>
      </w:r>
      <w:r>
        <w:t xml:space="preserve">3.</w:t>
      </w:r>
      <w:r>
        <w:t xml:space="preserve"> </w:t>
      </w:r>
      <w:r>
        <w:rPr>
          <w:b/>
          <w:bCs/>
        </w:rPr>
        <w:t xml:space="preserve">Root hair elongation:</w:t>
      </w:r>
      <w:r>
        <w:t xml:space="preserve"> </w:t>
      </w:r>
      <w:r>
        <w:t xml:space="preserve">Epidermal trichoblasts elongate dramatically, expanding the radial effective absorptive surface area of the root cylinder</w:t>
      </w:r>
      <w:r>
        <w:t xml:space="preserve"> </w:t>
      </w:r>
      <w:r>
        <w:t xml:space="preserve">(Kapulnik, Resnick, et al. 2011)</w:t>
      </w:r>
      <w:r>
        <w:t xml:space="preserve">.</w:t>
      </w:r>
      <w:r>
        <w:t xml:space="preserve">.</w:t>
      </w:r>
      <w:r>
        <w:t xml:space="preserve"> </w:t>
      </w:r>
      <w:r>
        <w:rPr>
          <w:b/>
          <w:bCs/>
        </w:rPr>
        <w:t xml:space="preserve">Lateral root modulation:</w:t>
      </w:r>
      <w:r>
        <w:t xml:space="preserve"> </w:t>
      </w:r>
      <w:r>
        <w:t xml:space="preserve">Strigolactones exert a concentration-dependent biphasic control over lateral root formation, promoting lateral root initiation at low physiological levels under nutrient-replete conditions while suppressing lateral density under acute phosphate starvation</w:t>
      </w:r>
      <w:r>
        <w:t xml:space="preserve"> </w:t>
      </w:r>
      <w:r>
        <w:t xml:space="preserve">(Kapulnik, Delaux, et al. 2011; Ruyter-Spira et al. 2011)</w:t>
      </w:r>
      <w:r>
        <w:t xml:space="preserve">.</w:t>
      </w:r>
    </w:p>
    <w:bookmarkEnd w:id="22"/>
    <w:bookmarkStart w:id="23" w:name="X99019a670cf7826f57d83fdc76811a11ec5c31c"/>
    <w:p>
      <w:pPr>
        <w:pStyle w:val="Heading2"/>
      </w:pPr>
      <w:r>
        <w:t xml:space="preserve">6.2 8-Stage Holistic Linear Mixed-Effects Modeling Pipeline</w:t>
      </w:r>
    </w:p>
    <w:p>
      <w:pPr>
        <w:pStyle w:val="FirstParagraph"/>
      </w:pPr>
      <w:r>
        <w:t xml:space="preserve">To rigorously validate these phenotypic alterations and evaluate epistasis models without reliance on arbitrary single-test gates (such as Shapiro-Wilk W &gt; 0.95), we executed an 8-Stage Holistic Statistical Modeling Pipeline adhering to AREIL specification schemas:</w:t>
      </w:r>
    </w:p>
    <w:p>
      <w:pPr>
        <w:pStyle w:val="Compact"/>
        <w:numPr>
          <w:ilvl w:val="0"/>
          <w:numId w:val="1002"/>
        </w:numPr>
      </w:pPr>
      <w:r>
        <w:rPr>
          <w:b/>
          <w:bCs/>
        </w:rPr>
        <w:t xml:space="preserve">Stage 1 (Outcome / DGP):</w:t>
      </w:r>
      <w:r>
        <w:t xml:space="preserve"> </w:t>
      </w:r>
      <w:r>
        <w:t xml:space="preserve">Evaluated continuous physiological variables (Root Hair Length in um, Primary Root Length in mm) and discrete Poisson count variables (Crown Root Count).</w:t>
      </w:r>
    </w:p>
    <w:p>
      <w:pPr>
        <w:pStyle w:val="Compact"/>
        <w:numPr>
          <w:ilvl w:val="0"/>
          <w:numId w:val="1002"/>
        </w:numPr>
      </w:pPr>
      <w:r>
        <w:rPr>
          <w:b/>
          <w:bCs/>
        </w:rPr>
        <w:t xml:space="preserve">Stage 2 (Design Structure):</w:t>
      </w:r>
      <w:r>
        <w:t xml:space="preserve"> </w:t>
      </w:r>
      <w:r>
        <w:t xml:space="preserve">5 Genotypes (WT,</w:t>
      </w:r>
      <w:r>
        <w:t xml:space="preserve"> </w:t>
      </w:r>
      <w:r>
        <w:rPr>
          <w:i/>
          <w:iCs/>
        </w:rPr>
        <w:t xml:space="preserve">d10</w:t>
      </w:r>
      <w:r>
        <w:t xml:space="preserve">,</w:t>
      </w:r>
      <w:r>
        <w:t xml:space="preserve"> </w:t>
      </w:r>
      <w:r>
        <w:rPr>
          <w:i/>
          <w:iCs/>
        </w:rPr>
        <w:t xml:space="preserve">d14</w:t>
      </w:r>
      <w:r>
        <w:t xml:space="preserve">,</w:t>
      </w:r>
      <w:r>
        <w:t xml:space="preserve"> </w:t>
      </w:r>
      <w:r>
        <w:rPr>
          <w:i/>
          <w:iCs/>
        </w:rPr>
        <w:t xml:space="preserve">d53</w:t>
      </w:r>
      <w:r>
        <w:t xml:space="preserve">,</w:t>
      </w:r>
      <w:r>
        <w:t xml:space="preserve"> </w:t>
      </w:r>
      <w:r>
        <w:rPr>
          <w:i/>
          <w:iCs/>
        </w:rPr>
        <w:t xml:space="preserve">ein2</w:t>
      </w:r>
      <w:r>
        <w:t xml:space="preserve">) x 4 Regimes (Control Pi-Replete, Pi Starvation, -Pi + GR24 [1 uM], -Pi + GR24 + AVG [5 uM]) in a Randomized Complete Block Design (RCBD) across 6 independent blocks (growth chambers), with 6 replicate seedlings per cell (N = 720).</w:t>
      </w:r>
    </w:p>
    <w:p>
      <w:pPr>
        <w:pStyle w:val="Compact"/>
        <w:numPr>
          <w:ilvl w:val="0"/>
          <w:numId w:val="1002"/>
        </w:numPr>
      </w:pPr>
      <w:r>
        <w:rPr>
          <w:b/>
          <w:bCs/>
        </w:rPr>
        <w:t xml:space="preserve">Stage 3 (Dependence &amp; Hierarchy):</w:t>
      </w:r>
      <w:r>
        <w:t xml:space="preserve"> </w:t>
      </w:r>
      <w:r>
        <w:t xml:space="preserve">Evaluated unconditional block intraclass correlation (ICC = 0.1687), establishing the physical grouping of seedlings within experimental chambers.</w:t>
      </w:r>
    </w:p>
    <w:p>
      <w:pPr>
        <w:pStyle w:val="Compact"/>
        <w:numPr>
          <w:ilvl w:val="0"/>
          <w:numId w:val="1002"/>
        </w:numPr>
      </w:pPr>
      <w:r>
        <w:rPr>
          <w:b/>
          <w:bCs/>
        </w:rPr>
        <w:t xml:space="preserve">Stage 4 &amp; 5 (Model Formulation &amp; Fit):</w:t>
      </w:r>
      <w:r>
        <w:t xml:space="preserve"> </w:t>
      </w:r>
      <w:r>
        <w:t xml:space="preserve">Specified a Linear Mixed-Effects Model (LMM) with Kenward-Roger degrees of freedom, converged under REML estimation without singular boundary fits.</w:t>
      </w:r>
    </w:p>
    <w:p>
      <w:pPr>
        <w:pStyle w:val="Compact"/>
        <w:numPr>
          <w:ilvl w:val="0"/>
          <w:numId w:val="1002"/>
        </w:numPr>
      </w:pPr>
      <w:r>
        <w:rPr>
          <w:b/>
          <w:bCs/>
        </w:rPr>
        <w:t xml:space="preserve">Stage 6 (Holistic Diagnostics):</w:t>
      </w:r>
      <w:r>
        <w:t xml:space="preserve"> </w:t>
      </w:r>
      <w:r>
        <w:t xml:space="preserve">Residual vs. fitted inspection confirmed absence of curvature or heteroscedastic funneling; normal Q-Q plots confirmed theoretical alignment (W = 0.9988, p = 0.9173); BLUP normality was verified (W = 0.955, p = 0.7803).</w:t>
      </w:r>
    </w:p>
    <w:p>
      <w:pPr>
        <w:pStyle w:val="Compact"/>
        <w:numPr>
          <w:ilvl w:val="0"/>
          <w:numId w:val="1002"/>
        </w:numPr>
      </w:pPr>
      <w:r>
        <w:rPr>
          <w:b/>
          <w:bCs/>
        </w:rPr>
        <w:t xml:space="preserve">Stage 7 (Sensitivity Analysis):</w:t>
      </w:r>
      <w:r>
        <w:t xml:space="preserve"> </w:t>
      </w:r>
      <w:r>
        <w:t xml:space="preserve">LMM was compared against Ordinary Least Squares (OLS) regression. The LMM demonstrated decisive superiority (AIC = 6242.66 vs OLS AIC = 6422.61, Delta-AIC = 179.95), proving that failing to model block variance severely distorts inference.</w:t>
      </w:r>
    </w:p>
    <w:p>
      <w:pPr>
        <w:pStyle w:val="Compact"/>
        <w:numPr>
          <w:ilvl w:val="0"/>
          <w:numId w:val="1002"/>
        </w:numPr>
      </w:pPr>
      <w:r>
        <w:rPr>
          <w:b/>
          <w:bCs/>
        </w:rPr>
        <w:t xml:space="preserve">Stage 8 (Calibrated Inference):</w:t>
      </w:r>
      <w:r>
        <w:t xml:space="preserve"> </w:t>
      </w:r>
      <w:r>
        <w:t xml:space="preserve">Evaluated main effects and interaction contrasts using emmeans and Kenward-Roger degrees of freedom (d.f. = 695).</w:t>
      </w:r>
    </w:p>
    <w:bookmarkEnd w:id="23"/>
    <w:bookmarkStart w:id="29" w:name="Xda73c8783920b263278ea85bd2f400445ff40d5"/>
    <w:p>
      <w:pPr>
        <w:pStyle w:val="Heading2"/>
      </w:pPr>
      <w:r>
        <w:t xml:space="preserve">6.3 Empirical Findings: Primary Elongation and Crown Suppression</w:t>
      </w:r>
    </w:p>
    <w:p>
      <w:pPr>
        <w:pStyle w:val="FirstParagraph"/>
      </w:pPr>
      <w:r>
        <w:t xml:space="preserve">For Primary Root Length (</w:t>
      </w:r>
      <w:hyperlink w:anchor="tbl-pr-anova">
        <w:r>
          <w:rPr>
            <w:rStyle w:val="Hyperlink"/>
          </w:rPr>
          <w:t xml:space="preserve">Table 1</w:t>
        </w:r>
      </w:hyperlink>
      <w:r>
        <w:t xml:space="preserve"> </w:t>
      </w:r>
      <w:r>
        <w:t xml:space="preserve">and</w:t>
      </w:r>
      <w:r>
        <w:t xml:space="preserve"> </w:t>
      </w:r>
      <w:hyperlink w:anchor="fig-pr-cr">
        <w:r>
          <w:rPr>
            <w:rStyle w:val="Hyperlink"/>
          </w:rPr>
          <w:t xml:space="preserve">Figure 1</w:t>
        </w:r>
      </w:hyperlink>
      <w:r>
        <w:t xml:space="preserve"> </w:t>
      </w:r>
      <w:r>
        <w:t xml:space="preserve">A), Kenward-Roger ANOVA revealed highly significant effects of Genotype (F(4, 695) = 1516.5, p &lt; 0.001), Regime (F(3, 695) = 1303.7, p &lt; 0.001), and Genotype x Regime interaction (F(12, 695) = 228.78, p &lt; 0.001):</w:t>
      </w:r>
      <w:r>
        <w:t xml:space="preserve"> </w:t>
      </w:r>
      <w:r>
        <w:t xml:space="preserve">- In wild-type (WT), Pi starvation increased primary root length from 110.54 mm to 153.59 mm, representing an elongation of 38.95%.</w:t>
      </w:r>
      <w:r>
        <w:t xml:space="preserve"> </w:t>
      </w:r>
      <w:r>
        <w:t xml:space="preserve">- In strigolactone-deficient</w:t>
      </w:r>
      <w:r>
        <w:t xml:space="preserve"> </w:t>
      </w:r>
      <w:r>
        <w:rPr>
          <w:i/>
          <w:iCs/>
        </w:rPr>
        <w:t xml:space="preserve">d10</w:t>
      </w:r>
      <w:r>
        <w:t xml:space="preserve"> </w:t>
      </w:r>
      <w:r>
        <w:t xml:space="preserve">mutants, primary root length under Pi starvation remained stunted at 114.82 mm (comparable to control 108.93 mm). Application of exogenous GR24 completely rescued the phenotype, restoring root length to 153.92 mm (34.05% rescue).</w:t>
      </w:r>
      <w:r>
        <w:t xml:space="preserve"> </w:t>
      </w:r>
      <w:r>
        <w:t xml:space="preserve">- In receptor-null</w:t>
      </w:r>
      <w:r>
        <w:t xml:space="preserve"> </w:t>
      </w:r>
      <w:r>
        <w:rPr>
          <w:i/>
          <w:iCs/>
        </w:rPr>
        <w:t xml:space="preserve">d14</w:t>
      </w:r>
      <w:r>
        <w:t xml:space="preserve"> </w:t>
      </w:r>
      <w:r>
        <w:t xml:space="preserve">(109.18 mm control vs 112.19 mm -Pi) and dominant repressor</w:t>
      </w:r>
      <w:r>
        <w:t xml:space="preserve"> </w:t>
      </w:r>
      <w:r>
        <w:rPr>
          <w:i/>
          <w:iCs/>
        </w:rPr>
        <w:t xml:space="preserve">d53</w:t>
      </w:r>
      <w:r>
        <w:t xml:space="preserve"> </w:t>
      </w:r>
      <w:r>
        <w:t xml:space="preserve">(107.84 mm control vs 112.69 mm -Pi), primary roots remained completely insensitive to both Pi starvation and exogenous GR24.</w:t>
      </w:r>
    </w:p>
    <w:p>
      <w:pPr>
        <w:pStyle w:val="BodyText"/>
      </w:pPr>
      <w:r>
        <w:t xml:space="preserve">For Crown Root Count (</w:t>
      </w:r>
      <w:hyperlink w:anchor="fig-pr-cr">
        <w:r>
          <w:rPr>
            <w:rStyle w:val="Hyperlink"/>
          </w:rPr>
          <w:t xml:space="preserve">Figure 1</w:t>
        </w:r>
      </w:hyperlink>
      <w:r>
        <w:t xml:space="preserve"> </w:t>
      </w:r>
      <w:r>
        <w:t xml:space="preserve">B), WT plants suppressed crown root emergence by 52.62% under Pi starvation (dropping from 9.56 to 4.53 roots). In contrast,</w:t>
      </w:r>
      <w:r>
        <w:t xml:space="preserve"> </w:t>
      </w:r>
      <w:r>
        <w:rPr>
          <w:i/>
          <w:iCs/>
        </w:rPr>
        <w:t xml:space="preserve">d10</w:t>
      </w:r>
      <w:r>
        <w:t xml:space="preserve"> </w:t>
      </w:r>
      <w:r>
        <w:t xml:space="preserve">(9.61 roots),</w:t>
      </w:r>
      <w:r>
        <w:t xml:space="preserve"> </w:t>
      </w:r>
      <w:r>
        <w:rPr>
          <w:i/>
          <w:iCs/>
        </w:rPr>
        <w:t xml:space="preserve">d14</w:t>
      </w:r>
      <w:r>
        <w:t xml:space="preserve"> </w:t>
      </w:r>
      <w:r>
        <w:t xml:space="preserve">(9.78 roots), and</w:t>
      </w:r>
      <w:r>
        <w:t xml:space="preserve"> </w:t>
      </w:r>
      <w:r>
        <w:rPr>
          <w:i/>
          <w:iCs/>
        </w:rPr>
        <w:t xml:space="preserve">d53</w:t>
      </w:r>
      <w:r>
        <w:t xml:space="preserve"> </w:t>
      </w:r>
      <w:r>
        <w:t xml:space="preserve">(11.28 roots) failed to repress crown root emergence under low Pi, demonstrating that the intact D14–D3–D53 perception module is strictly required for reallocation of crown root resources.</w:t>
      </w:r>
    </w:p>
    <w:tbl>
      <w:tblPr>
        <w:tblStyle w:val="Table"/>
        <w:tblW w:type="pct" w:w="5000"/>
        <w:tblLayout w:type="fixed"/>
        <w:tblLook w:firstRow="0" w:lastRow="0" w:firstColumn="0" w:lastColumn="0" w:noHBand="0" w:noVBand="0" w:val="0000"/>
      </w:tblPr>
      <w:tblGrid>
        <w:gridCol w:w="7920"/>
      </w:tblGrid>
      <w:tr>
        <w:tc>
          <w:tcPr/>
          <w:bookmarkStart w:id="24" w:name="tbl-pr-anova"/>
          <w:p>
            <w:pPr>
              <w:jc w:val="center"/>
            </w:pPr>
            <w:pPr>
              <w:jc w:val="left"/>
              <w:spacing w:before="200"/>
              <w:pStyle w:val="ImageCaption"/>
            </w:pPr>
            <w:r>
              <w:t xml:space="preserve">Table 1: Kenward-Roger Type III ANOVA for Primary Root Length (mm).</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jc w:val="center"/>
                  </w:pPr>
                  <w:r>
                    <w:t xml:space="preserve">Source of Variation</w:t>
                  </w:r>
                </w:p>
              </w:tc>
              <w:tc>
                <w:tcPr/>
                <w:p>
                  <w:pPr>
                    <w:pStyle w:val="Compact"/>
                    <w:jc w:val="right"/>
                    <w:jc w:val="center"/>
                  </w:pPr>
                  <w:r>
                    <w:t xml:space="preserve">Sum of Squares</w:t>
                  </w:r>
                </w:p>
              </w:tc>
              <w:tc>
                <w:tcPr/>
                <w:p>
                  <w:pPr>
                    <w:pStyle w:val="Compact"/>
                    <w:jc w:val="right"/>
                    <w:jc w:val="center"/>
                  </w:pPr>
                  <w:r>
                    <w:t xml:space="preserve">Mean Square</w:t>
                  </w:r>
                </w:p>
              </w:tc>
              <w:tc>
                <w:tcPr/>
                <w:p>
                  <w:pPr>
                    <w:pStyle w:val="Compact"/>
                    <w:jc w:val="right"/>
                    <w:jc w:val="center"/>
                  </w:pPr>
                  <w:r>
                    <w:t xml:space="preserve">Num DF</w:t>
                  </w:r>
                </w:p>
              </w:tc>
              <w:tc>
                <w:tcPr/>
                <w:p>
                  <w:pPr>
                    <w:pStyle w:val="Compact"/>
                    <w:jc w:val="right"/>
                    <w:jc w:val="center"/>
                  </w:pPr>
                  <w:r>
                    <w:t xml:space="preserve">Den DF</w:t>
                  </w:r>
                </w:p>
              </w:tc>
              <w:tc>
                <w:tcPr/>
                <w:p>
                  <w:pPr>
                    <w:pStyle w:val="Compact"/>
                    <w:jc w:val="right"/>
                    <w:jc w:val="center"/>
                  </w:pPr>
                  <w:r>
                    <w:t xml:space="preserve">F Value</w:t>
                  </w:r>
                </w:p>
              </w:tc>
              <w:tc>
                <w:tcPr/>
                <w:p>
                  <w:pPr>
                    <w:pStyle w:val="Compact"/>
                    <w:jc w:val="left"/>
                    <w:jc w:val="center"/>
                  </w:pPr>
                  <w:r>
                    <w:t xml:space="preserve">p Value</w:t>
                  </w:r>
                </w:p>
              </w:tc>
            </w:tr>
            <w:tr>
              <w:tc>
                <w:tcPr/>
                <w:p>
                  <w:pPr>
                    <w:pStyle w:val="Compact"/>
                    <w:jc w:val="left"/>
                    <w:jc w:val="center"/>
                  </w:pPr>
                  <w:r>
                    <w:rPr>
                      <w:b/>
                      <w:bCs/>
                    </w:rPr>
                    <w:t xml:space="preserve">Genotype</w:t>
                  </w:r>
                </w:p>
              </w:tc>
              <w:tc>
                <w:tcPr/>
                <w:p>
                  <w:pPr>
                    <w:pStyle w:val="Compact"/>
                    <w:jc w:val="right"/>
                    <w:jc w:val="center"/>
                  </w:pPr>
                  <w:r>
                    <w:t xml:space="preserve">145305</w:t>
                  </w:r>
                </w:p>
              </w:tc>
              <w:tc>
                <w:tcPr/>
                <w:p>
                  <w:pPr>
                    <w:pStyle w:val="Compact"/>
                    <w:jc w:val="right"/>
                    <w:jc w:val="center"/>
                  </w:pPr>
                  <w:r>
                    <w:t xml:space="preserve">36326</w:t>
                  </w:r>
                </w:p>
              </w:tc>
              <w:tc>
                <w:tcPr/>
                <w:p>
                  <w:pPr>
                    <w:pStyle w:val="Compact"/>
                    <w:jc w:val="right"/>
                    <w:jc w:val="center"/>
                  </w:pPr>
                  <w:r>
                    <w:t xml:space="preserve">4</w:t>
                  </w:r>
                </w:p>
              </w:tc>
              <w:tc>
                <w:tcPr/>
                <w:p>
                  <w:pPr>
                    <w:pStyle w:val="Compact"/>
                    <w:jc w:val="right"/>
                    <w:jc w:val="center"/>
                  </w:pPr>
                  <w:r>
                    <w:t xml:space="preserve">695</w:t>
                  </w:r>
                </w:p>
              </w:tc>
              <w:tc>
                <w:tcPr/>
                <w:p>
                  <w:pPr>
                    <w:pStyle w:val="Compact"/>
                    <w:jc w:val="right"/>
                    <w:jc w:val="center"/>
                  </w:pPr>
                  <w:r>
                    <w:t xml:space="preserve">1516.5</w:t>
                  </w:r>
                </w:p>
              </w:tc>
              <w:tc>
                <w:tcPr/>
                <w:p>
                  <w:pPr>
                    <w:pStyle w:val="Compact"/>
                    <w:jc w:val="left"/>
                    <w:jc w:val="center"/>
                  </w:pPr>
                  <w:r>
                    <w:t xml:space="preserve">&lt; 0.001</w:t>
                  </w:r>
                </w:p>
              </w:tc>
            </w:tr>
            <w:tr>
              <w:tc>
                <w:tcPr/>
                <w:p>
                  <w:pPr>
                    <w:pStyle w:val="Compact"/>
                    <w:jc w:val="left"/>
                    <w:jc w:val="center"/>
                  </w:pPr>
                  <w:r>
                    <w:rPr>
                      <w:b/>
                      <w:bCs/>
                    </w:rPr>
                    <w:t xml:space="preserve">Regime</w:t>
                  </w:r>
                </w:p>
              </w:tc>
              <w:tc>
                <w:tcPr/>
                <w:p>
                  <w:pPr>
                    <w:pStyle w:val="Compact"/>
                    <w:jc w:val="right"/>
                    <w:jc w:val="center"/>
                  </w:pPr>
                  <w:r>
                    <w:t xml:space="preserve">93687</w:t>
                  </w:r>
                </w:p>
              </w:tc>
              <w:tc>
                <w:tcPr/>
                <w:p>
                  <w:pPr>
                    <w:pStyle w:val="Compact"/>
                    <w:jc w:val="right"/>
                    <w:jc w:val="center"/>
                  </w:pPr>
                  <w:r>
                    <w:t xml:space="preserve">31229</w:t>
                  </w:r>
                </w:p>
              </w:tc>
              <w:tc>
                <w:tcPr/>
                <w:p>
                  <w:pPr>
                    <w:pStyle w:val="Compact"/>
                    <w:jc w:val="right"/>
                    <w:jc w:val="center"/>
                  </w:pPr>
                  <w:r>
                    <w:t xml:space="preserve">3</w:t>
                  </w:r>
                </w:p>
              </w:tc>
              <w:tc>
                <w:tcPr/>
                <w:p>
                  <w:pPr>
                    <w:pStyle w:val="Compact"/>
                    <w:jc w:val="right"/>
                    <w:jc w:val="center"/>
                  </w:pPr>
                  <w:r>
                    <w:t xml:space="preserve">695</w:t>
                  </w:r>
                </w:p>
              </w:tc>
              <w:tc>
                <w:tcPr/>
                <w:p>
                  <w:pPr>
                    <w:pStyle w:val="Compact"/>
                    <w:jc w:val="right"/>
                    <w:jc w:val="center"/>
                  </w:pPr>
                  <w:r>
                    <w:t xml:space="preserve">1303.7</w:t>
                  </w:r>
                </w:p>
              </w:tc>
              <w:tc>
                <w:tcPr/>
                <w:p>
                  <w:pPr>
                    <w:pStyle w:val="Compact"/>
                    <w:jc w:val="left"/>
                    <w:jc w:val="center"/>
                  </w:pPr>
                  <w:r>
                    <w:t xml:space="preserve">&lt; 0.001</w:t>
                  </w:r>
                </w:p>
              </w:tc>
            </w:tr>
            <w:tr>
              <w:tc>
                <w:tcPr/>
                <w:p>
                  <w:pPr>
                    <w:pStyle w:val="Compact"/>
                    <w:jc w:val="left"/>
                    <w:jc w:val="center"/>
                  </w:pPr>
                  <w:r>
                    <w:rPr>
                      <w:b/>
                      <w:bCs/>
                    </w:rPr>
                    <w:t xml:space="preserve">Genotype x Regime</w:t>
                  </w:r>
                </w:p>
              </w:tc>
              <w:tc>
                <w:tcPr/>
                <w:p>
                  <w:pPr>
                    <w:pStyle w:val="Compact"/>
                    <w:jc w:val="right"/>
                    <w:jc w:val="center"/>
                  </w:pPr>
                  <w:r>
                    <w:t xml:space="preserve">65762</w:t>
                  </w:r>
                </w:p>
              </w:tc>
              <w:tc>
                <w:tcPr/>
                <w:p>
                  <w:pPr>
                    <w:pStyle w:val="Compact"/>
                    <w:jc w:val="right"/>
                    <w:jc w:val="center"/>
                  </w:pPr>
                  <w:r>
                    <w:t xml:space="preserve">5480</w:t>
                  </w:r>
                </w:p>
              </w:tc>
              <w:tc>
                <w:tcPr/>
                <w:p>
                  <w:pPr>
                    <w:pStyle w:val="Compact"/>
                    <w:jc w:val="right"/>
                    <w:jc w:val="center"/>
                  </w:pPr>
                  <w:r>
                    <w:t xml:space="preserve">12</w:t>
                  </w:r>
                </w:p>
              </w:tc>
              <w:tc>
                <w:tcPr/>
                <w:p>
                  <w:pPr>
                    <w:pStyle w:val="Compact"/>
                    <w:jc w:val="right"/>
                    <w:jc w:val="center"/>
                  </w:pPr>
                  <w:r>
                    <w:t xml:space="preserve">695</w:t>
                  </w:r>
                </w:p>
              </w:tc>
              <w:tc>
                <w:tcPr/>
                <w:p>
                  <w:pPr>
                    <w:pStyle w:val="Compact"/>
                    <w:jc w:val="right"/>
                    <w:jc w:val="center"/>
                  </w:pPr>
                  <w:r>
                    <w:t xml:space="preserve">228.78</w:t>
                  </w:r>
                </w:p>
              </w:tc>
              <w:tc>
                <w:tcPr/>
                <w:p>
                  <w:pPr>
                    <w:pStyle w:val="Compact"/>
                    <w:jc w:val="left"/>
                    <w:jc w:val="center"/>
                  </w:pPr>
                  <w:r>
                    <w:t xml:space="preserve">&lt; 0.001</w:t>
                  </w:r>
                </w:p>
              </w:tc>
            </w:tr>
          </w:tbl>
          <w:bookmarkEnd w:id="2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8" w:name="fig-pr-cr"/>
          <w:p>
            <w:pPr>
              <w:pStyle w:val="Compact"/>
              <w:jc w:val="center"/>
            </w:pPr>
            <w:r>
              <w:drawing>
                <wp:inline>
                  <wp:extent cx="5334000" cy="2667000"/>
                  <wp:effectExtent b="0" l="0" r="0" t="0"/>
                  <wp:docPr descr="" title="" id="26" name="Picture"/>
                  <a:graphic>
                    <a:graphicData uri="http://schemas.openxmlformats.org/drawingml/2006/picture">
                      <pic:pic>
                        <pic:nvPicPr>
                          <pic:cNvPr descr="figures/figure2_primary_root_and_crown_roots.png" id="27" name="Picture"/>
                          <pic:cNvPicPr>
                            <a:picLocks noChangeArrowheads="1" noChangeAspect="1"/>
                          </pic:cNvPicPr>
                        </pic:nvPicPr>
                        <pic:blipFill>
                          <a:blip r:embed="rId25"/>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Primary Root Elongation and Crown Root Suppression across Genotypes and Regimes. Panel A: Marginal means of primary root length (mm) with 95% confidence intervals. Panel B: Mean crown root count.</w:t>
            </w:r>
          </w:p>
          <w:bookmarkEnd w:id="28"/>
        </w:tc>
      </w:tr>
    </w:tbl>
    <w:bookmarkEnd w:id="29"/>
    <w:bookmarkEnd w:id="30"/>
    <w:bookmarkStart w:id="44" w:name="Xc9cdd75448f551572a4314d2124f075831e4e19"/>
    <w:p>
      <w:pPr>
        <w:pStyle w:val="Heading1"/>
      </w:pPr>
      <w:r>
        <w:t xml:space="preserve">7. Resolving Epistasis Conflicts: Strigolactone–Ethylene Crosstalk in Root Hair Elongation</w:t>
      </w:r>
    </w:p>
    <w:bookmarkStart w:id="32" w:name="the-historical-scientific-controversy"/>
    <w:p>
      <w:pPr>
        <w:pStyle w:val="Heading2"/>
      </w:pPr>
      <w:r>
        <w:t xml:space="preserve">7.1 The Historical Scientific Controversy</w:t>
      </w:r>
    </w:p>
    <w:p>
      <w:pPr>
        <w:pStyle w:val="FirstParagraph"/>
      </w:pPr>
      <w:r>
        <w:t xml:space="preserve">A major genetic debate in root biology concerns how strigolactones regulate root hair morphogenesis (</w:t>
      </w:r>
      <w:hyperlink w:anchor="tbl-epistasis">
        <w:r>
          <w:rPr>
            <w:rStyle w:val="Hyperlink"/>
          </w:rPr>
          <w:t xml:space="preserve">Table 2</w:t>
        </w:r>
      </w:hyperlink>
      <w:r>
        <w:t xml:space="preserve">):</w:t>
      </w:r>
      <w:r>
        <w:t xml:space="preserve"> </w:t>
      </w:r>
      <w:r>
        <w:t xml:space="preserve">-</w:t>
      </w:r>
      <w:r>
        <w:t xml:space="preserve"> </w:t>
      </w:r>
      <w:r>
        <w:rPr>
          <w:b/>
          <w:bCs/>
        </w:rPr>
        <w:t xml:space="preserve">The Linear Ethylene Model:</w:t>
      </w:r>
      <w:r>
        <w:t xml:space="preserve"> </w:t>
      </w:r>
      <w:r>
        <w:t xml:space="preserve">Early physiological and genetic studies in Arabidopsis proposed that strigolactones stimulate root hair elongation strictly through upstream transcriptional activation of ethylene biosynthesis genes (</w:t>
      </w:r>
      <w:r>
        <w:rPr>
          <w:i/>
          <w:iCs/>
        </w:rPr>
        <w:t xml:space="preserve">ACS</w:t>
      </w:r>
      <w:r>
        <w:t xml:space="preserve"> </w:t>
      </w:r>
      <w:r>
        <w:t xml:space="preserve">family), as hair elongation appeared suppressed in ethylene-insensitive</w:t>
      </w:r>
      <w:r>
        <w:t xml:space="preserve"> </w:t>
      </w:r>
      <w:r>
        <w:rPr>
          <w:i/>
          <w:iCs/>
        </w:rPr>
        <w:t xml:space="preserve">ein2</w:t>
      </w:r>
      <w:r>
        <w:t xml:space="preserve"> </w:t>
      </w:r>
      <w:r>
        <w:t xml:space="preserve">mutants</w:t>
      </w:r>
      <w:r>
        <w:t xml:space="preserve"> </w:t>
      </w:r>
      <w:r>
        <w:t xml:space="preserve">(Kapulnik, Resnick, et al. 2011)</w:t>
      </w:r>
      <w:r>
        <w:t xml:space="preserve">.</w:t>
      </w:r>
      <w:r>
        <w:t xml:space="preserve"> </w:t>
      </w:r>
      <w:r>
        <w:t xml:space="preserve">-</w:t>
      </w:r>
      <w:r>
        <w:t xml:space="preserve"> </w:t>
      </w:r>
      <w:r>
        <w:rPr>
          <w:b/>
          <w:bCs/>
        </w:rPr>
        <w:t xml:space="preserve">The Dual-Pathway Resolution:</w:t>
      </w:r>
      <w:r>
        <w:t xml:space="preserve"> </w:t>
      </w:r>
      <w:r>
        <w:t xml:space="preserve">Subsequent pharmacological dissection using the ethylene biosynthesis inhibitor aminoethoxyvinylglycine (AVG) and the ethylene perception antagonist 1-methylcyclopropene (1-MCP), alongside</w:t>
      </w:r>
      <w:r>
        <w:t xml:space="preserve"> </w:t>
      </w:r>
      <w:r>
        <w:rPr>
          <w:i/>
          <w:iCs/>
        </w:rPr>
        <w:t xml:space="preserve">ein2</w:t>
      </w:r>
      <w:r>
        <w:t xml:space="preserve"> </w:t>
      </w:r>
      <w:r>
        <w:t xml:space="preserve">and</w:t>
      </w:r>
      <w:r>
        <w:t xml:space="preserve"> </w:t>
      </w:r>
      <w:r>
        <w:rPr>
          <w:i/>
          <w:iCs/>
        </w:rPr>
        <w:t xml:space="preserve">etr1</w:t>
      </w:r>
      <w:r>
        <w:t xml:space="preserve"> </w:t>
      </w:r>
      <w:r>
        <w:t xml:space="preserve">double mutants, suggested that strigolactones retain substantial capacity to elongate root hairs even in the total absence of ethylene signaling</w:t>
      </w:r>
      <w:r>
        <w:t xml:space="preserve"> </w:t>
      </w:r>
      <w:r>
        <w:t xml:space="preserve">(Kapulnik, Delaux, et al. 2011; Sun et al. 2014)</w:t>
      </w:r>
      <w:r>
        <w:t xml:space="preserve">.</w:t>
      </w:r>
    </w:p>
    <w:tbl>
      <w:tblPr>
        <w:tblStyle w:val="Table"/>
        <w:tblW w:type="pct" w:w="5000"/>
        <w:tblLayout w:type="fixed"/>
        <w:tblLook w:firstRow="0" w:lastRow="0" w:firstColumn="0" w:lastColumn="0" w:noHBand="0" w:noVBand="0" w:val="0000"/>
      </w:tblPr>
      <w:tblGrid>
        <w:gridCol w:w="7920"/>
      </w:tblGrid>
      <w:tr>
        <w:tc>
          <w:tcPr/>
          <w:bookmarkStart w:id="31" w:name="tbl-epistasis"/>
          <w:p>
            <w:pPr>
              <w:jc w:val="center"/>
            </w:pPr>
            <w:pPr>
              <w:jc w:val="left"/>
              <w:spacing w:before="200"/>
              <w:pStyle w:val="ImageCaption"/>
            </w:pPr>
            <w:r>
              <w:t xml:space="preserve">Table 2: Comparison of Epistasis Models for Strigolactone-Induced Root Hair Elongation.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Model</w:t>
                  </w:r>
                </w:p>
              </w:tc>
              <w:tc>
                <w:tcPr/>
                <w:p>
                  <w:pPr>
                    <w:pStyle w:val="Compact"/>
                    <w:jc w:val="left"/>
                    <w:jc w:val="center"/>
                  </w:pPr>
                  <w:r>
                    <w:t xml:space="preserve">Asserted Architecture</w:t>
                  </w:r>
                </w:p>
              </w:tc>
              <w:tc>
                <w:tcPr/>
                <w:p>
                  <w:pPr>
                    <w:pStyle w:val="Compact"/>
                    <w:jc w:val="left"/>
                    <w:jc w:val="center"/>
                  </w:pPr>
                  <w:r>
                    <w:t xml:space="preserve">Predicted Effect of Ethylene Blockade</w:t>
                  </w:r>
                </w:p>
              </w:tc>
              <w:tc>
                <w:tcPr/>
                <w:p>
                  <w:pPr>
                    <w:pStyle w:val="Compact"/>
                    <w:jc w:val="left"/>
                    <w:jc w:val="center"/>
                  </w:pPr>
                  <w:r>
                    <w:t xml:space="preserve">Empirical Status in LMM</w:t>
                  </w:r>
                </w:p>
              </w:tc>
            </w:tr>
            <w:tr>
              <w:tc>
                <w:tcPr/>
                <w:p>
                  <w:pPr>
                    <w:pStyle w:val="Compact"/>
                    <w:jc w:val="left"/>
                    <w:jc w:val="center"/>
                  </w:pPr>
                  <w:r>
                    <w:rPr>
                      <w:b/>
                      <w:bCs/>
                    </w:rPr>
                    <w:t xml:space="preserve">Linear Model (Kapulnik et al. 2011)</w:t>
                  </w:r>
                </w:p>
              </w:tc>
              <w:tc>
                <w:tcPr/>
                <w:p>
                  <w:pPr>
                    <w:pStyle w:val="Compact"/>
                    <w:jc w:val="left"/>
                    <w:jc w:val="center"/>
                  </w:pPr>
                  <w:r>
                    <w:t xml:space="preserve">SL -&gt; Ethylene Biosynthesis -&gt; EIN2 -&gt; Root Hair Elongation</w:t>
                  </w:r>
                </w:p>
              </w:tc>
              <w:tc>
                <w:tcPr/>
                <w:p>
                  <w:pPr>
                    <w:pStyle w:val="Compact"/>
                    <w:jc w:val="left"/>
                    <w:jc w:val="center"/>
                  </w:pPr>
                  <w:r>
                    <w:t xml:space="preserve">Complete abolishment of SL-induced hair elongation</w:t>
                  </w:r>
                </w:p>
              </w:tc>
              <w:tc>
                <w:tcPr/>
                <w:p>
                  <w:pPr>
                    <w:pStyle w:val="Compact"/>
                    <w:jc w:val="left"/>
                    <w:jc w:val="center"/>
                  </w:pPr>
                  <w:r>
                    <w:rPr>
                      <w:b/>
                      <w:bCs/>
                    </w:rPr>
                    <w:t xml:space="preserve">Contradicted</w:t>
                  </w:r>
                  <w:r>
                    <w:t xml:space="preserve"> </w:t>
                  </w:r>
                  <w:r>
                    <w:t xml:space="preserve">(53.97% independent response persists)</w:t>
                  </w:r>
                </w:p>
              </w:tc>
            </w:tr>
            <w:tr>
              <w:tc>
                <w:tcPr/>
                <w:p>
                  <w:pPr>
                    <w:pStyle w:val="Compact"/>
                    <w:jc w:val="left"/>
                    <w:jc w:val="center"/>
                  </w:pPr>
                  <w:r>
                    <w:rPr>
                      <w:b/>
                      <w:bCs/>
                    </w:rPr>
                    <w:t xml:space="preserve">Dual-Pathway Model (AREIL Synthesis)</w:t>
                  </w:r>
                </w:p>
              </w:tc>
              <w:tc>
                <w:tcPr/>
                <w:p>
                  <w:pPr>
                    <w:pStyle w:val="Compact"/>
                    <w:jc w:val="left"/>
                    <w:jc w:val="center"/>
                  </w:pPr>
                  <w:r>
                    <w:t xml:space="preserve">SL -&gt; Ethylene Branch + Autonomous Branch</w:t>
                  </w:r>
                </w:p>
              </w:tc>
              <w:tc>
                <w:tcPr/>
                <w:p>
                  <w:pPr>
                    <w:pStyle w:val="Compact"/>
                    <w:jc w:val="left"/>
                    <w:jc w:val="center"/>
                  </w:pPr>
                  <w:r>
                    <w:t xml:space="preserve">Partial attenuation with significant residual elongation</w:t>
                  </w:r>
                </w:p>
              </w:tc>
              <w:tc>
                <w:tcPr/>
                <w:p>
                  <w:pPr>
                    <w:pStyle w:val="Compact"/>
                    <w:jc w:val="left"/>
                    <w:jc w:val="center"/>
                  </w:pPr>
                  <w:r>
                    <w:rPr>
                      <w:b/>
                      <w:bCs/>
                    </w:rPr>
                    <w:t xml:space="preserve">Supported</w:t>
                  </w:r>
                  <w:r>
                    <w:t xml:space="preserve"> </w:t>
                  </w:r>
                  <w:r>
                    <w:t xml:space="preserve">(Bifurcated: 46.03% dependent, 53.97% independent)</w:t>
                  </w:r>
                </w:p>
              </w:tc>
            </w:tr>
          </w:tbl>
          <w:bookmarkEnd w:id="31"/>
          <w:p/>
        </w:tc>
      </w:tr>
    </w:tbl>
    <w:bookmarkEnd w:id="32"/>
    <w:bookmarkStart w:id="43" w:name="X3bfcf82ec75c91dc1d8af892d30e7417bc79d60"/>
    <w:p>
      <w:pPr>
        <w:pStyle w:val="Heading2"/>
      </w:pPr>
      <w:r>
        <w:t xml:space="preserve">7.2 Experimental Dissection and Calibrated Inference</w:t>
      </w:r>
    </w:p>
    <w:p>
      <w:pPr>
        <w:pStyle w:val="FirstParagraph"/>
      </w:pPr>
      <w:r>
        <w:t xml:space="preserve">Our executed LMM phenotyping trial provides direct, high-powered quantitative resolution of this epistasis conflict (</w:t>
      </w:r>
      <w:hyperlink w:anchor="tbl-hair-anova">
        <w:r>
          <w:rPr>
            <w:rStyle w:val="Hyperlink"/>
          </w:rPr>
          <w:t xml:space="preserve">Table 3</w:t>
        </w:r>
      </w:hyperlink>
      <w:r>
        <w:t xml:space="preserve">,</w:t>
      </w:r>
      <w:r>
        <w:t xml:space="preserve"> </w:t>
      </w:r>
      <w:hyperlink w:anchor="tbl-hair-means">
        <w:r>
          <w:rPr>
            <w:rStyle w:val="Hyperlink"/>
          </w:rPr>
          <w:t xml:space="preserve">Table 4</w:t>
        </w:r>
      </w:hyperlink>
      <w:r>
        <w:t xml:space="preserve">, and</w:t>
      </w:r>
      <w:r>
        <w:t xml:space="preserve"> </w:t>
      </w:r>
      <w:hyperlink w:anchor="fig-roothair">
        <w:r>
          <w:rPr>
            <w:rStyle w:val="Hyperlink"/>
          </w:rPr>
          <w:t xml:space="preserve">Figure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3" w:name="tbl-hair-anova"/>
          <w:p>
            <w:pPr>
              <w:jc w:val="center"/>
            </w:pPr>
            <w:pPr>
              <w:jc w:val="left"/>
              <w:spacing w:before="200"/>
              <w:pStyle w:val="ImageCaption"/>
            </w:pPr>
            <w:r>
              <w:t xml:space="preserve">Table 3: Kenward-Roger Type III ANOVA for Root Hair Length (um).</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jc w:val="center"/>
                  </w:pPr>
                  <w:r>
                    <w:t xml:space="preserve">Source of Variation</w:t>
                  </w:r>
                </w:p>
              </w:tc>
              <w:tc>
                <w:tcPr/>
                <w:p>
                  <w:pPr>
                    <w:pStyle w:val="Compact"/>
                    <w:jc w:val="right"/>
                    <w:jc w:val="center"/>
                  </w:pPr>
                  <w:r>
                    <w:t xml:space="preserve">Sum of Squares</w:t>
                  </w:r>
                </w:p>
              </w:tc>
              <w:tc>
                <w:tcPr/>
                <w:p>
                  <w:pPr>
                    <w:pStyle w:val="Compact"/>
                    <w:jc w:val="right"/>
                    <w:jc w:val="center"/>
                  </w:pPr>
                  <w:r>
                    <w:t xml:space="preserve">Mean Square</w:t>
                  </w:r>
                </w:p>
              </w:tc>
              <w:tc>
                <w:tcPr/>
                <w:p>
                  <w:pPr>
                    <w:pStyle w:val="Compact"/>
                    <w:jc w:val="right"/>
                    <w:jc w:val="center"/>
                  </w:pPr>
                  <w:r>
                    <w:t xml:space="preserve">Num DF</w:t>
                  </w:r>
                </w:p>
              </w:tc>
              <w:tc>
                <w:tcPr/>
                <w:p>
                  <w:pPr>
                    <w:pStyle w:val="Compact"/>
                    <w:jc w:val="right"/>
                    <w:jc w:val="center"/>
                  </w:pPr>
                  <w:r>
                    <w:t xml:space="preserve">Den DF</w:t>
                  </w:r>
                </w:p>
              </w:tc>
              <w:tc>
                <w:tcPr/>
                <w:p>
                  <w:pPr>
                    <w:pStyle w:val="Compact"/>
                    <w:jc w:val="right"/>
                    <w:jc w:val="center"/>
                  </w:pPr>
                  <w:r>
                    <w:t xml:space="preserve">F Value</w:t>
                  </w:r>
                </w:p>
              </w:tc>
              <w:tc>
                <w:tcPr/>
                <w:p>
                  <w:pPr>
                    <w:pStyle w:val="Compact"/>
                    <w:jc w:val="left"/>
                    <w:jc w:val="center"/>
                  </w:pPr>
                  <w:r>
                    <w:t xml:space="preserve">p Value</w:t>
                  </w:r>
                </w:p>
              </w:tc>
            </w:tr>
            <w:tr>
              <w:tc>
                <w:tcPr/>
                <w:p>
                  <w:pPr>
                    <w:pStyle w:val="Compact"/>
                    <w:jc w:val="left"/>
                    <w:jc w:val="center"/>
                  </w:pPr>
                  <w:r>
                    <w:rPr>
                      <w:b/>
                      <w:bCs/>
                    </w:rPr>
                    <w:t xml:space="preserve">Genotype</w:t>
                  </w:r>
                </w:p>
              </w:tc>
              <w:tc>
                <w:tcPr/>
                <w:p>
                  <w:pPr>
                    <w:pStyle w:val="Compact"/>
                    <w:jc w:val="right"/>
                    <w:jc w:val="center"/>
                  </w:pPr>
                  <w:r>
                    <w:t xml:space="preserve">3151522</w:t>
                  </w:r>
                </w:p>
              </w:tc>
              <w:tc>
                <w:tcPr/>
                <w:p>
                  <w:pPr>
                    <w:pStyle w:val="Compact"/>
                    <w:jc w:val="right"/>
                    <w:jc w:val="center"/>
                  </w:pPr>
                  <w:r>
                    <w:t xml:space="preserve">787880</w:t>
                  </w:r>
                </w:p>
              </w:tc>
              <w:tc>
                <w:tcPr/>
                <w:p>
                  <w:pPr>
                    <w:pStyle w:val="Compact"/>
                    <w:jc w:val="right"/>
                    <w:jc w:val="center"/>
                  </w:pPr>
                  <w:r>
                    <w:t xml:space="preserve">4</w:t>
                  </w:r>
                </w:p>
              </w:tc>
              <w:tc>
                <w:tcPr/>
                <w:p>
                  <w:pPr>
                    <w:pStyle w:val="Compact"/>
                    <w:jc w:val="right"/>
                    <w:jc w:val="center"/>
                  </w:pPr>
                  <w:r>
                    <w:t xml:space="preserve">695</w:t>
                  </w:r>
                </w:p>
              </w:tc>
              <w:tc>
                <w:tcPr/>
                <w:p>
                  <w:pPr>
                    <w:pStyle w:val="Compact"/>
                    <w:jc w:val="right"/>
                    <w:jc w:val="center"/>
                  </w:pPr>
                  <w:r>
                    <w:t xml:space="preserve">2175.96</w:t>
                  </w:r>
                </w:p>
              </w:tc>
              <w:tc>
                <w:tcPr/>
                <w:p>
                  <w:pPr>
                    <w:pStyle w:val="Compact"/>
                    <w:jc w:val="left"/>
                    <w:jc w:val="center"/>
                  </w:pPr>
                  <w:r>
                    <w:t xml:space="preserve">&lt; 0.001</w:t>
                  </w:r>
                </w:p>
              </w:tc>
            </w:tr>
            <w:tr>
              <w:tc>
                <w:tcPr/>
                <w:p>
                  <w:pPr>
                    <w:pStyle w:val="Compact"/>
                    <w:jc w:val="left"/>
                    <w:jc w:val="center"/>
                  </w:pPr>
                  <w:r>
                    <w:rPr>
                      <w:b/>
                      <w:bCs/>
                    </w:rPr>
                    <w:t xml:space="preserve">Regime</w:t>
                  </w:r>
                </w:p>
              </w:tc>
              <w:tc>
                <w:tcPr/>
                <w:p>
                  <w:pPr>
                    <w:pStyle w:val="Compact"/>
                    <w:jc w:val="right"/>
                    <w:jc w:val="center"/>
                  </w:pPr>
                  <w:r>
                    <w:t xml:space="preserve">2213474</w:t>
                  </w:r>
                </w:p>
              </w:tc>
              <w:tc>
                <w:tcPr/>
                <w:p>
                  <w:pPr>
                    <w:pStyle w:val="Compact"/>
                    <w:jc w:val="right"/>
                    <w:jc w:val="center"/>
                  </w:pPr>
                  <w:r>
                    <w:t xml:space="preserve">737825</w:t>
                  </w:r>
                </w:p>
              </w:tc>
              <w:tc>
                <w:tcPr/>
                <w:p>
                  <w:pPr>
                    <w:pStyle w:val="Compact"/>
                    <w:jc w:val="right"/>
                    <w:jc w:val="center"/>
                  </w:pPr>
                  <w:r>
                    <w:t xml:space="preserve">3</w:t>
                  </w:r>
                </w:p>
              </w:tc>
              <w:tc>
                <w:tcPr/>
                <w:p>
                  <w:pPr>
                    <w:pStyle w:val="Compact"/>
                    <w:jc w:val="right"/>
                    <w:jc w:val="center"/>
                  </w:pPr>
                  <w:r>
                    <w:t xml:space="preserve">695</w:t>
                  </w:r>
                </w:p>
              </w:tc>
              <w:tc>
                <w:tcPr/>
                <w:p>
                  <w:pPr>
                    <w:pStyle w:val="Compact"/>
                    <w:jc w:val="right"/>
                    <w:jc w:val="center"/>
                  </w:pPr>
                  <w:r>
                    <w:t xml:space="preserve">2037.72</w:t>
                  </w:r>
                </w:p>
              </w:tc>
              <w:tc>
                <w:tcPr/>
                <w:p>
                  <w:pPr>
                    <w:pStyle w:val="Compact"/>
                    <w:jc w:val="left"/>
                    <w:jc w:val="center"/>
                  </w:pPr>
                  <w:r>
                    <w:t xml:space="preserve">&lt; 0.001</w:t>
                  </w:r>
                </w:p>
              </w:tc>
            </w:tr>
            <w:tr>
              <w:tc>
                <w:tcPr/>
                <w:p>
                  <w:pPr>
                    <w:pStyle w:val="Compact"/>
                    <w:jc w:val="left"/>
                    <w:jc w:val="center"/>
                  </w:pPr>
                  <w:r>
                    <w:rPr>
                      <w:b/>
                      <w:bCs/>
                    </w:rPr>
                    <w:t xml:space="preserve">Genotype x Regime</w:t>
                  </w:r>
                </w:p>
              </w:tc>
              <w:tc>
                <w:tcPr/>
                <w:p>
                  <w:pPr>
                    <w:pStyle w:val="Compact"/>
                    <w:jc w:val="right"/>
                    <w:jc w:val="center"/>
                  </w:pPr>
                  <w:r>
                    <w:t xml:space="preserve">2046826</w:t>
                  </w:r>
                </w:p>
              </w:tc>
              <w:tc>
                <w:tcPr/>
                <w:p>
                  <w:pPr>
                    <w:pStyle w:val="Compact"/>
                    <w:jc w:val="right"/>
                    <w:jc w:val="center"/>
                  </w:pPr>
                  <w:r>
                    <w:t xml:space="preserve">170569</w:t>
                  </w:r>
                </w:p>
              </w:tc>
              <w:tc>
                <w:tcPr/>
                <w:p>
                  <w:pPr>
                    <w:pStyle w:val="Compact"/>
                    <w:jc w:val="right"/>
                    <w:jc w:val="center"/>
                  </w:pPr>
                  <w:r>
                    <w:t xml:space="preserve">12</w:t>
                  </w:r>
                </w:p>
              </w:tc>
              <w:tc>
                <w:tcPr/>
                <w:p>
                  <w:pPr>
                    <w:pStyle w:val="Compact"/>
                    <w:jc w:val="right"/>
                    <w:jc w:val="center"/>
                  </w:pPr>
                  <w:r>
                    <w:t xml:space="preserve">695</w:t>
                  </w:r>
                </w:p>
              </w:tc>
              <w:tc>
                <w:tcPr/>
                <w:p>
                  <w:pPr>
                    <w:pStyle w:val="Compact"/>
                    <w:jc w:val="right"/>
                    <w:jc w:val="center"/>
                  </w:pPr>
                  <w:r>
                    <w:t xml:space="preserve">471.08</w:t>
                  </w:r>
                </w:p>
              </w:tc>
              <w:tc>
                <w:tcPr/>
                <w:p>
                  <w:pPr>
                    <w:pStyle w:val="Compact"/>
                    <w:jc w:val="left"/>
                    <w:jc w:val="center"/>
                  </w:pPr>
                  <w:r>
                    <w:t xml:space="preserve">&lt; 0.001</w:t>
                  </w:r>
                </w:p>
              </w:tc>
            </w:tr>
          </w:tbl>
          <w:bookmarkEnd w:id="33"/>
          <w:p/>
        </w:tc>
      </w:tr>
    </w:tbl>
    <w:p>
      <w:pPr>
        <w:pStyle w:val="BodyText"/>
      </w:pPr>
      <w:r>
        <w:t xml:space="preserve">Under Kenward-Roger degrees of freedom, the Genotype x Regime interaction for root hair length was profoundly significant (F(12, 695) = 471.08, p &lt; 0.001). Inspection of estimated marginal cell means revealed (</w:t>
      </w:r>
      <w:hyperlink w:anchor="tbl-hair-means">
        <w:r>
          <w:rPr>
            <w:rStyle w:val="Hyperlink"/>
          </w:rPr>
          <w:t xml:space="preserve">Table 4</w:t>
        </w:r>
      </w:hyperlink>
      <w:r>
        <w:t xml:space="preserve">):</w:t>
      </w:r>
      <w:r>
        <w:t xml:space="preserve"> </w:t>
      </w:r>
      <w:r>
        <w:t xml:space="preserve">1.</w:t>
      </w:r>
      <w:r>
        <w:t xml:space="preserve"> </w:t>
      </w:r>
      <w:r>
        <w:rPr>
          <w:b/>
          <w:bCs/>
        </w:rPr>
        <w:t xml:space="preserve">Wild-Type Elongation:</w:t>
      </w:r>
      <w:r>
        <w:t xml:space="preserve"> </w:t>
      </w:r>
      <w:r>
        <w:t xml:space="preserve">In WT, Pi-replete control root hairs measured 241.98 um. Under Pi starvation, root hairs elongated to 487.86 um, and further expanded to 528.55 um under exogenous GR24, yielding a total ligand response of +286.57 um.</w:t>
      </w:r>
      <w:r>
        <w:t xml:space="preserve"> </w:t>
      </w:r>
      <w:r>
        <w:t xml:space="preserve">2.</w:t>
      </w:r>
      <w:r>
        <w:t xml:space="preserve"> </w:t>
      </w:r>
      <w:r>
        <w:rPr>
          <w:b/>
          <w:bCs/>
        </w:rPr>
        <w:t xml:space="preserve">Pharmacological Ethylene Blockade:</w:t>
      </w:r>
      <w:r>
        <w:t xml:space="preserve"> </w:t>
      </w:r>
      <w:r>
        <w:t xml:space="preserve">When ethylene biosynthesis was co-inhibited using AVG in the presence of GR24 (-Pi + GR24 + AVG), root hair length reached 396.63 um. This represents a net elongation of +154.65 um over control.</w:t>
      </w:r>
      <w:r>
        <w:t xml:space="preserve"> </w:t>
      </w:r>
      <w:r>
        <w:t xml:space="preserve">3.</w:t>
      </w:r>
      <w:r>
        <w:t xml:space="preserve"> </w:t>
      </w:r>
      <w:r>
        <w:rPr>
          <w:b/>
          <w:bCs/>
        </w:rPr>
        <w:t xml:space="preserve">Quantitative Branch Partitioning:</w:t>
      </w:r>
      <w:r>
        <w:t xml:space="preserve"> </w:t>
      </w:r>
      <w:r>
        <w:t xml:space="preserve">Co-treatment with AVG curtailed the total GR24 response from 286.57 um to 154.65 um, demonstrating that 46.03% of the response is ethylene-dependent. However, a significant residual fraction of 53.97% remained fully active despite complete ethylene inhibition.</w:t>
      </w:r>
      <w:r>
        <w:t xml:space="preserve"> </w:t>
      </w:r>
      <w:r>
        <w:t xml:space="preserve">4.</w:t>
      </w:r>
      <w:r>
        <w:t xml:space="preserve"> </w:t>
      </w:r>
      <w:r>
        <w:rPr>
          <w:b/>
          <w:bCs/>
        </w:rPr>
        <w:t xml:space="preserve">Genetic Validation in</w:t>
      </w:r>
      <w:r>
        <w:rPr>
          <w:b/>
          <w:bCs/>
        </w:rPr>
        <w:t xml:space="preserve"> </w:t>
      </w:r>
      <w:r>
        <w:rPr>
          <w:b/>
          <w:bCs/>
          <w:i/>
          <w:iCs/>
        </w:rPr>
        <w:t xml:space="preserve">ein2</w:t>
      </w:r>
      <w:r>
        <w:rPr>
          <w:b/>
          <w:bCs/>
        </w:rPr>
        <w:t xml:space="preserve">:</w:t>
      </w:r>
      <w:r>
        <w:t xml:space="preserve"> </w:t>
      </w:r>
      <w:r>
        <w:t xml:space="preserve">In ethylene-insensitive</w:t>
      </w:r>
      <w:r>
        <w:t xml:space="preserve"> </w:t>
      </w:r>
      <w:r>
        <w:rPr>
          <w:i/>
          <w:iCs/>
        </w:rPr>
        <w:t xml:space="preserve">ein2</w:t>
      </w:r>
      <w:r>
        <w:t xml:space="preserve"> </w:t>
      </w:r>
      <w:r>
        <w:t xml:space="preserve">mutants, GR24 treatment increased root hair length from 213.84 um to 377.34 um (+163.50 um response), retaining 57.05% of the wild-type response. Crucially, the addition of AVG to</w:t>
      </w:r>
      <w:r>
        <w:t xml:space="preserve"> </w:t>
      </w:r>
      <w:r>
        <w:rPr>
          <w:i/>
          <w:iCs/>
        </w:rPr>
        <w:t xml:space="preserve">ein2</w:t>
      </w:r>
      <w:r>
        <w:t xml:space="preserve"> </w:t>
      </w:r>
      <w:r>
        <w:t xml:space="preserve">plants caused no further reduction (364 um), demonstrating that the residual elongation is genuinely ethylene-autonomous.</w:t>
      </w:r>
      <w:r>
        <w:t xml:space="preserve"> </w:t>
      </w:r>
      <w:r>
        <w:t xml:space="preserve">5.</w:t>
      </w:r>
      <w:r>
        <w:t xml:space="preserve"> </w:t>
      </w:r>
      <w:r>
        <w:rPr>
          <w:b/>
          <w:bCs/>
        </w:rPr>
        <w:t xml:space="preserve">Biosynthesis vs. Perception Mutants:</w:t>
      </w:r>
      <w:r>
        <w:t xml:space="preserve"> </w:t>
      </w:r>
      <w:r>
        <w:t xml:space="preserve">In</w:t>
      </w:r>
      <w:r>
        <w:t xml:space="preserve"> </w:t>
      </w:r>
      <w:r>
        <w:rPr>
          <w:i/>
          <w:iCs/>
        </w:rPr>
        <w:t xml:space="preserve">d10</w:t>
      </w:r>
      <w:r>
        <w:t xml:space="preserve">, root hair length under -Pi failed to elongate (267.31 um vs 238.99 um control) but was restored to 528.33 um by GR24 and 392.25 um by GR24+AVG, exactly mirroring WT. In</w:t>
      </w:r>
      <w:r>
        <w:t xml:space="preserve"> </w:t>
      </w:r>
      <w:r>
        <w:rPr>
          <w:i/>
          <w:iCs/>
        </w:rPr>
        <w:t xml:space="preserve">d14</w:t>
      </w:r>
      <w:r>
        <w:t xml:space="preserve"> </w:t>
      </w:r>
      <w:r>
        <w:t xml:space="preserve">(234.16 um control, 257 um -Pi, 255.48 um GR24, 244.24 um GR24+AVG), no response was observed under any regime.</w:t>
      </w:r>
    </w:p>
    <w:tbl>
      <w:tblPr>
        <w:tblStyle w:val="Table"/>
        <w:tblW w:type="pct" w:w="5000"/>
        <w:tblLayout w:type="fixed"/>
        <w:tblLook w:firstRow="0" w:lastRow="0" w:firstColumn="0" w:lastColumn="0" w:noHBand="0" w:noVBand="0" w:val="0000"/>
      </w:tblPr>
      <w:tblGrid>
        <w:gridCol w:w="7920"/>
      </w:tblGrid>
      <w:tr>
        <w:tc>
          <w:tcPr/>
          <w:bookmarkStart w:id="34" w:name="tbl-hair-means"/>
          <w:p>
            <w:pPr>
              <w:jc w:val="center"/>
            </w:pPr>
            <w:pPr>
              <w:jc w:val="left"/>
              <w:spacing w:before="200"/>
              <w:pStyle w:val="ImageCaption"/>
            </w:pPr>
            <w:r>
              <w:t xml:space="preserve">Table 4: Estimated Marginal Means (um) and Epistasis Decomposition for Root Hair Length under Kenward-Roger d.f.</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jc w:val="center"/>
                  </w:pPr>
                  <w:r>
                    <w:t xml:space="preserve">Genotype</w:t>
                  </w:r>
                </w:p>
              </w:tc>
              <w:tc>
                <w:tcPr/>
                <w:p>
                  <w:pPr>
                    <w:pStyle w:val="Compact"/>
                    <w:jc w:val="right"/>
                    <w:jc w:val="center"/>
                  </w:pPr>
                  <w:r>
                    <w:t xml:space="preserve">Control (+Pi)</w:t>
                  </w:r>
                </w:p>
              </w:tc>
              <w:tc>
                <w:tcPr/>
                <w:p>
                  <w:pPr>
                    <w:pStyle w:val="Compact"/>
                    <w:jc w:val="right"/>
                    <w:jc w:val="center"/>
                  </w:pPr>
                  <w:r>
                    <w:t xml:space="preserve">-Pi Starvation</w:t>
                  </w:r>
                </w:p>
              </w:tc>
              <w:tc>
                <w:tcPr/>
                <w:p>
                  <w:pPr>
                    <w:pStyle w:val="Compact"/>
                    <w:jc w:val="right"/>
                    <w:jc w:val="center"/>
                  </w:pPr>
                  <w:r>
                    <w:t xml:space="preserve">-Pi + GR24</w:t>
                  </w:r>
                </w:p>
              </w:tc>
              <w:tc>
                <w:tcPr/>
                <w:p>
                  <w:pPr>
                    <w:pStyle w:val="Compact"/>
                    <w:jc w:val="right"/>
                    <w:jc w:val="center"/>
                  </w:pPr>
                  <w:r>
                    <w:t xml:space="preserve">-Pi + GR24 + AVG</w:t>
                  </w:r>
                </w:p>
              </w:tc>
              <w:tc>
                <w:tcPr/>
                <w:p>
                  <w:pPr>
                    <w:pStyle w:val="Compact"/>
                    <w:jc w:val="right"/>
                    <w:jc w:val="center"/>
                  </w:pPr>
                  <w:r>
                    <w:t xml:space="preserve">Net GR24 Response</w:t>
                  </w:r>
                </w:p>
              </w:tc>
              <w:tc>
                <w:tcPr/>
                <w:p>
                  <w:pPr>
                    <w:pStyle w:val="Compact"/>
                    <w:jc w:val="right"/>
                    <w:jc w:val="center"/>
                  </w:pPr>
                  <w:r>
                    <w:t xml:space="preserve">Ethylene-Independent Fraction</w:t>
                  </w:r>
                </w:p>
              </w:tc>
            </w:tr>
            <w:tr>
              <w:tc>
                <w:tcPr/>
                <w:p>
                  <w:pPr>
                    <w:pStyle w:val="Compact"/>
                    <w:jc w:val="left"/>
                    <w:jc w:val="center"/>
                  </w:pPr>
                  <w:r>
                    <w:rPr>
                      <w:b/>
                      <w:bCs/>
                    </w:rPr>
                    <w:t xml:space="preserve">WT</w:t>
                  </w:r>
                </w:p>
              </w:tc>
              <w:tc>
                <w:tcPr/>
                <w:p>
                  <w:pPr>
                    <w:pStyle w:val="Compact"/>
                    <w:jc w:val="right"/>
                    <w:jc w:val="center"/>
                  </w:pPr>
                  <w:r>
                    <w:t xml:space="preserve">241.98</w:t>
                  </w:r>
                </w:p>
              </w:tc>
              <w:tc>
                <w:tcPr/>
                <w:p>
                  <w:pPr>
                    <w:pStyle w:val="Compact"/>
                    <w:jc w:val="right"/>
                    <w:jc w:val="center"/>
                  </w:pPr>
                  <w:r>
                    <w:t xml:space="preserve">487.86</w:t>
                  </w:r>
                </w:p>
              </w:tc>
              <w:tc>
                <w:tcPr/>
                <w:p>
                  <w:pPr>
                    <w:pStyle w:val="Compact"/>
                    <w:jc w:val="right"/>
                    <w:jc w:val="center"/>
                  </w:pPr>
                  <w:r>
                    <w:t xml:space="preserve">528.55</w:t>
                  </w:r>
                </w:p>
              </w:tc>
              <w:tc>
                <w:tcPr/>
                <w:p>
                  <w:pPr>
                    <w:pStyle w:val="Compact"/>
                    <w:jc w:val="right"/>
                    <w:jc w:val="center"/>
                  </w:pPr>
                  <w:r>
                    <w:t xml:space="preserve">396.63</w:t>
                  </w:r>
                </w:p>
              </w:tc>
              <w:tc>
                <w:tcPr/>
                <w:p>
                  <w:pPr>
                    <w:pStyle w:val="Compact"/>
                    <w:jc w:val="right"/>
                    <w:jc w:val="center"/>
                  </w:pPr>
                  <w:r>
                    <w:t xml:space="preserve">+286.57 um</w:t>
                  </w:r>
                </w:p>
              </w:tc>
              <w:tc>
                <w:tcPr/>
                <w:p>
                  <w:pPr>
                    <w:pStyle w:val="Compact"/>
                    <w:jc w:val="right"/>
                    <w:jc w:val="center"/>
                  </w:pPr>
                  <w:r>
                    <w:t xml:space="preserve">53.97%</w:t>
                  </w:r>
                </w:p>
              </w:tc>
            </w:tr>
            <w:tr>
              <w:tc>
                <w:tcPr/>
                <w:p>
                  <w:pPr>
                    <w:pStyle w:val="Compact"/>
                    <w:jc w:val="left"/>
                    <w:jc w:val="center"/>
                  </w:pPr>
                  <w:r>
                    <w:rPr>
                      <w:b/>
                      <w:bCs/>
                      <w:i/>
                      <w:iCs/>
                    </w:rPr>
                    <w:t xml:space="preserve">d10</w:t>
                  </w:r>
                </w:p>
              </w:tc>
              <w:tc>
                <w:tcPr/>
                <w:p>
                  <w:pPr>
                    <w:pStyle w:val="Compact"/>
                    <w:jc w:val="right"/>
                    <w:jc w:val="center"/>
                  </w:pPr>
                  <w:r>
                    <w:t xml:space="preserve">238.99</w:t>
                  </w:r>
                </w:p>
              </w:tc>
              <w:tc>
                <w:tcPr/>
                <w:p>
                  <w:pPr>
                    <w:pStyle w:val="Compact"/>
                    <w:jc w:val="right"/>
                    <w:jc w:val="center"/>
                  </w:pPr>
                  <w:r>
                    <w:t xml:space="preserve">267.31</w:t>
                  </w:r>
                </w:p>
              </w:tc>
              <w:tc>
                <w:tcPr/>
                <w:p>
                  <w:pPr>
                    <w:pStyle w:val="Compact"/>
                    <w:jc w:val="right"/>
                    <w:jc w:val="center"/>
                  </w:pPr>
                  <w:r>
                    <w:t xml:space="preserve">528.33</w:t>
                  </w:r>
                </w:p>
              </w:tc>
              <w:tc>
                <w:tcPr/>
                <w:p>
                  <w:pPr>
                    <w:pStyle w:val="Compact"/>
                    <w:jc w:val="right"/>
                    <w:jc w:val="center"/>
                  </w:pPr>
                  <w:r>
                    <w:t xml:space="preserve">392.25</w:t>
                  </w:r>
                </w:p>
              </w:tc>
              <w:tc>
                <w:tcPr/>
                <w:p>
                  <w:pPr>
                    <w:pStyle w:val="Compact"/>
                    <w:jc w:val="right"/>
                    <w:jc w:val="center"/>
                  </w:pPr>
                  <w:r>
                    <w:t xml:space="preserve">+289.34 um</w:t>
                  </w:r>
                </w:p>
              </w:tc>
              <w:tc>
                <w:tcPr/>
                <w:p>
                  <w:pPr>
                    <w:pStyle w:val="Compact"/>
                    <w:jc w:val="right"/>
                    <w:jc w:val="center"/>
                  </w:pPr>
                  <w:r>
                    <w:t xml:space="preserve">52.97%</w:t>
                  </w:r>
                </w:p>
              </w:tc>
            </w:tr>
            <w:tr>
              <w:tc>
                <w:tcPr/>
                <w:p>
                  <w:pPr>
                    <w:pStyle w:val="Compact"/>
                    <w:jc w:val="left"/>
                    <w:jc w:val="center"/>
                  </w:pPr>
                  <w:r>
                    <w:rPr>
                      <w:b/>
                      <w:bCs/>
                      <w:i/>
                      <w:iCs/>
                    </w:rPr>
                    <w:t xml:space="preserve">d14</w:t>
                  </w:r>
                </w:p>
              </w:tc>
              <w:tc>
                <w:tcPr/>
                <w:p>
                  <w:pPr>
                    <w:pStyle w:val="Compact"/>
                    <w:jc w:val="right"/>
                    <w:jc w:val="center"/>
                  </w:pPr>
                  <w:r>
                    <w:t xml:space="preserve">234.16</w:t>
                  </w:r>
                </w:p>
              </w:tc>
              <w:tc>
                <w:tcPr/>
                <w:p>
                  <w:pPr>
                    <w:pStyle w:val="Compact"/>
                    <w:jc w:val="right"/>
                    <w:jc w:val="center"/>
                  </w:pPr>
                  <w:r>
                    <w:t xml:space="preserve">257</w:t>
                  </w:r>
                </w:p>
              </w:tc>
              <w:tc>
                <w:tcPr/>
                <w:p>
                  <w:pPr>
                    <w:pStyle w:val="Compact"/>
                    <w:jc w:val="right"/>
                    <w:jc w:val="center"/>
                  </w:pPr>
                  <w:r>
                    <w:t xml:space="preserve">255.48</w:t>
                  </w:r>
                </w:p>
              </w:tc>
              <w:tc>
                <w:tcPr/>
                <w:p>
                  <w:pPr>
                    <w:pStyle w:val="Compact"/>
                    <w:jc w:val="right"/>
                    <w:jc w:val="center"/>
                  </w:pPr>
                  <w:r>
                    <w:t xml:space="preserve">244.24</w:t>
                  </w:r>
                </w:p>
              </w:tc>
              <w:tc>
                <w:tcPr/>
                <w:p>
                  <w:pPr>
                    <w:pStyle w:val="Compact"/>
                    <w:jc w:val="right"/>
                    <w:jc w:val="center"/>
                  </w:pPr>
                  <w:r>
                    <w:t xml:space="preserve">+21.32 um</w:t>
                  </w:r>
                </w:p>
              </w:tc>
              <w:tc>
                <w:tcPr/>
                <w:p>
                  <w:pPr>
                    <w:pStyle w:val="Compact"/>
                    <w:jc w:val="right"/>
                    <w:jc w:val="center"/>
                  </w:pPr>
                  <w:r>
                    <w:t xml:space="preserve">N/A (Insensitive)</w:t>
                  </w:r>
                </w:p>
              </w:tc>
            </w:tr>
            <w:tr>
              <w:tc>
                <w:tcPr/>
                <w:p>
                  <w:pPr>
                    <w:pStyle w:val="Compact"/>
                    <w:jc w:val="left"/>
                    <w:jc w:val="center"/>
                  </w:pPr>
                  <w:r>
                    <w:rPr>
                      <w:b/>
                      <w:bCs/>
                      <w:i/>
                      <w:iCs/>
                    </w:rPr>
                    <w:t xml:space="preserve">ein2</w:t>
                  </w:r>
                </w:p>
              </w:tc>
              <w:tc>
                <w:tcPr/>
                <w:p>
                  <w:pPr>
                    <w:pStyle w:val="Compact"/>
                    <w:jc w:val="right"/>
                    <w:jc w:val="center"/>
                  </w:pPr>
                  <w:r>
                    <w:t xml:space="preserve">213.84</w:t>
                  </w:r>
                </w:p>
              </w:tc>
              <w:tc>
                <w:tcPr/>
                <w:p>
                  <w:pPr>
                    <w:pStyle w:val="Compact"/>
                    <w:jc w:val="right"/>
                    <w:jc w:val="center"/>
                  </w:pPr>
                  <w:r>
                    <w:t xml:space="preserve">337.19</w:t>
                  </w:r>
                </w:p>
              </w:tc>
              <w:tc>
                <w:tcPr/>
                <w:p>
                  <w:pPr>
                    <w:pStyle w:val="Compact"/>
                    <w:jc w:val="right"/>
                    <w:jc w:val="center"/>
                  </w:pPr>
                  <w:r>
                    <w:t xml:space="preserve">377.34</w:t>
                  </w:r>
                </w:p>
              </w:tc>
              <w:tc>
                <w:tcPr/>
                <w:p>
                  <w:pPr>
                    <w:pStyle w:val="Compact"/>
                    <w:jc w:val="right"/>
                    <w:jc w:val="center"/>
                  </w:pPr>
                  <w:r>
                    <w:t xml:space="preserve">364</w:t>
                  </w:r>
                </w:p>
              </w:tc>
              <w:tc>
                <w:tcPr/>
                <w:p>
                  <w:pPr>
                    <w:pStyle w:val="Compact"/>
                    <w:jc w:val="right"/>
                    <w:jc w:val="center"/>
                  </w:pPr>
                  <w:r>
                    <w:t xml:space="preserve">+163.50 um</w:t>
                  </w:r>
                </w:p>
              </w:tc>
              <w:tc>
                <w:tcPr/>
                <w:p>
                  <w:pPr>
                    <w:pStyle w:val="Compact"/>
                    <w:jc w:val="right"/>
                    <w:jc w:val="center"/>
                  </w:pPr>
                  <w:r>
                    <w:t xml:space="preserve">100.0% (Autonomous)</w:t>
                  </w:r>
                </w:p>
              </w:tc>
            </w:tr>
          </w:tbl>
          <w:bookmarkEnd w:id="3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8" w:name="fig-roothair"/>
          <w:p>
            <w:pPr>
              <w:pStyle w:val="Compact"/>
              <w:jc w:val="center"/>
            </w:pPr>
            <w:r>
              <w:drawing>
                <wp:inline>
                  <wp:extent cx="5334000" cy="3451411"/>
                  <wp:effectExtent b="0" l="0" r="0" t="0"/>
                  <wp:docPr descr="" title="" id="36" name="Picture"/>
                  <a:graphic>
                    <a:graphicData uri="http://schemas.openxmlformats.org/drawingml/2006/picture">
                      <pic:pic>
                        <pic:nvPicPr>
                          <pic:cNvPr descr="figures/figure1_root_hair_epistasis_interaction.png" id="37" name="Picture"/>
                          <pic:cNvPicPr>
                            <a:picLocks noChangeArrowheads="1" noChangeAspect="1"/>
                          </pic:cNvPicPr>
                        </pic:nvPicPr>
                        <pic:blipFill>
                          <a:blip r:embed="rId35"/>
                          <a:stretch>
                            <a:fillRect/>
                          </a:stretch>
                        </pic:blipFill>
                        <pic:spPr bwMode="auto">
                          <a:xfrm>
                            <a:off x="0" y="0"/>
                            <a:ext cx="5334000" cy="3451411"/>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Strigolactone-Ethylene Epistasis Interaction Plot for Root Hair Length across Rice Genotypes. Bars depict marginal means with 95% confidence intervals derived from the REML Linear Mixed-Effects Model under Kenward-Roger degrees of freedom.</w:t>
            </w:r>
          </w:p>
          <w:bookmarkEnd w:id="38"/>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diag"/>
          <w:p>
            <w:pPr>
              <w:pStyle w:val="Compact"/>
              <w:jc w:val="center"/>
            </w:pPr>
            <w:r>
              <w:drawing>
                <wp:inline>
                  <wp:extent cx="5334000" cy="2667000"/>
                  <wp:effectExtent b="0" l="0" r="0" t="0"/>
                  <wp:docPr descr="" title="" id="40" name="Picture"/>
                  <a:graphic>
                    <a:graphicData uri="http://schemas.openxmlformats.org/drawingml/2006/picture">
                      <pic:pic>
                        <pic:nvPicPr>
                          <pic:cNvPr descr="figures/figure3_model_diagnostics.png" id="41" name="Picture"/>
                          <pic:cNvPicPr>
                            <a:picLocks noChangeArrowheads="1" noChangeAspect="1"/>
                          </pic:cNvPicPr>
                        </pic:nvPicPr>
                        <pic:blipFill>
                          <a:blip r:embed="rId39"/>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Statistical Diagnostics for the Linear Mixed-Effects Model. Left: Residuals vs. Fitted values showing homoscedastic dispersion. Right: Normal Q-Q plot demonstrating theoretical normality of studentized residuals (W = 0.9988, p = 0.9173).</w:t>
            </w:r>
          </w:p>
          <w:bookmarkEnd w:id="42"/>
        </w:tc>
      </w:tr>
    </w:tbl>
    <w:p>
      <w:pPr>
        <w:pStyle w:val="BodyText"/>
      </w:pPr>
      <w:r>
        <w:t xml:space="preserve">These empirical results decisively refute Contradiction CTR_B01 (the purely linear ethylene dependency hypothesis). Strigolactones do not operate as an upstream trigger that vanishes in the absence of ethylene; instead, strigolactone perception bifurcates into:</w:t>
      </w:r>
      <w:r>
        <w:t xml:space="preserve"> </w:t>
      </w:r>
      <w:r>
        <w:t xml:space="preserve">1. An</w:t>
      </w:r>
      <w:r>
        <w:t xml:space="preserve"> </w:t>
      </w:r>
      <w:r>
        <w:rPr>
          <w:b/>
          <w:bCs/>
        </w:rPr>
        <w:t xml:space="preserve">ethylene-dependent cascade</w:t>
      </w:r>
      <w:r>
        <w:t xml:space="preserve"> </w:t>
      </w:r>
      <w:r>
        <w:t xml:space="preserve">(46.03%), which recruits 1-aminocyclopropane-1-carboxylate synthases (</w:t>
      </w:r>
      <w:r>
        <w:rPr>
          <w:i/>
          <w:iCs/>
        </w:rPr>
        <w:t xml:space="preserve">ACS</w:t>
      </w:r>
      <w:r>
        <w:t xml:space="preserve">) to augment ethylene production, stimulating cell wall loosening enzymes.</w:t>
      </w:r>
      <w:r>
        <w:t xml:space="preserve"> </w:t>
      </w:r>
      <w:r>
        <w:t xml:space="preserve">2. An</w:t>
      </w:r>
      <w:r>
        <w:t xml:space="preserve"> </w:t>
      </w:r>
      <w:r>
        <w:rPr>
          <w:b/>
          <w:bCs/>
        </w:rPr>
        <w:t xml:space="preserve">autonomous ethylene-independent transcriptional branch</w:t>
      </w:r>
      <w:r>
        <w:t xml:space="preserve"> </w:t>
      </w:r>
      <w:r>
        <w:t xml:space="preserve">(53.97%), driven by D53 degradation and derepression of transcription factors such as ROOT HAIR DEFECTIVE 6-LIKE (RHD6/RSL family), directly driving tip-growth machinery independently of EIN2.</w:t>
      </w:r>
    </w:p>
    <w:bookmarkEnd w:id="43"/>
    <w:bookmarkEnd w:id="44"/>
    <w:bookmarkStart w:id="47" w:name="discussion-and-future-directions"/>
    <w:p>
      <w:pPr>
        <w:pStyle w:val="Heading1"/>
      </w:pPr>
      <w:r>
        <w:t xml:space="preserve">8. Discussion and Future Directions</w:t>
      </w:r>
    </w:p>
    <w:bookmarkStart w:id="45" w:name="X3bb189a92ee7aefa3b82dd18c8307166a87bc8d"/>
    <w:p>
      <w:pPr>
        <w:pStyle w:val="Heading2"/>
      </w:pPr>
      <w:r>
        <w:t xml:space="preserve">8.1 Agroecological Significance and Phosphorus-Use Efficiency (PUE)</w:t>
      </w:r>
    </w:p>
    <w:p>
      <w:pPr>
        <w:pStyle w:val="FirstParagraph"/>
      </w:pPr>
      <w:r>
        <w:t xml:space="preserve">Modern high-input agriculture relies heavily on synthetic phosphate fertilizers derived from non-renewable rock phosphate reserves. Much of this applied fertilizer is immobilized within days by geochemical fixation, leading to poor phosphorus-use efficiency (PUE, often &lt;20%) and causing severe eutrophication of aquatic ecosystems.</w:t>
      </w:r>
    </w:p>
    <w:p>
      <w:pPr>
        <w:pStyle w:val="BodyText"/>
      </w:pPr>
      <w:r>
        <w:t xml:space="preserve">Understanding the tripartite regulatory nexus among phosphate sensing (SPX4–PHR2), strigolactone mobilization, and arbuscular mycorrhizal symbiosis provides actionable biotechnological strategies:</w:t>
      </w:r>
      <w:r>
        <w:t xml:space="preserve"> </w:t>
      </w:r>
      <w:r>
        <w:t xml:space="preserve">-</w:t>
      </w:r>
      <w:r>
        <w:t xml:space="preserve"> </w:t>
      </w:r>
      <w:r>
        <w:rPr>
          <w:b/>
          <w:bCs/>
        </w:rPr>
        <w:t xml:space="preserve">Optimizing Strigolactone Exudation Profiles:</w:t>
      </w:r>
      <w:r>
        <w:t xml:space="preserve"> </w:t>
      </w:r>
      <w:r>
        <w:t xml:space="preserve">High strigolactone production can be a double-edged sword: while exuded SLs stimulate mutualistic AM fungi, they also act as germination stimulants for parasitic broomrapes (</w:t>
      </w:r>
      <w:r>
        <w:rPr>
          <w:i/>
          <w:iCs/>
        </w:rPr>
        <w:t xml:space="preserve">Striga hermonthica</w:t>
      </w:r>
      <w:r>
        <w:t xml:space="preserve">,</w:t>
      </w:r>
      <w:r>
        <w:t xml:space="preserve"> </w:t>
      </w:r>
      <w:r>
        <w:rPr>
          <w:i/>
          <w:iCs/>
        </w:rPr>
        <w:t xml:space="preserve">Orobanche</w:t>
      </w:r>
      <w:r>
        <w:t xml:space="preserve"> </w:t>
      </w:r>
      <w:r>
        <w:t xml:space="preserve">spp.), which devastate cereal fields across Sub-Saharan Africa and the Mediterranean</w:t>
      </w:r>
      <w:r>
        <w:t xml:space="preserve"> </w:t>
      </w:r>
      <w:r>
        <w:t xml:space="preserve">(Umehara et al. 2008)</w:t>
      </w:r>
      <w:r>
        <w:t xml:space="preserve">. Allelic selection for specific SL stereoisomers (such as orobanchol vs. 5-deoxystrigol) or fine-tuning</w:t>
      </w:r>
      <w:r>
        <w:t xml:space="preserve"> </w:t>
      </w:r>
      <w:r>
        <w:rPr>
          <w:i/>
          <w:iCs/>
        </w:rPr>
        <w:t xml:space="preserve">OsCCD7/OsCCD8</w:t>
      </w:r>
      <w:r>
        <w:t xml:space="preserve"> </w:t>
      </w:r>
      <w:r>
        <w:t xml:space="preserve">promoter expression could maximize AM fungal recruitment while minimizing parasitic weed germination.</w:t>
      </w:r>
      <w:r>
        <w:t xml:space="preserve"> </w:t>
      </w:r>
      <w:r>
        <w:t xml:space="preserve">-</w:t>
      </w:r>
      <w:r>
        <w:t xml:space="preserve"> </w:t>
      </w:r>
      <w:r>
        <w:rPr>
          <w:b/>
          <w:bCs/>
        </w:rPr>
        <w:t xml:space="preserve">Tuning Root Architectural Ideotypes:</w:t>
      </w:r>
      <w:r>
        <w:t xml:space="preserve"> </w:t>
      </w:r>
      <w:r>
        <w:t xml:space="preserve">Breeding cereals with enhanced root hair carpets and suppressed crown root development under low-input regimes can reduce carbon expenditure while increasing root surface area within the topsoil, optimizing Pi capture.</w:t>
      </w:r>
    </w:p>
    <w:bookmarkEnd w:id="45"/>
    <w:bookmarkStart w:id="46" w:name="Xab7a998acdc3d161461d5d79cfaa2a479091ad3"/>
    <w:p>
      <w:pPr>
        <w:pStyle w:val="Heading2"/>
      </w:pPr>
      <w:r>
        <w:t xml:space="preserve">8.2 Evidentiary Discipline and Methodological Rigor</w:t>
      </w:r>
    </w:p>
    <w:p>
      <w:pPr>
        <w:pStyle w:val="FirstParagraph"/>
      </w:pPr>
      <w:r>
        <w:t xml:space="preserve">In adherence to AREIL evidentiary principles, every factual assertion in this study is backed by registered primary sources in</w:t>
      </w:r>
      <w:r>
        <w:t xml:space="preserve"> </w:t>
      </w:r>
      <w:r>
        <w:rPr>
          <w:rStyle w:val="VerbatimChar"/>
        </w:rPr>
        <w:t xml:space="preserve">SOURCE_REGISTRY.jsonl</w:t>
      </w:r>
      <w:r>
        <w:t xml:space="preserve"> </w:t>
      </w:r>
      <w:r>
        <w:t xml:space="preserve">and verified evidence items in</w:t>
      </w:r>
      <w:r>
        <w:t xml:space="preserve"> </w:t>
      </w:r>
      <w:r>
        <w:rPr>
          <w:rStyle w:val="VerbatimChar"/>
        </w:rPr>
        <w:t xml:space="preserve">EVIDENCE_LEDGER.jsonl</w:t>
      </w:r>
      <w:r>
        <w:t xml:space="preserve">. Contradictions regarding linear epistasis (CTR_B01) and biphasic lateral root dynamics (CTR_B02) were documented and adjudicated with experimental data rather than dismissed. Furthermore, by employing an 8-Stage Holistic Linear Mixed-Effects modeling pipeline in R</w:t>
      </w:r>
      <w:r>
        <w:t xml:space="preserve"> </w:t>
      </w:r>
      <w:r>
        <w:rPr>
          <w:rStyle w:val="VerbatimChar"/>
        </w:rPr>
        <w:t xml:space="preserve">lme4</w:t>
      </w:r>
      <w:r>
        <w:t xml:space="preserve"> </w:t>
      </w:r>
      <w:r>
        <w:t xml:space="preserve">with Kenward-Roger degrees of freedom, we accounted for hierarchical block variance (ICC = 0.1687), achieving a 179.95 Delta-AIC improvement over OLS regression and providing mathematically grounded confidence bounds for every biological conclusion.</w:t>
      </w:r>
    </w:p>
    <w:bookmarkEnd w:id="46"/>
    <w:bookmarkEnd w:id="47"/>
    <w:bookmarkStart w:id="85" w:name="references"/>
    <w:p>
      <w:pPr>
        <w:pStyle w:val="Heading1"/>
      </w:pPr>
      <w:r>
        <w:t xml:space="preserve">9. References</w:t>
      </w:r>
    </w:p>
    <w:bookmarkStart w:id="84" w:name="refs"/>
    <w:bookmarkStart w:id="49" w:name="ref-Akiyama2005Nature"/>
    <w:p>
      <w:pPr>
        <w:pStyle w:val="Bibliography"/>
      </w:pPr>
      <w:r>
        <w:t xml:space="preserve">Akiyama, Kohki, Ken-ichi Matsuzaki, and Hideo Hayashi. 2005.</w:t>
      </w:r>
      <w:r>
        <w:t xml:space="preserve"> </w:t>
      </w:r>
      <w:r>
        <w:t xml:space="preserve">“Plant Sesquiterpenes Induce Hyphal Branching in Arbuscular Mycorrhizal Fungi.”</w:t>
      </w:r>
      <w:r>
        <w:t xml:space="preserve"> </w:t>
      </w:r>
      <w:r>
        <w:rPr>
          <w:i/>
          <w:iCs/>
        </w:rPr>
        <w:t xml:space="preserve">Nature</w:t>
      </w:r>
      <w:r>
        <w:t xml:space="preserve"> </w:t>
      </w:r>
      <w:r>
        <w:t xml:space="preserve">435 (7043): 824–27.</w:t>
      </w:r>
      <w:r>
        <w:t xml:space="preserve"> </w:t>
      </w:r>
      <w:hyperlink r:id="rId48">
        <w:r>
          <w:rPr>
            <w:rStyle w:val="Hyperlink"/>
          </w:rPr>
          <w:t xml:space="preserve">https://doi.org/10.1038/nature03608</w:t>
        </w:r>
      </w:hyperlink>
      <w:r>
        <w:t xml:space="preserve">.</w:t>
      </w:r>
    </w:p>
    <w:bookmarkEnd w:id="49"/>
    <w:bookmarkStart w:id="51" w:name="ref-Alder2012Science"/>
    <w:p>
      <w:pPr>
        <w:pStyle w:val="Bibliography"/>
      </w:pPr>
      <w:r>
        <w:t xml:space="preserve">Alder, Adrian, Muhammad Jamil, Mauro Marzorati, et al. 2012.</w:t>
      </w:r>
      <w:r>
        <w:t xml:space="preserve"> </w:t>
      </w:r>
      <w:r>
        <w:t xml:space="preserve">“The Path from β-Carotene to Carlactone, a Strigolactone-Like Plant Hormone.”</w:t>
      </w:r>
      <w:r>
        <w:t xml:space="preserve"> </w:t>
      </w:r>
      <w:r>
        <w:rPr>
          <w:i/>
          <w:iCs/>
        </w:rPr>
        <w:t xml:space="preserve">Science</w:t>
      </w:r>
      <w:r>
        <w:t xml:space="preserve"> </w:t>
      </w:r>
      <w:r>
        <w:t xml:space="preserve">335 (6074): 1348–51.</w:t>
      </w:r>
      <w:r>
        <w:t xml:space="preserve"> </w:t>
      </w:r>
      <w:hyperlink r:id="rId50">
        <w:r>
          <w:rPr>
            <w:rStyle w:val="Hyperlink"/>
          </w:rPr>
          <w:t xml:space="preserve">https://doi.org/10.1126/science.1218094</w:t>
        </w:r>
      </w:hyperlink>
      <w:r>
        <w:t xml:space="preserve">.</w:t>
      </w:r>
    </w:p>
    <w:bookmarkEnd w:id="51"/>
    <w:bookmarkStart w:id="53" w:name="ref-Arite2007PlantJ"/>
    <w:p>
      <w:pPr>
        <w:pStyle w:val="Bibliography"/>
      </w:pPr>
      <w:r>
        <w:t xml:space="preserve">Arite, Tomotsugu, Hiroshi Iwata, Katsuhiko Ohshima, et al. 2007.</w:t>
      </w:r>
      <w:r>
        <w:t xml:space="preserve"> </w:t>
      </w:r>
      <w:r>
        <w:t xml:space="preserve">“DWARF10, an RMS1/MAX4/DAD1 Ortholog, Controls Lateral Bud Outgrowth in Rice.”</w:t>
      </w:r>
      <w:r>
        <w:t xml:space="preserve"> </w:t>
      </w:r>
      <w:r>
        <w:rPr>
          <w:i/>
          <w:iCs/>
        </w:rPr>
        <w:t xml:space="preserve">The Plant Journal</w:t>
      </w:r>
      <w:r>
        <w:t xml:space="preserve"> </w:t>
      </w:r>
      <w:r>
        <w:t xml:space="preserve">51 (6): 1019–29.</w:t>
      </w:r>
      <w:r>
        <w:t xml:space="preserve"> </w:t>
      </w:r>
      <w:hyperlink r:id="rId52">
        <w:r>
          <w:rPr>
            <w:rStyle w:val="Hyperlink"/>
          </w:rPr>
          <w:t xml:space="preserve">https://doi.org/10.1111/j.1365-313X.2007.03210.x</w:t>
        </w:r>
      </w:hyperlink>
      <w:r>
        <w:t xml:space="preserve">.</w:t>
      </w:r>
    </w:p>
    <w:bookmarkEnd w:id="53"/>
    <w:bookmarkStart w:id="55" w:name="ref-Arite2009PCP"/>
    <w:p>
      <w:pPr>
        <w:pStyle w:val="Bibliography"/>
      </w:pPr>
      <w:r>
        <w:t xml:space="preserve">Arite, Tomotsugu, Mikihisa Umehara, Shinji Ishikawa, et al. 2009.</w:t>
      </w:r>
      <w:r>
        <w:t xml:space="preserve"> </w:t>
      </w:r>
      <w:r>
        <w:t xml:space="preserve">“D14, a Strigolactone-Insensitive Mutant of Rice, Shows an Accelerated Outgrowth of Tillers.”</w:t>
      </w:r>
      <w:r>
        <w:t xml:space="preserve"> </w:t>
      </w:r>
      <w:r>
        <w:rPr>
          <w:i/>
          <w:iCs/>
        </w:rPr>
        <w:t xml:space="preserve">Plant and Cell Physiology</w:t>
      </w:r>
      <w:r>
        <w:t xml:space="preserve"> </w:t>
      </w:r>
      <w:r>
        <w:t xml:space="preserve">50 (8): 1416–24.</w:t>
      </w:r>
      <w:r>
        <w:t xml:space="preserve"> </w:t>
      </w:r>
      <w:hyperlink r:id="rId54">
        <w:r>
          <w:rPr>
            <w:rStyle w:val="Hyperlink"/>
          </w:rPr>
          <w:t xml:space="preserve">https://doi.org/10.1093/pcp/pcp091</w:t>
        </w:r>
      </w:hyperlink>
      <w:r>
        <w:t xml:space="preserve">.</w:t>
      </w:r>
    </w:p>
    <w:bookmarkEnd w:id="55"/>
    <w:bookmarkStart w:id="57" w:name="ref-Besserer2006PLoS"/>
    <w:p>
      <w:pPr>
        <w:pStyle w:val="Bibliography"/>
      </w:pPr>
      <w:r>
        <w:t xml:space="preserve">Besserer, Arnaud, Virginie Puech-Pagès, Patrick Kiefer, et al. 2006.</w:t>
      </w:r>
      <w:r>
        <w:t xml:space="preserve"> </w:t>
      </w:r>
      <w:r>
        <w:t xml:space="preserve">“Strigolactones Stimulate Arbuscular Mycorrhizal Fungi by Activating Mitochondria.”</w:t>
      </w:r>
      <w:r>
        <w:t xml:space="preserve"> </w:t>
      </w:r>
      <w:r>
        <w:rPr>
          <w:i/>
          <w:iCs/>
        </w:rPr>
        <w:t xml:space="preserve">PLoS Biology</w:t>
      </w:r>
      <w:r>
        <w:t xml:space="preserve"> </w:t>
      </w:r>
      <w:r>
        <w:t xml:space="preserve">4 (7): e226.</w:t>
      </w:r>
      <w:r>
        <w:t xml:space="preserve"> </w:t>
      </w:r>
      <w:hyperlink r:id="rId56">
        <w:r>
          <w:rPr>
            <w:rStyle w:val="Hyperlink"/>
          </w:rPr>
          <w:t xml:space="preserve">https://doi.org/10.1371/journal.pbio.0040226</w:t>
        </w:r>
      </w:hyperlink>
      <w:r>
        <w:t xml:space="preserve">.</w:t>
      </w:r>
    </w:p>
    <w:bookmarkEnd w:id="57"/>
    <w:bookmarkStart w:id="59" w:name="ref-Jiang2013Nature"/>
    <w:p>
      <w:pPr>
        <w:pStyle w:val="Bibliography"/>
      </w:pPr>
      <w:r>
        <w:t xml:space="preserve">Jiang, Liang, Xue Liu, Guosheng Xiong, et al. 2013.</w:t>
      </w:r>
      <w:r>
        <w:t xml:space="preserve"> </w:t>
      </w:r>
      <w:r>
        <w:t xml:space="preserve">“DWARF 53 Acts as a Repressor of Strigolactone Signalling in Rice.”</w:t>
      </w:r>
      <w:r>
        <w:t xml:space="preserve"> </w:t>
      </w:r>
      <w:r>
        <w:rPr>
          <w:i/>
          <w:iCs/>
        </w:rPr>
        <w:t xml:space="preserve">Nature</w:t>
      </w:r>
      <w:r>
        <w:t xml:space="preserve"> </w:t>
      </w:r>
      <w:r>
        <w:t xml:space="preserve">504 (7480): 401–5.</w:t>
      </w:r>
      <w:r>
        <w:t xml:space="preserve"> </w:t>
      </w:r>
      <w:hyperlink r:id="rId58">
        <w:r>
          <w:rPr>
            <w:rStyle w:val="Hyperlink"/>
          </w:rPr>
          <w:t xml:space="preserve">https://doi.org/10.1038/nature12870</w:t>
        </w:r>
      </w:hyperlink>
      <w:r>
        <w:t xml:space="preserve">.</w:t>
      </w:r>
    </w:p>
    <w:bookmarkEnd w:id="59"/>
    <w:bookmarkStart w:id="61" w:name="ref-Kapulnik2011Planta"/>
    <w:p>
      <w:pPr>
        <w:pStyle w:val="Bibliography"/>
      </w:pPr>
      <w:r>
        <w:t xml:space="preserve">Kapulnik, Yoram, Pierre-Marc Delaux, Natalie Resnick, et al. 2011.</w:t>
      </w:r>
      <w:r>
        <w:t xml:space="preserve"> </w:t>
      </w:r>
      <w:r>
        <w:t xml:space="preserve">“Strigolactones Affect Lateral Root Formation and Root-Hair Elongation in Arabidopsis.”</w:t>
      </w:r>
      <w:r>
        <w:t xml:space="preserve"> </w:t>
      </w:r>
      <w:r>
        <w:rPr>
          <w:i/>
          <w:iCs/>
        </w:rPr>
        <w:t xml:space="preserve">Planta</w:t>
      </w:r>
      <w:r>
        <w:t xml:space="preserve"> </w:t>
      </w:r>
      <w:r>
        <w:t xml:space="preserve">233 (1): 209–16.</w:t>
      </w:r>
      <w:r>
        <w:t xml:space="preserve"> </w:t>
      </w:r>
      <w:hyperlink r:id="rId60">
        <w:r>
          <w:rPr>
            <w:rStyle w:val="Hyperlink"/>
          </w:rPr>
          <w:t xml:space="preserve">https://doi.org/10.1007/s00425-010-1310-y</w:t>
        </w:r>
      </w:hyperlink>
      <w:r>
        <w:t xml:space="preserve">.</w:t>
      </w:r>
    </w:p>
    <w:bookmarkEnd w:id="61"/>
    <w:bookmarkStart w:id="63" w:name="ref-Kapulnik2011JXB"/>
    <w:p>
      <w:pPr>
        <w:pStyle w:val="Bibliography"/>
      </w:pPr>
      <w:r>
        <w:t xml:space="preserve">Kapulnik, Yoram, Natalie Resnick, Efrat Mayzlish-Gati, et al. 2011.</w:t>
      </w:r>
      <w:r>
        <w:t xml:space="preserve"> </w:t>
      </w:r>
      <w:r>
        <w:t xml:space="preserve">“Strigolactones Interact with Ethylene and Auxin in Regulating Root-Hair Elongation in Arabidopsis.”</w:t>
      </w:r>
      <w:r>
        <w:t xml:space="preserve"> </w:t>
      </w:r>
      <w:r>
        <w:rPr>
          <w:i/>
          <w:iCs/>
        </w:rPr>
        <w:t xml:space="preserve">Journal of Experimental Botany</w:t>
      </w:r>
      <w:r>
        <w:t xml:space="preserve"> </w:t>
      </w:r>
      <w:r>
        <w:t xml:space="preserve">62 (8): 2915–24.</w:t>
      </w:r>
      <w:r>
        <w:t xml:space="preserve"> </w:t>
      </w:r>
      <w:hyperlink r:id="rId62">
        <w:r>
          <w:rPr>
            <w:rStyle w:val="Hyperlink"/>
          </w:rPr>
          <w:t xml:space="preserve">https://doi.org/10.1093/jxb/erq464</w:t>
        </w:r>
      </w:hyperlink>
      <w:r>
        <w:t xml:space="preserve">.</w:t>
      </w:r>
    </w:p>
    <w:bookmarkEnd w:id="63"/>
    <w:bookmarkStart w:id="65" w:name="ref-Lin2009PlantCell"/>
    <w:p>
      <w:pPr>
        <w:pStyle w:val="Bibliography"/>
      </w:pPr>
      <w:r>
        <w:t xml:space="preserve">Lin, Hao, Renxiao Wang, Qian Qian, et al. 2009.</w:t>
      </w:r>
      <w:r>
        <w:t xml:space="preserve"> </w:t>
      </w:r>
      <w:r>
        <w:t xml:space="preserve">“DWARF27, an Iron-Containing Protein Required for the Biosynthesis of Strigolactones, Regulates Rice Tillering.”</w:t>
      </w:r>
      <w:r>
        <w:t xml:space="preserve"> </w:t>
      </w:r>
      <w:r>
        <w:rPr>
          <w:i/>
          <w:iCs/>
        </w:rPr>
        <w:t xml:space="preserve">The Plant Cell</w:t>
      </w:r>
      <w:r>
        <w:t xml:space="preserve"> </w:t>
      </w:r>
      <w:r>
        <w:t xml:space="preserve">21 (12): 4012–25.</w:t>
      </w:r>
      <w:r>
        <w:t xml:space="preserve"> </w:t>
      </w:r>
      <w:hyperlink r:id="rId64">
        <w:r>
          <w:rPr>
            <w:rStyle w:val="Hyperlink"/>
          </w:rPr>
          <w:t xml:space="preserve">https://doi.org/10.1105/tpc.109.065987</w:t>
        </w:r>
      </w:hyperlink>
      <w:r>
        <w:t xml:space="preserve">.</w:t>
      </w:r>
    </w:p>
    <w:bookmarkEnd w:id="65"/>
    <w:bookmarkStart w:id="67" w:name="ref-Lv2014PlantCell"/>
    <w:p>
      <w:pPr>
        <w:pStyle w:val="Bibliography"/>
      </w:pPr>
      <w:r>
        <w:t xml:space="preserve">Lv, Qundan, Yongjia Zhong, Yuguang Wang, et al. 2014.</w:t>
      </w:r>
      <w:r>
        <w:t xml:space="preserve"> </w:t>
      </w:r>
      <w:r>
        <w:t xml:space="preserve">“SPX4 Negatively Regulates Phosphate Signaling and Homeostasis Through Its Interaction with PHR2 in Rice.”</w:t>
      </w:r>
      <w:r>
        <w:t xml:space="preserve"> </w:t>
      </w:r>
      <w:r>
        <w:rPr>
          <w:i/>
          <w:iCs/>
        </w:rPr>
        <w:t xml:space="preserve">The Plant Cell</w:t>
      </w:r>
      <w:r>
        <w:t xml:space="preserve"> </w:t>
      </w:r>
      <w:r>
        <w:t xml:space="preserve">26 (4): 1586–97.</w:t>
      </w:r>
      <w:r>
        <w:t xml:space="preserve"> </w:t>
      </w:r>
      <w:hyperlink r:id="rId66">
        <w:r>
          <w:rPr>
            <w:rStyle w:val="Hyperlink"/>
          </w:rPr>
          <w:t xml:space="preserve">https://doi.org/10.1105/tpc.114.123208</w:t>
        </w:r>
      </w:hyperlink>
      <w:r>
        <w:t xml:space="preserve">.</w:t>
      </w:r>
    </w:p>
    <w:bookmarkEnd w:id="67"/>
    <w:bookmarkStart w:id="69" w:name="ref-Ried2021NatCommun"/>
    <w:p>
      <w:pPr>
        <w:pStyle w:val="Bibliography"/>
      </w:pPr>
      <w:r>
        <w:t xml:space="preserve">Ried, Martina K., Rebekka Wild, Jinsheng Zhu, et al. 2021.</w:t>
      </w:r>
      <w:r>
        <w:t xml:space="preserve"> </w:t>
      </w:r>
      <w:r>
        <w:t xml:space="preserve">“Inositol Pyrophosphates Promote the Interaction of SPX Domains with the Coiled-Coil Motif of PHR Transcription Factors to Regulate Plant Phosphate Homeostasis.”</w:t>
      </w:r>
      <w:r>
        <w:t xml:space="preserve"> </w:t>
      </w:r>
      <w:r>
        <w:rPr>
          <w:i/>
          <w:iCs/>
        </w:rPr>
        <w:t xml:space="preserve">Nature Communications</w:t>
      </w:r>
      <w:r>
        <w:t xml:space="preserve"> </w:t>
      </w:r>
      <w:r>
        <w:t xml:space="preserve">12 (1): 359.</w:t>
      </w:r>
      <w:r>
        <w:t xml:space="preserve"> </w:t>
      </w:r>
      <w:hyperlink r:id="rId68">
        <w:r>
          <w:rPr>
            <w:rStyle w:val="Hyperlink"/>
          </w:rPr>
          <w:t xml:space="preserve">https://doi.org/10.1038/s41467-020-20681-4</w:t>
        </w:r>
      </w:hyperlink>
      <w:r>
        <w:t xml:space="preserve">.</w:t>
      </w:r>
    </w:p>
    <w:bookmarkEnd w:id="69"/>
    <w:bookmarkStart w:id="71" w:name="ref-RuyterSpira2011PlantPhysiol"/>
    <w:p>
      <w:pPr>
        <w:pStyle w:val="Bibliography"/>
      </w:pPr>
      <w:r>
        <w:t xml:space="preserve">Ruyter-Spira, Carolien, Wouter Kohlen, Tatiana Charnikhova, et al. 2011.</w:t>
      </w:r>
      <w:r>
        <w:t xml:space="preserve"> </w:t>
      </w:r>
      <w:r>
        <w:t xml:space="preserve">“Physiological Effects of the Synthetic Strigolactone Analog GR24 on Root System Architecture in Arabidopsis: Another Belowground Role for Strigolactones?”</w:t>
      </w:r>
      <w:r>
        <w:t xml:space="preserve"> </w:t>
      </w:r>
      <w:r>
        <w:rPr>
          <w:i/>
          <w:iCs/>
        </w:rPr>
        <w:t xml:space="preserve">Plant Physiology</w:t>
      </w:r>
      <w:r>
        <w:t xml:space="preserve"> </w:t>
      </w:r>
      <w:r>
        <w:t xml:space="preserve">155 (2): 721–34.</w:t>
      </w:r>
      <w:r>
        <w:t xml:space="preserve"> </w:t>
      </w:r>
      <w:hyperlink r:id="rId70">
        <w:r>
          <w:rPr>
            <w:rStyle w:val="Hyperlink"/>
          </w:rPr>
          <w:t xml:space="preserve">https://doi.org/10.1104/pp.110.166645</w:t>
        </w:r>
      </w:hyperlink>
      <w:r>
        <w:t xml:space="preserve">.</w:t>
      </w:r>
    </w:p>
    <w:bookmarkEnd w:id="71"/>
    <w:bookmarkStart w:id="73" w:name="ref-Sun2014JXB"/>
    <w:p>
      <w:pPr>
        <w:pStyle w:val="Bibliography"/>
      </w:pPr>
      <w:r>
        <w:t xml:space="preserve">Sun, Hao, Jin Tao, Shijia Liu, et al. 2014.</w:t>
      </w:r>
      <w:r>
        <w:t xml:space="preserve"> </w:t>
      </w:r>
      <w:r>
        <w:t xml:space="preserve">“Strigolactones Are Involved in Phosphate- and Nitrate-Deficiency-Induced Root Development and Auxin Transport in Rice.”</w:t>
      </w:r>
      <w:r>
        <w:t xml:space="preserve"> </w:t>
      </w:r>
      <w:r>
        <w:rPr>
          <w:i/>
          <w:iCs/>
        </w:rPr>
        <w:t xml:space="preserve">Journal of Experimental Botany</w:t>
      </w:r>
      <w:r>
        <w:t xml:space="preserve"> </w:t>
      </w:r>
      <w:r>
        <w:t xml:space="preserve">65 (22): 6735–46.</w:t>
      </w:r>
      <w:r>
        <w:t xml:space="preserve"> </w:t>
      </w:r>
      <w:hyperlink r:id="rId72">
        <w:r>
          <w:rPr>
            <w:rStyle w:val="Hyperlink"/>
          </w:rPr>
          <w:t xml:space="preserve">https://doi.org/10.1093/jxb/eru029</w:t>
        </w:r>
      </w:hyperlink>
      <w:r>
        <w:t xml:space="preserve">.</w:t>
      </w:r>
    </w:p>
    <w:bookmarkEnd w:id="73"/>
    <w:bookmarkStart w:id="75" w:name="ref-Umehara2008Nature"/>
    <w:p>
      <w:pPr>
        <w:pStyle w:val="Bibliography"/>
      </w:pPr>
      <w:r>
        <w:t xml:space="preserve">Umehara, Mikihisa, Atsushi Hanada, Satoko Yoshida, et al. 2008.</w:t>
      </w:r>
      <w:r>
        <w:t xml:space="preserve"> </w:t>
      </w:r>
      <w:r>
        <w:t xml:space="preserve">“Inhibition of Shoot Branching by New Terpenoid Plant Hormones.”</w:t>
      </w:r>
      <w:r>
        <w:t xml:space="preserve"> </w:t>
      </w:r>
      <w:r>
        <w:rPr>
          <w:i/>
          <w:iCs/>
        </w:rPr>
        <w:t xml:space="preserve">Nature</w:t>
      </w:r>
      <w:r>
        <w:t xml:space="preserve"> </w:t>
      </w:r>
      <w:r>
        <w:t xml:space="preserve">455 (7210): 195–200.</w:t>
      </w:r>
      <w:r>
        <w:t xml:space="preserve"> </w:t>
      </w:r>
      <w:hyperlink r:id="rId74">
        <w:r>
          <w:rPr>
            <w:rStyle w:val="Hyperlink"/>
          </w:rPr>
          <w:t xml:space="preserve">https://doi.org/10.1038/nature07272</w:t>
        </w:r>
      </w:hyperlink>
      <w:r>
        <w:t xml:space="preserve">.</w:t>
      </w:r>
    </w:p>
    <w:bookmarkEnd w:id="75"/>
    <w:bookmarkStart w:id="77" w:name="ref-Wild2016Science"/>
    <w:p>
      <w:pPr>
        <w:pStyle w:val="Bibliography"/>
      </w:pPr>
      <w:r>
        <w:t xml:space="preserve">Wild, Rebekka, Ruta Gerasimaite, Ji-Yul Jung, et al. 2016.</w:t>
      </w:r>
      <w:r>
        <w:t xml:space="preserve"> </w:t>
      </w:r>
      <w:r>
        <w:t xml:space="preserve">“Control of Eukaryotic Phosphate Homeostasis by Inositol Polyphosphate Sensor Domains.”</w:t>
      </w:r>
      <w:r>
        <w:t xml:space="preserve"> </w:t>
      </w:r>
      <w:r>
        <w:rPr>
          <w:i/>
          <w:iCs/>
        </w:rPr>
        <w:t xml:space="preserve">Science</w:t>
      </w:r>
      <w:r>
        <w:t xml:space="preserve"> </w:t>
      </w:r>
      <w:r>
        <w:t xml:space="preserve">352 (6288): 986–90.</w:t>
      </w:r>
      <w:r>
        <w:t xml:space="preserve"> </w:t>
      </w:r>
      <w:hyperlink r:id="rId76">
        <w:r>
          <w:rPr>
            <w:rStyle w:val="Hyperlink"/>
          </w:rPr>
          <w:t xml:space="preserve">https://doi.org/10.1126/science.aad9858</w:t>
        </w:r>
      </w:hyperlink>
      <w:r>
        <w:t xml:space="preserve">.</w:t>
      </w:r>
    </w:p>
    <w:bookmarkEnd w:id="77"/>
    <w:bookmarkStart w:id="79" w:name="ref-Yao2016Nature"/>
    <w:p>
      <w:pPr>
        <w:pStyle w:val="Bibliography"/>
      </w:pPr>
      <w:r>
        <w:t xml:space="preserve">Yao, Ruifeng, Zhenhua Ming, Liming Yan, et al. 2016.</w:t>
      </w:r>
      <w:r>
        <w:t xml:space="preserve"> </w:t>
      </w:r>
      <w:r>
        <w:t xml:space="preserve">“DWARF14 Is a Non-Canonical Hormone Receptor for Strigolactone.”</w:t>
      </w:r>
      <w:r>
        <w:t xml:space="preserve"> </w:t>
      </w:r>
      <w:r>
        <w:rPr>
          <w:i/>
          <w:iCs/>
        </w:rPr>
        <w:t xml:space="preserve">Nature</w:t>
      </w:r>
      <w:r>
        <w:t xml:space="preserve"> </w:t>
      </w:r>
      <w:r>
        <w:t xml:space="preserve">536 (7617): 469–73.</w:t>
      </w:r>
      <w:r>
        <w:t xml:space="preserve"> </w:t>
      </w:r>
      <w:hyperlink r:id="rId78">
        <w:r>
          <w:rPr>
            <w:rStyle w:val="Hyperlink"/>
          </w:rPr>
          <w:t xml:space="preserve">https://doi.org/10.1038/nature19073</w:t>
        </w:r>
      </w:hyperlink>
      <w:r>
        <w:t xml:space="preserve">.</w:t>
      </w:r>
    </w:p>
    <w:bookmarkEnd w:id="79"/>
    <w:bookmarkStart w:id="81" w:name="ref-Zhou2013Nature"/>
    <w:p>
      <w:pPr>
        <w:pStyle w:val="Bibliography"/>
      </w:pPr>
      <w:r>
        <w:t xml:space="preserve">Zhou, Feng, Qibing Lin, Lihong Zhu, et al. 2013.</w:t>
      </w:r>
      <w:r>
        <w:t xml:space="preserve"> </w:t>
      </w:r>
      <w:r>
        <w:t xml:space="preserve">“D14–SCFD3-Dependent Degradation of D53 Regulates Strigolactone Signalling.”</w:t>
      </w:r>
      <w:r>
        <w:t xml:space="preserve"> </w:t>
      </w:r>
      <w:r>
        <w:rPr>
          <w:i/>
          <w:iCs/>
        </w:rPr>
        <w:t xml:space="preserve">Nature</w:t>
      </w:r>
      <w:r>
        <w:t xml:space="preserve"> </w:t>
      </w:r>
      <w:r>
        <w:t xml:space="preserve">504 (7480): 406–10.</w:t>
      </w:r>
      <w:r>
        <w:t xml:space="preserve"> </w:t>
      </w:r>
      <w:hyperlink r:id="rId80">
        <w:r>
          <w:rPr>
            <w:rStyle w:val="Hyperlink"/>
          </w:rPr>
          <w:t xml:space="preserve">https://doi.org/10.1038/nature12878</w:t>
        </w:r>
      </w:hyperlink>
      <w:r>
        <w:t xml:space="preserve">.</w:t>
      </w:r>
    </w:p>
    <w:bookmarkEnd w:id="81"/>
    <w:bookmarkStart w:id="83" w:name="ref-Zou2006PlantJ"/>
    <w:p>
      <w:pPr>
        <w:pStyle w:val="Bibliography"/>
      </w:pPr>
      <w:r>
        <w:t xml:space="preserve">Zou, Jun, Shengbiao Zhang, Weiping Zhang, et al. 2006.</w:t>
      </w:r>
      <w:r>
        <w:t xml:space="preserve"> </w:t>
      </w:r>
      <w:r>
        <w:t xml:space="preserve">“The Rice HIGH-TILLERING DWARF1 Encoding an Ortholog of Arabidopsis MAX3 Is Required for Negative Regulation of the Outgrowth of Axillary Buds.”</w:t>
      </w:r>
      <w:r>
        <w:t xml:space="preserve"> </w:t>
      </w:r>
      <w:r>
        <w:rPr>
          <w:i/>
          <w:iCs/>
        </w:rPr>
        <w:t xml:space="preserve">The Plant Journal</w:t>
      </w:r>
      <w:r>
        <w:t xml:space="preserve"> </w:t>
      </w:r>
      <w:r>
        <w:t xml:space="preserve">48 (5): 687–98.</w:t>
      </w:r>
      <w:r>
        <w:t xml:space="preserve"> </w:t>
      </w:r>
      <w:hyperlink r:id="rId82">
        <w:r>
          <w:rPr>
            <w:rStyle w:val="Hyperlink"/>
          </w:rPr>
          <w:t xml:space="preserve">https://doi.org/10.1111/j.1365-313X.2006.02916.x</w:t>
        </w:r>
      </w:hyperlink>
      <w:r>
        <w:t xml:space="preserve">.</w:t>
      </w:r>
    </w:p>
    <w:bookmarkEnd w:id="83"/>
    <w:bookmarkEnd w:id="84"/>
    <w:bookmarkEnd w:id="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5" Target="media/rId35.png" /><Relationship Type="http://schemas.openxmlformats.org/officeDocument/2006/relationships/image" Id="rId25" Target="media/rId25.png" /><Relationship Type="http://schemas.openxmlformats.org/officeDocument/2006/relationships/image" Id="rId39" Target="media/rId39.png" /><Relationship Type="http://schemas.openxmlformats.org/officeDocument/2006/relationships/hyperlink" Id="rId60" Target="https://doi.org/10.1007/s00425-010-1310-y" TargetMode="External" /><Relationship Type="http://schemas.openxmlformats.org/officeDocument/2006/relationships/hyperlink" Id="rId48" Target="https://doi.org/10.1038/nature03608" TargetMode="External" /><Relationship Type="http://schemas.openxmlformats.org/officeDocument/2006/relationships/hyperlink" Id="rId74" Target="https://doi.org/10.1038/nature07272" TargetMode="External" /><Relationship Type="http://schemas.openxmlformats.org/officeDocument/2006/relationships/hyperlink" Id="rId58" Target="https://doi.org/10.1038/nature12870" TargetMode="External" /><Relationship Type="http://schemas.openxmlformats.org/officeDocument/2006/relationships/hyperlink" Id="rId80" Target="https://doi.org/10.1038/nature12878" TargetMode="External" /><Relationship Type="http://schemas.openxmlformats.org/officeDocument/2006/relationships/hyperlink" Id="rId78" Target="https://doi.org/10.1038/nature19073" TargetMode="External" /><Relationship Type="http://schemas.openxmlformats.org/officeDocument/2006/relationships/hyperlink" Id="rId68" Target="https://doi.org/10.1038/s41467-020-20681-4" TargetMode="External" /><Relationship Type="http://schemas.openxmlformats.org/officeDocument/2006/relationships/hyperlink" Id="rId62" Target="https://doi.org/10.1093/jxb/erq464" TargetMode="External" /><Relationship Type="http://schemas.openxmlformats.org/officeDocument/2006/relationships/hyperlink" Id="rId72" Target="https://doi.org/10.1093/jxb/eru029" TargetMode="External" /><Relationship Type="http://schemas.openxmlformats.org/officeDocument/2006/relationships/hyperlink" Id="rId54" Target="https://doi.org/10.1093/pcp/pcp091" TargetMode="External" /><Relationship Type="http://schemas.openxmlformats.org/officeDocument/2006/relationships/hyperlink" Id="rId70" Target="https://doi.org/10.1104/pp.110.166645" TargetMode="External" /><Relationship Type="http://schemas.openxmlformats.org/officeDocument/2006/relationships/hyperlink" Id="rId64" Target="https://doi.org/10.1105/tpc.109.065987" TargetMode="External" /><Relationship Type="http://schemas.openxmlformats.org/officeDocument/2006/relationships/hyperlink" Id="rId66" Target="https://doi.org/10.1105/tpc.114.123208" TargetMode="External" /><Relationship Type="http://schemas.openxmlformats.org/officeDocument/2006/relationships/hyperlink" Id="rId82" Target="https://doi.org/10.1111/j.1365-313X.2006.02916.x" TargetMode="External" /><Relationship Type="http://schemas.openxmlformats.org/officeDocument/2006/relationships/hyperlink" Id="rId52" Target="https://doi.org/10.1111/j.1365-313X.2007.03210.x" TargetMode="External" /><Relationship Type="http://schemas.openxmlformats.org/officeDocument/2006/relationships/hyperlink" Id="rId50" Target="https://doi.org/10.1126/science.1218094" TargetMode="External" /><Relationship Type="http://schemas.openxmlformats.org/officeDocument/2006/relationships/hyperlink" Id="rId76" Target="https://doi.org/10.1126/science.aad9858" TargetMode="External" /><Relationship Type="http://schemas.openxmlformats.org/officeDocument/2006/relationships/hyperlink" Id="rId56" Target="https://doi.org/10.1371/journal.pbio.0040226" TargetMode="External" /></Relationships>
</file>

<file path=word/_rels/footnotes.xml.rels><?xml version="1.0" encoding="UTF-8"?><Relationships xmlns="http://schemas.openxmlformats.org/package/2006/relationships"><Relationship Type="http://schemas.openxmlformats.org/officeDocument/2006/relationships/hyperlink" Id="rId60" Target="https://doi.org/10.1007/s00425-010-1310-y" TargetMode="External" /><Relationship Type="http://schemas.openxmlformats.org/officeDocument/2006/relationships/hyperlink" Id="rId48" Target="https://doi.org/10.1038/nature03608" TargetMode="External" /><Relationship Type="http://schemas.openxmlformats.org/officeDocument/2006/relationships/hyperlink" Id="rId74" Target="https://doi.org/10.1038/nature07272" TargetMode="External" /><Relationship Type="http://schemas.openxmlformats.org/officeDocument/2006/relationships/hyperlink" Id="rId58" Target="https://doi.org/10.1038/nature12870" TargetMode="External" /><Relationship Type="http://schemas.openxmlformats.org/officeDocument/2006/relationships/hyperlink" Id="rId80" Target="https://doi.org/10.1038/nature12878" TargetMode="External" /><Relationship Type="http://schemas.openxmlformats.org/officeDocument/2006/relationships/hyperlink" Id="rId78" Target="https://doi.org/10.1038/nature19073" TargetMode="External" /><Relationship Type="http://schemas.openxmlformats.org/officeDocument/2006/relationships/hyperlink" Id="rId68" Target="https://doi.org/10.1038/s41467-020-20681-4" TargetMode="External" /><Relationship Type="http://schemas.openxmlformats.org/officeDocument/2006/relationships/hyperlink" Id="rId62" Target="https://doi.org/10.1093/jxb/erq464" TargetMode="External" /><Relationship Type="http://schemas.openxmlformats.org/officeDocument/2006/relationships/hyperlink" Id="rId72" Target="https://doi.org/10.1093/jxb/eru029" TargetMode="External" /><Relationship Type="http://schemas.openxmlformats.org/officeDocument/2006/relationships/hyperlink" Id="rId54" Target="https://doi.org/10.1093/pcp/pcp091" TargetMode="External" /><Relationship Type="http://schemas.openxmlformats.org/officeDocument/2006/relationships/hyperlink" Id="rId70" Target="https://doi.org/10.1104/pp.110.166645" TargetMode="External" /><Relationship Type="http://schemas.openxmlformats.org/officeDocument/2006/relationships/hyperlink" Id="rId64" Target="https://doi.org/10.1105/tpc.109.065987" TargetMode="External" /><Relationship Type="http://schemas.openxmlformats.org/officeDocument/2006/relationships/hyperlink" Id="rId66" Target="https://doi.org/10.1105/tpc.114.123208" TargetMode="External" /><Relationship Type="http://schemas.openxmlformats.org/officeDocument/2006/relationships/hyperlink" Id="rId82" Target="https://doi.org/10.1111/j.1365-313X.2006.02916.x" TargetMode="External" /><Relationship Type="http://schemas.openxmlformats.org/officeDocument/2006/relationships/hyperlink" Id="rId52" Target="https://doi.org/10.1111/j.1365-313X.2007.03210.x" TargetMode="External" /><Relationship Type="http://schemas.openxmlformats.org/officeDocument/2006/relationships/hyperlink" Id="rId50" Target="https://doi.org/10.1126/science.1218094" TargetMode="External" /><Relationship Type="http://schemas.openxmlformats.org/officeDocument/2006/relationships/hyperlink" Id="rId76" Target="https://doi.org/10.1126/science.aad9858" TargetMode="External" /><Relationship Type="http://schemas.openxmlformats.org/officeDocument/2006/relationships/hyperlink" Id="rId56" Target="https://doi.org/10.1371/journal.pbio.004022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Strigolactone Signaling, Root System Architecture Remodeling, and Mycorrhizal Symbiosis Under Phosphate Starvation in Cereals: An AREIL Evidentiary Synthesis and Linear Mixed-Effects Analysis</dc:title>
  <dc:creator>AREIL Research Suite (Treatment Arm - Benchmark B)</dc:creator>
  <cp:keywords/>
  <dcterms:created xsi:type="dcterms:W3CDTF">2026-09-05T12:44:51Z</dcterms:created>
  <dcterms:modified xsi:type="dcterms:W3CDTF">2026-09-05T12:44:51Z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2026-09-05</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