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Split-Plot Mixed-Effects Modeling of the Yates (1935) Oat Field Trial Under AREIL Evidentiary Discipline</w:t>
      </w:r>
    </w:p>
    <w:p>
      <w:pPr>
        <w:pStyle w:val="Author"/>
      </w:pPr>
      <w:r>
        <w:t xml:space="preserve">AREIL Research Team (ARM 3: Gemini 3.8 Flash High + AREIL v0.2.1)</w:t>
      </w:r>
    </w:p>
    <w:p>
      <w:pPr>
        <w:pStyle w:val="Date"/>
      </w:pPr>
      <w:r>
        <w:t xml:space="preserve">2026-09-05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introduction-experimental-design"/>
    <w:p>
      <w:pPr>
        <w:pStyle w:val="Heading1"/>
      </w:pPr>
      <w:r>
        <w:t xml:space="preserve">1. Introduction &amp; Experimental Design</w:t>
      </w:r>
    </w:p>
    <w:p>
      <w:pPr>
        <w:pStyle w:val="FirstParagraph"/>
      </w:pPr>
      <w:r>
        <w:t xml:space="preserve">Frank Yates’ landmark 1935 agricultural experiment investigated oat (</w:t>
      </w:r>
      <w:r>
        <w:rPr>
          <w:i/>
          <w:iCs/>
        </w:rPr>
        <w:t xml:space="preserve">Avena sativa</w:t>
      </w:r>
      <w:r>
        <w:t xml:space="preserve">) grain yield across 6 randomized complete blocks, evaluating 3 oat cultivars (</w:t>
      </w:r>
      <w:r>
        <w:rPr>
          <w:i/>
          <w:iCs/>
        </w:rPr>
        <w:t xml:space="preserve">Golden Rain</w:t>
      </w:r>
      <w:r>
        <w:t xml:space="preserve">,</w:t>
      </w:r>
      <w:r>
        <w:t xml:space="preserve"> </w:t>
      </w:r>
      <w:r>
        <w:rPr>
          <w:i/>
          <w:iCs/>
        </w:rPr>
        <w:t xml:space="preserve">Marvellous</w:t>
      </w:r>
      <w:r>
        <w:t xml:space="preserve">,</w:t>
      </w:r>
      <w:r>
        <w:t xml:space="preserve"> </w:t>
      </w:r>
      <w:r>
        <w:rPr>
          <w:i/>
          <w:iCs/>
        </w:rPr>
        <w:t xml:space="preserve">Victory</w:t>
      </w:r>
      <w:r>
        <w:t xml:space="preserve">) and 4 mineral nitrogen fertilization levels (0.0, 0.2, 0.4, 0.6 cwt/acre)</w:t>
      </w:r>
      <w:r>
        <w:t xml:space="preserve"> </w:t>
      </w:r>
      <w:r>
        <w:t xml:space="preserve">(Yates 1935)</w:t>
      </w:r>
      <w:r>
        <w:t xml:space="preserve">. Total trial size comprises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72</m:t>
        </m:r>
      </m:oMath>
      <w:r>
        <w:t xml:space="preserve"> </w:t>
      </w:r>
      <w:r>
        <w:t xml:space="preserve">experimental sub-plots.</w:t>
      </w:r>
    </w:p>
    <w:bookmarkEnd w:id="9"/>
    <w:bookmarkStart w:id="10" w:name="X38983beaefaba37fad516b1ff7b1081519fa59a"/>
    <w:p>
      <w:pPr>
        <w:pStyle w:val="Heading1"/>
      </w:pPr>
      <w:r>
        <w:t xml:space="preserve">2. 8-Stage Holistic Statistical Modeling Pipeline</w:t>
      </w:r>
    </w:p>
    <w:p>
      <w:pPr>
        <w:pStyle w:val="FirstParagraph"/>
      </w:pPr>
      <w:r>
        <w:t xml:space="preserve">In strict adherence to the AREIL Statistical Routing Specification (schemas/STATISTICAL_ROUTING_SPECIFICATION.md), modeling proceeds through eight integrated stages rather than arbitrary single-metric hypothesis gates: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Stage 1 (Data-Generating Process &amp; Outcome Structure):</w:t>
      </w:r>
      <w:r>
        <w:t xml:space="preserve"> </w:t>
      </w:r>
      <w:r>
        <w:t xml:space="preserve">Oat grain yield represents a continuous positive agronomical response with non-zero baseline.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Stage 2 (Experimental Design &amp; Stratification):</w:t>
      </w:r>
      <w:r>
        <w:t xml:space="preserve"> </w:t>
      </w:r>
      <w:r>
        <w:t xml:space="preserve">The field trial is structured as a classical split-plot experiment. Whole-plots within blocks are randomly assigned to Cultivars, while sub-plots within whole-plots receive randomized Nitrogen fertilization levels.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Stage 3 (Clustering &amp; Multi-Stratum Error Structure):</w:t>
      </w:r>
      <w:r>
        <w:t xml:space="preserve"> </w:t>
      </w:r>
      <w:r>
        <w:t xml:space="preserve">The design generates two nested levels of random clustering: macro-environmental variation among Blocks (</w:t>
      </w:r>
      <m:oMath>
        <m:r>
          <m:t>b</m:t>
        </m:r>
        <m:r>
          <m:rPr>
            <m:sty m:val="p"/>
          </m:rPr>
          <m:t>=</m:t>
        </m:r>
        <m:r>
          <m:t>6</m:t>
        </m:r>
      </m:oMath>
      <w:r>
        <w:t xml:space="preserve">) and whole-plot variation among Cultivars within Blocks (</w:t>
      </w:r>
      <m:oMath>
        <m:r>
          <m:t>b</m:t>
        </m:r>
        <m:r>
          <m:rPr>
            <m:sty m:val="p"/>
          </m:rPr>
          <m:t>×</m:t>
        </m:r>
        <m:r>
          <m:t>v</m:t>
        </m:r>
        <m:r>
          <m:rPr>
            <m:sty m:val="p"/>
          </m:rPr>
          <m:t>=</m:t>
        </m:r>
        <m:r>
          <m:t>18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Stage 4 (Candidate Family Formulation):</w:t>
      </w:r>
      <w:r>
        <w:t xml:space="preserve"> </w:t>
      </w:r>
      <w:r>
        <w:t xml:space="preserve">A linear mixed-effects model (Gaussian LMM) with dual variance components is specified: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yield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Block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Variety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Block</m:t>
          </m:r>
          <m:r>
            <m:rPr>
              <m:sty m:val="p"/>
            </m:rPr>
            <m:t>:</m:t>
          </m:r>
          <m:r>
            <m:rPr>
              <m:nor/>
              <m:sty m:val="p"/>
            </m:rPr>
            <m:t>Variety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nitro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Variety</m:t>
          </m:r>
          <m:r>
            <m:rPr>
              <m:sty m:val="p"/>
            </m:rPr>
            <m:t>:</m:t>
          </m:r>
          <m:r>
            <m:rPr>
              <m:nor/>
              <m:sty m:val="p"/>
            </m:rPr>
            <m:t>nitro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Compact"/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|</m:t>
        </m:r>
        <m:r>
          <m:rPr>
            <m:nor/>
            <m:sty m:val="p"/>
          </m:rPr>
          <m:t>Block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|</m:t>
        </m:r>
        <m:r>
          <m:rPr>
            <m:nor/>
            <m:sty m:val="p"/>
          </m:rPr>
          <m:t>Block</m:t>
        </m:r>
        <m:r>
          <m:rPr>
            <m:sty m:val="p"/>
          </m:rPr>
          <m:t>:</m:t>
        </m:r>
        <m:r>
          <m:rPr>
            <m:nor/>
            <m:sty m:val="p"/>
          </m:rPr>
          <m:t>Variety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Stage 5 (Estimation &amp; Convergence):</w:t>
      </w:r>
      <w:r>
        <w:t xml:space="preserve"> </w:t>
      </w:r>
      <w:r>
        <w:t xml:space="preserve">Fitted via Restricted Maximum Likelihood (REML) using R</w:t>
      </w:r>
      <w:r>
        <w:t xml:space="preserve"> </w:t>
      </w:r>
      <w:r>
        <w:rPr>
          <w:rStyle w:val="VerbatimChar"/>
        </w:rPr>
        <w:t xml:space="preserve">lme4::lmer</w:t>
      </w:r>
      <w:r>
        <w:t xml:space="preserve"> </w:t>
      </w:r>
      <w:r>
        <w:t xml:space="preserve">with Kenward-Roger adjusted denominator degrees of freedom (</w:t>
      </w:r>
      <w:r>
        <w:rPr>
          <w:rStyle w:val="VerbatimChar"/>
        </w:rPr>
        <w:t xml:space="preserve">lmerTest</w:t>
      </w:r>
      <w:r>
        <w:t xml:space="preserve">). The model converges cleanly (REML criterion = 563.2).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Stage 6 (Residual Diagnostics &amp; Calibration):</w:t>
      </w:r>
      <w:r>
        <w:t xml:space="preserve"> </w:t>
      </w:r>
      <w:r>
        <w:t xml:space="preserve">Residual diagnostics show high conformity to distributional assumptions. Shapiro-Wilk testing on sub-plot residuals yields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0.985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0.536</m:t>
        </m:r>
      </m:oMath>
      <w:r>
        <w:t xml:space="preserve">). Residuals are examined as descriptive diagnostics rather than an automated selection gate.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Stage 7 (Sensitivity &amp; Contrast Analysis):</w:t>
      </w:r>
      <w:r>
        <w:t xml:space="preserve"> </w:t>
      </w:r>
      <w:r>
        <w:t xml:space="preserve">Orthogonal polynomial decomposition demonstrates that</w:t>
      </w:r>
      <w:r>
        <w:t xml:space="preserve"> </w:t>
      </w:r>
      <m:oMath>
        <m:r>
          <m:t>97.58</m:t>
        </m:r>
        <m:r>
          <m:rPr>
            <m:sty m:val="p"/>
          </m:rPr>
          <m:t>%</m:t>
        </m:r>
      </m:oMath>
      <w:r>
        <w:t xml:space="preserve"> </w:t>
      </w:r>
      <w:r>
        <w:t xml:space="preserve">of the nitrogen sum of squares is explained by a linear trend (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110.68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), with negligible quadratic curvature (</w:t>
      </w:r>
      <m:oMath>
        <m:r>
          <m:t>p</m:t>
        </m:r>
        <m:r>
          <m:rPr>
            <m:sty m:val="p"/>
          </m:rPr>
          <m:t>=</m:t>
        </m:r>
        <m:r>
          <m:t>0.106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Stage 8 (Calibrated Scientific Inference):</w:t>
      </w:r>
      <w:r>
        <w:t xml:space="preserve"> </w:t>
      </w:r>
      <w:r>
        <w:t xml:space="preserve">Hypothesis testing employs Kenward-Roger</w:t>
      </w:r>
      <w:r>
        <w:t xml:space="preserve"> </w:t>
      </w:r>
      <m:oMath>
        <m:r>
          <m:t>F</m:t>
        </m:r>
      </m:oMath>
      <w:r>
        <w:t xml:space="preserve">-tests to prevent Type I error inflation on whole-plot factors.</w:t>
      </w:r>
    </w:p>
    <w:bookmarkEnd w:id="10"/>
    <w:bookmarkStart w:id="14" w:name="results-statistical-tables"/>
    <w:p>
      <w:pPr>
        <w:pStyle w:val="Heading1"/>
      </w:pPr>
      <w:r>
        <w:t xml:space="preserve">3. Results &amp; Statistical Tables</w:t>
      </w:r>
    </w:p>
    <w:bookmarkStart w:id="11" w:name="X3f391b22d59dd1ca2a3cba1f6dd65e231756eb3"/>
    <w:p>
      <w:pPr>
        <w:pStyle w:val="Heading3"/>
      </w:pPr>
      <w:r>
        <w:t xml:space="preserve">Analysis of Variance Table (Kenward-Roger Method)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2"/>
        <w:gridCol w:w="1015"/>
        <w:gridCol w:w="1015"/>
        <w:gridCol w:w="1015"/>
        <w:gridCol w:w="1015"/>
        <w:gridCol w:w="1015"/>
        <w:gridCol w:w="1015"/>
        <w:gridCol w:w="101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 of 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 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Num</w:t>
            </w:r>
            <w:r>
              <w:t xml:space="preserve"> </w:t>
            </w:r>
            <m:oMath>
              <m:r>
                <m:t>d</m:t>
              </m:r>
              <m:r>
                <m:t>f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Den</w:t>
            </w:r>
            <w:r>
              <w:t xml:space="preserve"> </w:t>
            </w:r>
            <m:oMath>
              <m:r>
                <m:t>d</m:t>
              </m:r>
              <m:r>
                <m:t>f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-value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-value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Significance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Variety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526.1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263.0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1.4853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0.2724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Nitrogen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20020.5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6673.5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37.6857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2.46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Variety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Nitrogen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321.7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0.3028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</w:t>
            </w:r>
          </w:p>
        </w:tc>
      </w:tr>
    </w:tbl>
    <w:bookmarkEnd w:id="11"/>
    <w:bookmarkStart w:id="12" w:name="variance-component-estimates"/>
    <w:p>
      <w:pPr>
        <w:pStyle w:val="Heading3"/>
      </w:pPr>
      <w:r>
        <w:t xml:space="preserve">Variance Component Estimates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Block Random Variance:</w:t>
      </w:r>
      <w:r>
        <w:t xml:space="preserve"> </w:t>
      </w:r>
      <m:oMath>
        <m:sSubSup>
          <m:e>
            <m:r>
              <m:t>σ</m:t>
            </m:r>
          </m:e>
          <m:sub>
            <m:r>
              <m:rPr>
                <m:nor/>
                <m:sty m:val="p"/>
              </m:rPr>
              <m:t>Block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214.48</m:t>
        </m:r>
      </m:oMath>
      <w:r>
        <w:t xml:space="preserve"> </w:t>
      </w:r>
      <w:r>
        <w:t xml:space="preserve">(Std.Dev. = 14.65)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Whole-Plot Random Error:</w:t>
      </w:r>
      <w:r>
        <w:t xml:space="preserve"> </w:t>
      </w:r>
      <m:oMath>
        <m:sSubSup>
          <m:e>
            <m:r>
              <m:t>σ</m:t>
            </m:r>
          </m:e>
          <m:sub>
            <m:r>
              <m:rPr>
                <m:nor/>
                <m:sty m:val="p"/>
              </m:rPr>
              <m:t>Block:Variety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106.07</m:t>
        </m:r>
      </m:oMath>
      <w:r>
        <w:t xml:space="preserve"> </w:t>
      </w:r>
      <w:r>
        <w:t xml:space="preserve">(Std.Dev. = 10.30)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Sub-Plot Residual Error:</w:t>
      </w:r>
      <w:r>
        <w:t xml:space="preserve"> </w:t>
      </w:r>
      <m:oMath>
        <m:sSubSup>
          <m:e>
            <m:r>
              <m:t>σ</m:t>
            </m:r>
          </m:e>
          <m:sub>
            <m:r>
              <m:rPr>
                <m:nor/>
                <m:sty m:val="p"/>
              </m:rPr>
              <m:t>Residual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177.08</m:t>
        </m:r>
      </m:oMath>
      <w:r>
        <w:t xml:space="preserve"> </w:t>
      </w:r>
      <w:r>
        <w:t xml:space="preserve">(Std.Dev. = 13.31)</w:t>
      </w:r>
    </w:p>
    <w:bookmarkEnd w:id="12"/>
    <w:bookmarkStart w:id="13" w:name="estimated-marginal-means-emmeans"/>
    <w:p>
      <w:pPr>
        <w:pStyle w:val="Heading3"/>
      </w:pPr>
      <w:r>
        <w:t xml:space="preserve">Estimated Marginal Means (emmeans)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Nitrogen Level 0.0:</w:t>
      </w:r>
      <w:r>
        <w:t xml:space="preserve"> </w:t>
      </w:r>
      <m:oMath>
        <m:r>
          <m:t>79.39</m:t>
        </m:r>
        <m:r>
          <m:rPr>
            <m:sty m:val="p"/>
          </m:rPr>
          <m:t>±</m:t>
        </m:r>
        <m:r>
          <m:t>6.96</m:t>
        </m:r>
      </m:oMath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Nitrogen Level 0.2:</w:t>
      </w:r>
      <w:r>
        <w:t xml:space="preserve"> </w:t>
      </w:r>
      <m:oMath>
        <m:r>
          <m:t>98.89</m:t>
        </m:r>
        <m:r>
          <m:rPr>
            <m:sty m:val="p"/>
          </m:rPr>
          <m:t>±</m:t>
        </m:r>
        <m:r>
          <m:t>6.96</m:t>
        </m:r>
      </m:oMath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Nitrogen Level 0.4:</w:t>
      </w:r>
      <w:r>
        <w:t xml:space="preserve"> </w:t>
      </w:r>
      <m:oMath>
        <m:r>
          <m:t>114.22</m:t>
        </m:r>
        <m:r>
          <m:rPr>
            <m:sty m:val="p"/>
          </m:rPr>
          <m:t>±</m:t>
        </m:r>
        <m:r>
          <m:t>6.96</m:t>
        </m:r>
      </m:oMath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Nitrogen Level 0.6:</w:t>
      </w:r>
      <w:r>
        <w:t xml:space="preserve"> </w:t>
      </w:r>
      <m:oMath>
        <m:r>
          <m:t>123.39</m:t>
        </m:r>
        <m:r>
          <m:rPr>
            <m:sty m:val="p"/>
          </m:rPr>
          <m:t>±</m:t>
        </m:r>
        <m:r>
          <m:t>6.96</m:t>
        </m:r>
      </m:oMath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Golden Rain:</w:t>
      </w:r>
      <w:r>
        <w:t xml:space="preserve"> </w:t>
      </w:r>
      <m:oMath>
        <m:r>
          <m:t>104.50</m:t>
        </m:r>
        <m:r>
          <m:rPr>
            <m:sty m:val="p"/>
          </m:rPr>
          <m:t>±</m:t>
        </m:r>
        <m:r>
          <m:t>7.42</m:t>
        </m:r>
      </m:oMath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Marvellous:</w:t>
      </w:r>
      <w:r>
        <w:t xml:space="preserve"> </w:t>
      </w:r>
      <m:oMath>
        <m:r>
          <m:t>109.79</m:t>
        </m:r>
        <m:r>
          <m:rPr>
            <m:sty m:val="p"/>
          </m:rPr>
          <m:t>±</m:t>
        </m:r>
        <m:r>
          <m:t>7.42</m:t>
        </m:r>
      </m:oMath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Victory:</w:t>
      </w:r>
      <w:r>
        <w:t xml:space="preserve"> </w:t>
      </w:r>
      <m:oMath>
        <m:r>
          <m:t>97.63</m:t>
        </m:r>
        <m:r>
          <m:rPr>
            <m:sty m:val="p"/>
          </m:rPr>
          <m:t>±</m:t>
        </m:r>
        <m:r>
          <m:t>7.42</m:t>
        </m:r>
      </m:oMath>
    </w:p>
    <w:bookmarkEnd w:id="13"/>
    <w:bookmarkEnd w:id="14"/>
    <w:bookmarkStart w:id="15" w:name="discussion-agronomic-conclusions"/>
    <w:p>
      <w:pPr>
        <w:pStyle w:val="Heading1"/>
      </w:pPr>
      <w:r>
        <w:t xml:space="preserve">4. Discussion &amp; Agronomic Conclusions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Nitrogen Driving Force:</w:t>
      </w:r>
      <w:r>
        <w:t xml:space="preserve"> </w:t>
      </w:r>
      <w:r>
        <w:t xml:space="preserve">Nitrogen application is the overwhelmingly dominant driver of yield variation in the trial (</w:t>
      </w:r>
      <m:oMath>
        <m:r>
          <m:t>F</m:t>
        </m:r>
        <m:r>
          <m:rPr>
            <m:sty m:val="p"/>
          </m:rPr>
          <m:t>=</m:t>
        </m:r>
        <m:r>
          <m:t>37.69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=</m:t>
        </m:r>
        <m:r>
          <m:t>2.46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Genetic Additivity:</w:t>
      </w:r>
      <w:r>
        <w:t xml:space="preserve"> </w:t>
      </w:r>
      <w:r>
        <w:t xml:space="preserve">Cultivar differences fail to achieve statistical significance (</w:t>
      </w:r>
      <m:oMath>
        <m:r>
          <m:t>p</m:t>
        </m:r>
        <m:r>
          <m:rPr>
            <m:sty m:val="p"/>
          </m:rPr>
          <m:t>=</m:t>
        </m:r>
        <m:r>
          <m:t>0.272</m:t>
        </m:r>
      </m:oMath>
      <w:r>
        <w:t xml:space="preserve">) when properly evaluated against the whole-plot error stratum (</w:t>
      </w:r>
      <m:oMath>
        <m:r>
          <m:t>M</m:t>
        </m:r>
        <m:r>
          <m:t>S</m:t>
        </m:r>
        <m:r>
          <m:rPr>
            <m:sty m:val="p"/>
          </m:rPr>
          <m:t>=</m:t>
        </m:r>
        <m:r>
          <m:t>601.33</m:t>
        </m:r>
        <m:r>
          <m:rPr>
            <m:sty m:val="p"/>
          </m:rPr>
          <m:t>,</m:t>
        </m:r>
        <m:r>
          <m:t>d</m:t>
        </m:r>
        <m:r>
          <m:t>f</m:t>
        </m:r>
        <m:r>
          <m:rPr>
            <m:sty m:val="p"/>
          </m:rPr>
          <m:t>=</m:t>
        </m:r>
        <m:r>
          <m:t>10</m:t>
        </m:r>
      </m:oMath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Response Invariance:</w:t>
      </w:r>
      <w:r>
        <w:t xml:space="preserve"> </w:t>
      </w:r>
      <w:r>
        <w:t xml:space="preserve">The non-significant interaction (</w:t>
      </w:r>
      <m:oMath>
        <m:r>
          <m:t>p</m:t>
        </m:r>
        <m:r>
          <m:rPr>
            <m:sty m:val="p"/>
          </m:rPr>
          <m:t>=</m:t>
        </m:r>
        <m:r>
          <m:t>0.932</m:t>
        </m:r>
      </m:oMath>
      <w:r>
        <w:t xml:space="preserve">) proves that all three cultivars responded in parallel to nitrogen fertilization, confirming agronomic additivity across cultivars.</w:t>
      </w:r>
    </w:p>
    <w:bookmarkEnd w:id="15"/>
    <w:bookmarkStart w:id="19" w:name="references"/>
    <w:p>
      <w:pPr>
        <w:pStyle w:val="Heading1"/>
      </w:pPr>
      <w:r>
        <w:t xml:space="preserve">References</w:t>
      </w:r>
    </w:p>
    <w:bookmarkStart w:id="18" w:name="refs"/>
    <w:bookmarkStart w:id="17" w:name="ref-yates1935complex"/>
    <w:p>
      <w:pPr>
        <w:pStyle w:val="Bibliography"/>
      </w:pPr>
      <w:r>
        <w:t xml:space="preserve">Yates, Frank. 1935.</w:t>
      </w:r>
      <w:r>
        <w:t xml:space="preserve"> </w:t>
      </w:r>
      <w:r>
        <w:t xml:space="preserve">“Complex Experiments.”</w:t>
      </w:r>
      <w:r>
        <w:t xml:space="preserve"> </w:t>
      </w:r>
      <w:r>
        <w:rPr>
          <w:i/>
          <w:iCs/>
        </w:rPr>
        <w:t xml:space="preserve">Supplement to the Journal of the Royal Statistical Society</w:t>
      </w:r>
      <w:r>
        <w:t xml:space="preserve"> </w:t>
      </w:r>
      <w:r>
        <w:t xml:space="preserve">2 (2): 181–247.</w:t>
      </w:r>
      <w:r>
        <w:t xml:space="preserve"> </w:t>
      </w:r>
      <w:hyperlink r:id="rId16">
        <w:r>
          <w:rPr>
            <w:rStyle w:val="Hyperlink"/>
          </w:rPr>
          <w:t xml:space="preserve">https://doi.org/10.2307/2983638</w:t>
        </w:r>
      </w:hyperlink>
      <w:r>
        <w:t xml:space="preserve">.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s://doi.org/10.2307/298363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doi.org/10.2307/298363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Split-Plot Mixed-Effects Modeling of the Yates (1935) Oat Field Trial Under AREIL Evidentiary Discipline</dc:title>
  <dc:creator>AREIL Research Team (ARM 3: Gemini 3.8 Flash High + AREIL v0.2.1)</dc:creator>
  <cp:keywords/>
  <dcterms:created xsi:type="dcterms:W3CDTF">2026-09-05T11:57:16Z</dcterms:created>
  <dcterms:modified xsi:type="dcterms:W3CDTF">2026-09-05T11:57:16Z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date">
    <vt:lpwstr>2026-09-05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