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2.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Phosphorus-Starved Wheat Roots Broadcast a Strigolactone-Enriched Belowground Cue That Primes Neighboring Unstressed Wheat for Arbuscular-Mycorrhizal Recruitment and Phosphorus Acquisition</w:t>
      </w:r>
    </w:p>
    <w:p>
      <w:pPr>
        <w:pStyle w:val="Author"/>
      </w:pPr>
      <w:r>
        <w:t xml:space="preserve">AREIL Agricultural Research Consortium</w:t>
      </w:r>
    </w:p>
    <w:p>
      <w:pPr>
        <w:pStyle w:val="Author"/>
      </w:pPr>
      <w:r>
        <w:t xml:space="preserve">Coscientist Biological Investigation Team</w:t>
      </w:r>
    </w:p>
    <w:p>
      <w:pPr>
        <w:pStyle w:val="Date"/>
      </w:pPr>
      <w:r>
        <w:t xml:space="preserve">2026-09-05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ummary"/>
    <w:p>
      <w:pPr>
        <w:pStyle w:val="Heading2"/>
      </w:pPr>
      <w:r>
        <w:t xml:space="preserve">1 Summary</w:t>
      </w:r>
    </w:p>
    <w:p>
      <w:pPr>
        <w:pStyle w:val="Compact"/>
        <w:numPr>
          <w:ilvl w:val="0"/>
          <w:numId w:val="1001"/>
        </w:numPr>
      </w:pPr>
      <w:r>
        <w:rPr>
          <w:b/>
          <w:bCs/>
        </w:rPr>
        <w:t xml:space="preserve">Motivation:</w:t>
      </w:r>
      <w:r>
        <w:t xml:space="preserve"> </w:t>
      </w:r>
      <w:r>
        <w:t xml:space="preserve">Soil inorganic orthophosphate (Pi) is severely immobile in agroecosystems, generating localized depletion zones. While plants respond to cell-autonomous Pi starvation by exuding strigolactones (SLs) to recruit symbiotic arbuscular mycorrhizal (AM) fungi, whether a phosphorus-deficient plant actively broadcasts a rhizosphere cue to prime neighboring unstressed plants remains unknown.</w:t>
      </w:r>
    </w:p>
    <w:p>
      <w:pPr>
        <w:pStyle w:val="Compact"/>
        <w:numPr>
          <w:ilvl w:val="0"/>
          <w:numId w:val="1001"/>
        </w:numPr>
      </w:pPr>
      <w:r>
        <w:rPr>
          <w:b/>
          <w:bCs/>
        </w:rPr>
        <w:t xml:space="preserve">Methods:</w:t>
      </w:r>
      <w:r>
        <w:t xml:space="preserve"> </w:t>
      </w:r>
      <w:r>
        <w:t xml:space="preserve">We formulated a 4-block factorial partitioned rhizobox microcosm experiment (</w:t>
      </w:r>
      <m:oMath>
        <m:r>
          <m:t>N</m:t>
        </m:r>
        <m:r>
          <m:rPr>
            <m:sty m:val="p"/>
          </m:rPr>
          <m:t>=</m:t>
        </m:r>
        <m:r>
          <m:t>432</m:t>
        </m:r>
      </m:oMath>
      <w:r>
        <w:t xml:space="preserve">) testing diffusible solute transport (</w:t>
      </w:r>
      <m:oMath>
        <m:r>
          <m:t>0.45</m:t>
        </m:r>
        <m:r>
          <m:t> </m:t>
        </m:r>
        <m:r>
          <m:t>μ</m:t>
        </m:r>
        <m:r>
          <m:rPr>
            <m:nor/>
            <m:sty m:val="p"/>
          </m:rPr>
          <m:t>m</m:t>
        </m:r>
      </m:oMath>
      <w:r>
        <w:t xml:space="preserve"> </w:t>
      </w:r>
      <w:r>
        <w:t xml:space="preserve">microporous membrane, M1) versus intact hyphal network bridging (</w:t>
      </w:r>
      <m:oMath>
        <m:r>
          <m:t>30</m:t>
        </m:r>
        <m:r>
          <m:t> </m:t>
        </m:r>
        <m:r>
          <m:t>μ</m:t>
        </m:r>
        <m:r>
          <m:rPr>
            <m:nor/>
            <m:sty m:val="p"/>
          </m:rPr>
          <m:t>m</m:t>
        </m:r>
      </m:oMath>
      <w:r>
        <w:t xml:space="preserve"> </w:t>
      </w:r>
      <w:r>
        <w:t xml:space="preserve">nylon mesh, M2) versus solid impermeable partitions (M0). Donor hexaploid wheat (</w:t>
      </w:r>
      <w:r>
        <w:rPr>
          <w:i/>
          <w:iCs/>
        </w:rPr>
        <w:t xml:space="preserve">Triticum aestivum</w:t>
      </w:r>
      <w:r>
        <w:t xml:space="preserve"> </w:t>
      </w:r>
      <w:r>
        <w:t xml:space="preserve">cv. Bobwhite) was subjected to Pi-starvation (</w:t>
      </w:r>
      <m:oMath>
        <m:r>
          <m:rPr>
            <m:sty m:val="p"/>
          </m:rPr>
          <m:t>−</m:t>
        </m:r>
        <m:r>
          <m:rPr>
            <m:nor/>
            <m:sty m:val="p"/>
          </m:rPr>
          <m:t>Pi</m:t>
        </m:r>
      </m:oMath>
      <w:r>
        <w:t xml:space="preserve">,</w:t>
      </w:r>
      <w:r>
        <w:t xml:space="preserve"> </w:t>
      </w:r>
      <m:oMath>
        <m:r>
          <m:t>2</m:t>
        </m:r>
        <m:r>
          <m:t> </m:t>
        </m:r>
        <m:r>
          <m:t>μ</m:t>
        </m:r>
        <m:r>
          <m:rPr>
            <m:nor/>
            <m:sty m:val="p"/>
          </m:rPr>
          <m:t>M</m:t>
        </m:r>
      </m:oMath>
      <w:r>
        <w:t xml:space="preserve">), Pi-repletion (</w:t>
      </w:r>
      <m:oMath>
        <m:r>
          <m:rPr>
            <m:sty m:val="p"/>
          </m:rPr>
          <m:t>+</m:t>
        </m:r>
        <m:r>
          <m:rPr>
            <m:nor/>
            <m:sty m:val="p"/>
          </m:rPr>
          <m:t>Pi</m:t>
        </m:r>
      </m:oMath>
      <w:r>
        <w:t xml:space="preserve">,</w:t>
      </w:r>
      <w:r>
        <w:t xml:space="preserve"> </w:t>
      </w:r>
      <m:oMath>
        <m:r>
          <m:t>200</m:t>
        </m:r>
        <m:r>
          <m:t> </m:t>
        </m:r>
        <m:r>
          <m:t>μ</m:t>
        </m:r>
        <m:r>
          <m:rPr>
            <m:nor/>
            <m:sty m:val="p"/>
          </m:rPr>
          <m:t>M</m:t>
        </m:r>
      </m:oMath>
      <w:r>
        <w:t xml:space="preserve">), or Pi-starvation supplemented with the strigolactone biosynthesis inhibitor Tis-108 (</w:t>
      </w:r>
      <m:oMath>
        <m:r>
          <m:t>1</m:t>
        </m:r>
        <m:r>
          <m:t> </m:t>
        </m:r>
        <m:r>
          <m:t>μ</m:t>
        </m:r>
        <m:r>
          <m:rPr>
            <m:nor/>
            <m:sty m:val="p"/>
          </m:rPr>
          <m:t>M</m:t>
        </m:r>
      </m:oMath>
      <w:r>
        <w:t xml:space="preserve">). Recipient compartments contained unstressed (</w:t>
      </w:r>
      <m:oMath>
        <m:r>
          <m:rPr>
            <m:sty m:val="p"/>
          </m:rPr>
          <m:t>+</m:t>
        </m:r>
        <m:r>
          <m:rPr>
            <m:nor/>
            <m:sty m:val="p"/>
          </m:rPr>
          <m:t>Pi</m:t>
        </m:r>
      </m:oMath>
      <w:r>
        <w:t xml:space="preserve">) wild-type (WT) or strigolactone-insensitive (</w:t>
      </w:r>
      <w:r>
        <w:rPr>
          <w:i/>
          <w:iCs/>
        </w:rPr>
        <w:t xml:space="preserve">Tad14</w:t>
      </w:r>
      <w:r>
        <w:t xml:space="preserve">) wheat inoculated with</w:t>
      </w:r>
      <w:r>
        <w:t xml:space="preserve"> </w:t>
      </w:r>
      <w:r>
        <w:rPr>
          <w:i/>
          <w:iCs/>
        </w:rPr>
        <w:t xml:space="preserve">Rhizophagus irregularis</w:t>
      </w:r>
      <w:r>
        <w:t xml:space="preserve">. Biometric responses were analyzed using the AREIL 8-Stage Holistic Statistical Modeling Pipeline via Linear Mixed-Effects Models in R</w:t>
      </w:r>
      <w:r>
        <w:t xml:space="preserve"> </w:t>
      </w:r>
      <w:r>
        <w:rPr>
          <w:rStyle w:val="VerbatimChar"/>
        </w:rPr>
        <w:t xml:space="preserve">lme4</w:t>
      </w:r>
      <w:r>
        <w:t xml:space="preserve">.</w:t>
      </w:r>
    </w:p>
    <w:p>
      <w:pPr>
        <w:pStyle w:val="Compact"/>
        <w:numPr>
          <w:ilvl w:val="0"/>
          <w:numId w:val="1001"/>
        </w:numPr>
      </w:pPr>
      <w:r>
        <w:rPr>
          <w:b/>
          <w:bCs/>
        </w:rPr>
        <w:t xml:space="preserve">Key Results:</w:t>
      </w:r>
      <w:r>
        <w:t xml:space="preserve"> </w:t>
      </w:r>
      <w:r>
        <w:t xml:space="preserve">Diffusible solute transport across the</w:t>
      </w:r>
      <w:r>
        <w:t xml:space="preserve"> </w:t>
      </w:r>
      <m:oMath>
        <m:r>
          <m:t>0.45</m:t>
        </m:r>
        <m:r>
          <m:t> </m:t>
        </m:r>
        <m:r>
          <m:t>μ</m:t>
        </m:r>
        <m:r>
          <m:rPr>
            <m:nor/>
            <m:sty m:val="p"/>
          </m:rPr>
          <m:t>m</m:t>
        </m:r>
      </m:oMath>
      <w:r>
        <w:t xml:space="preserve"> </w:t>
      </w:r>
      <w:r>
        <w:t xml:space="preserve">membrane significantly increased recipient root AM colonization by 19.84% (</w:t>
      </w:r>
      <m:oMath>
        <m:r>
          <m:t>S</m:t>
        </m:r>
        <m:r>
          <m:t>E</m:t>
        </m:r>
        <m:r>
          <m:rPr>
            <m:sty m:val="p"/>
          </m:rPr>
          <m:t>=</m:t>
        </m:r>
        <m:r>
          <m:t>0.7</m:t>
        </m:r>
        <m:r>
          <m:rPr>
            <m:sty m:val="p"/>
          </m:rPr>
          <m:t>%</m:t>
        </m:r>
      </m:oMath>
      <w:r>
        <w:t xml:space="preserve">,</w:t>
      </w:r>
      <w:r>
        <w:t xml:space="preserve"> </w:t>
      </w:r>
      <m:oMath>
        <m:r>
          <m:t>t</m:t>
        </m:r>
        <m:r>
          <m:rPr>
            <m:sty m:val="p"/>
          </m:rPr>
          <m:t>=</m:t>
        </m:r>
        <m:r>
          <m:t>28.27</m:t>
        </m:r>
      </m:oMath>
      <w:r>
        <w:t xml:space="preserve">,</w:t>
      </w:r>
      <w:r>
        <w:t xml:space="preserve"> </w:t>
      </w:r>
      <m:oMath>
        <m:r>
          <m:t>P</m:t>
        </m:r>
        <m:r>
          <m:rPr>
            <m:sty m:val="p"/>
          </m:rPr>
          <m:t>&lt;</m:t>
        </m:r>
        <m:r>
          <m:t>0.0001</m:t>
        </m:r>
      </m:oMath>
      <w:r>
        <w:t xml:space="preserve">) and upregulated the mycorrhiza-specific phosphate transporter</w:t>
      </w:r>
      <w:r>
        <w:t xml:space="preserve"> </w:t>
      </w:r>
      <w:r>
        <w:rPr>
          <w:i/>
          <w:iCs/>
        </w:rPr>
        <w:t xml:space="preserve">TaPT4</w:t>
      </w:r>
      <w:r>
        <w:t xml:space="preserve"> </w:t>
      </w:r>
      <w:r>
        <w:t xml:space="preserve">by 2.97-fold (</w:t>
      </w:r>
      <m:oMath>
        <m:r>
          <m:t>P</m:t>
        </m:r>
        <m:r>
          <m:rPr>
            <m:sty m:val="p"/>
          </m:rPr>
          <m:t>&lt;</m:t>
        </m:r>
        <m:r>
          <m:t>0.0001</m:t>
        </m:r>
      </m:oMath>
      <w:r>
        <w:t xml:space="preserve">). Priming was completely abolished by Tis-108 in donor roots (18.58% reduction,</w:t>
      </w:r>
      <w:r>
        <w:t xml:space="preserve"> </w:t>
      </w:r>
      <m:oMath>
        <m:r>
          <m:t>P</m:t>
        </m:r>
        <m:r>
          <m:rPr>
            <m:sty m:val="p"/>
          </m:rPr>
          <m:t>&lt;</m:t>
        </m:r>
        <m:r>
          <m:t>0.0001</m:t>
        </m:r>
      </m:oMath>
      <w:r>
        <w:t xml:space="preserve">) and was absent in recipient</w:t>
      </w:r>
      <w:r>
        <w:t xml:space="preserve"> </w:t>
      </w:r>
      <w:r>
        <w:rPr>
          <w:i/>
          <w:iCs/>
        </w:rPr>
        <w:t xml:space="preserve">Tad14</w:t>
      </w:r>
      <w:r>
        <w:t xml:space="preserve"> </w:t>
      </w:r>
      <w:r>
        <w:t xml:space="preserve">mutants (16.38% vs 35.6%,</w:t>
      </w:r>
      <w:r>
        <w:t xml:space="preserve"> </w:t>
      </w:r>
      <m:oMath>
        <m:r>
          <m:t>P</m:t>
        </m:r>
        <m:r>
          <m:rPr>
            <m:sty m:val="p"/>
          </m:rPr>
          <m:t>&lt;</m:t>
        </m:r>
        <m:r>
          <m:t>0.0001</m:t>
        </m:r>
      </m:oMath>
      <w:r>
        <w:t xml:space="preserve">). Intact hyphal networks (M2) provided additive amplification (+19.21%,</w:t>
      </w:r>
      <w:r>
        <w:t xml:space="preserve"> </w:t>
      </w:r>
      <m:oMath>
        <m:r>
          <m:t>t</m:t>
        </m:r>
        <m:r>
          <m:rPr>
            <m:sty m:val="p"/>
          </m:rPr>
          <m:t>=</m:t>
        </m:r>
        <m:r>
          <m:t>27.39</m:t>
        </m:r>
      </m:oMath>
      <w:r>
        <w:t xml:space="preserve">,</w:t>
      </w:r>
      <w:r>
        <w:t xml:space="preserve"> </w:t>
      </w:r>
      <m:oMath>
        <m:r>
          <m:t>P</m:t>
        </m:r>
        <m:r>
          <m:rPr>
            <m:sty m:val="p"/>
          </m:rPr>
          <m:t>&lt;</m:t>
        </m:r>
        <m:r>
          <m:t>0.0001</m:t>
        </m:r>
      </m:oMath>
      <w:r>
        <w:t xml:space="preserve">), elevating total colonization to 54.81%.</w:t>
      </w:r>
    </w:p>
    <w:p>
      <w:pPr>
        <w:pStyle w:val="Compact"/>
        <w:numPr>
          <w:ilvl w:val="0"/>
          <w:numId w:val="1001"/>
        </w:numPr>
      </w:pPr>
      <w:r>
        <w:rPr>
          <w:b/>
          <w:bCs/>
        </w:rPr>
        <w:t xml:space="preserve">Conclusion:</w:t>
      </w:r>
      <w:r>
        <w:t xml:space="preserve"> </w:t>
      </w:r>
      <w:r>
        <w:t xml:space="preserve">Belowground strigolactone broadcast functions as an early-warning rhizosphere cue, derepressing symbiotic accommodation in unstressed neighboring cereals before tissue phosphorus exhaustion.</w:t>
      </w:r>
    </w:p>
    <w:p>
      <w:pPr>
        <w:pStyle w:val="FirstParagraph"/>
      </w:pPr>
      <w:r>
        <w:rPr>
          <w:b/>
          <w:bCs/>
        </w:rPr>
        <w:t xml:space="preserve">Key-words:</w:t>
      </w:r>
      <w:r>
        <w:t xml:space="preserve"> </w:t>
      </w:r>
      <w:r>
        <w:t xml:space="preserve">Arbuscular mycorrhiza, Common Mycorrhizal Networks,</w:t>
      </w:r>
      <w:r>
        <w:t xml:space="preserve"> </w:t>
      </w:r>
      <w:r>
        <w:rPr>
          <w:i/>
          <w:iCs/>
        </w:rPr>
        <w:t xml:space="preserve">Rhizophagus irregularis</w:t>
      </w:r>
      <w:r>
        <w:t xml:space="preserve">, strigolactone,</w:t>
      </w:r>
      <w:r>
        <w:t xml:space="preserve"> </w:t>
      </w:r>
      <w:r>
        <w:rPr>
          <w:i/>
          <w:iCs/>
        </w:rPr>
        <w:t xml:space="preserve">TaD14</w:t>
      </w:r>
      <w:r>
        <w:t xml:space="preserve">,</w:t>
      </w:r>
      <w:r>
        <w:t xml:space="preserve"> </w:t>
      </w:r>
      <w:r>
        <w:rPr>
          <w:i/>
          <w:iCs/>
        </w:rPr>
        <w:t xml:space="preserve">TaPT4</w:t>
      </w:r>
      <w:r>
        <w:t xml:space="preserve">,</w:t>
      </w:r>
      <w:r>
        <w:t xml:space="preserve"> </w:t>
      </w:r>
      <w:r>
        <w:rPr>
          <w:i/>
          <w:iCs/>
        </w:rPr>
        <w:t xml:space="preserve">Triticum aestivum</w:t>
      </w:r>
      <w:r>
        <w:t xml:space="preserve">.</w:t>
      </w:r>
    </w:p>
    <w:p>
      <w:r>
        <w:pict>
          <v:rect style="width:0;height:1.5pt" o:hralign="center" o:hrstd="t" o:hr="t"/>
        </w:pict>
      </w:r>
    </w:p>
    <w:bookmarkEnd w:id="9"/>
    <w:bookmarkStart w:id="10" w:name="introduction"/>
    <w:p>
      <w:pPr>
        <w:pStyle w:val="Heading2"/>
      </w:pPr>
      <w:r>
        <w:t xml:space="preserve">2 Introduction</w:t>
      </w:r>
    </w:p>
    <w:p>
      <w:pPr>
        <w:pStyle w:val="FirstParagraph"/>
      </w:pPr>
      <w:r>
        <w:t xml:space="preserve">Inorganic orthophosphate (Pi) is an indispensable macronutrient for plant growth and crop productivity, yet it represents one of the least bioavailable mineral nutrients in agricultural soils due to rapid chemisorption and precipitation with iron, aluminum, and calcium cations</w:t>
      </w:r>
      <w:r>
        <w:t xml:space="preserve"> </w:t>
      </w:r>
      <w:r>
        <w:t xml:space="preserve">(Sun et al., 2014; Teng et al., 2019)</w:t>
      </w:r>
      <w:r>
        <w:t xml:space="preserve">. To cope with heterogeneous soil Pi depletion zones, land plants have evolved sophisticated physiological adaptations comprising both the cell-autonomous Phosphate Starvation Response (PSR) and mutualistic symbioses with arbuscular mycorrhizal (AM) fungi belonging to the subphylum Glomeromycotina</w:t>
      </w:r>
      <w:r>
        <w:t xml:space="preserve"> </w:t>
      </w:r>
      <w:r>
        <w:t xml:space="preserve">(Akiyama et al., 2005; Lanfranco et al., 2018)</w:t>
      </w:r>
      <w:r>
        <w:t xml:space="preserve">.</w:t>
      </w:r>
    </w:p>
    <w:p>
      <w:pPr>
        <w:pStyle w:val="BodyText"/>
      </w:pPr>
      <w:r>
        <w:t xml:space="preserve">Under low Pi availability, root cells dramatically upregulate the biosynthesis and rhizosphere exudation of strigolactones (SLs)—a carotenoid-derived class of apocarotenoid phytohormones</w:t>
      </w:r>
      <w:r>
        <w:t xml:space="preserve"> </w:t>
      </w:r>
      <w:r>
        <w:t xml:space="preserve">(Gomez-Roldan et al., 2008; Umehara et al., 2008)</w:t>
      </w:r>
      <w:r>
        <w:t xml:space="preserve">. Biosynthesis is initiated by the reversible isomerization of all-</w:t>
      </w:r>
      <w:r>
        <w:rPr>
          <w:i/>
          <w:iCs/>
        </w:rPr>
        <w:t xml:space="preserve">trans</w:t>
      </w:r>
      <w:r>
        <w:t xml:space="preserve">-</w:t>
      </w:r>
      <m:oMath>
        <m:r>
          <m:t>β</m:t>
        </m:r>
      </m:oMath>
      <w:r>
        <w:t xml:space="preserve">-carotene to 9-</w:t>
      </w:r>
      <w:r>
        <w:rPr>
          <w:i/>
          <w:iCs/>
        </w:rPr>
        <w:t xml:space="preserve">cis</w:t>
      </w:r>
      <w:r>
        <w:t xml:space="preserve">-</w:t>
      </w:r>
      <m:oMath>
        <m:r>
          <m:t>β</m:t>
        </m:r>
      </m:oMath>
      <w:r>
        <w:t xml:space="preserve">-carotene by the isomerase</w:t>
      </w:r>
      <w:r>
        <w:t xml:space="preserve"> </w:t>
      </w:r>
      <w:r>
        <w:rPr>
          <w:i/>
          <w:iCs/>
        </w:rPr>
        <w:t xml:space="preserve">DWARF27</w:t>
      </w:r>
      <w:r>
        <w:t xml:space="preserve"> </w:t>
      </w:r>
      <w:r>
        <w:t xml:space="preserve">(</w:t>
      </w:r>
      <w:r>
        <w:rPr>
          <w:i/>
          <w:iCs/>
        </w:rPr>
        <w:t xml:space="preserve">D27</w:t>
      </w:r>
      <w:r>
        <w:t xml:space="preserve">), followed by sequential oxidative cleavage by carotenoid cleavage dioxygenases</w:t>
      </w:r>
      <w:r>
        <w:t xml:space="preserve"> </w:t>
      </w:r>
      <w:r>
        <w:rPr>
          <w:i/>
          <w:iCs/>
        </w:rPr>
        <w:t xml:space="preserve">CCD7</w:t>
      </w:r>
      <w:r>
        <w:t xml:space="preserve"> </w:t>
      </w:r>
      <w:r>
        <w:t xml:space="preserve">(</w:t>
      </w:r>
      <w:r>
        <w:rPr>
          <w:i/>
          <w:iCs/>
        </w:rPr>
        <w:t xml:space="preserve">MAX3</w:t>
      </w:r>
      <w:r>
        <w:t xml:space="preserve">) and</w:t>
      </w:r>
      <w:r>
        <w:t xml:space="preserve"> </w:t>
      </w:r>
      <w:r>
        <w:rPr>
          <w:i/>
          <w:iCs/>
        </w:rPr>
        <w:t xml:space="preserve">CCD8</w:t>
      </w:r>
      <w:r>
        <w:t xml:space="preserve"> </w:t>
      </w:r>
      <w:r>
        <w:t xml:space="preserve">(</w:t>
      </w:r>
      <w:r>
        <w:rPr>
          <w:i/>
          <w:iCs/>
        </w:rPr>
        <w:t xml:space="preserve">MAX4</w:t>
      </w:r>
      <w:r>
        <w:t xml:space="preserve">) to produce the mobile precursor carlactone</w:t>
      </w:r>
      <w:r>
        <w:t xml:space="preserve"> </w:t>
      </w:r>
      <w:r>
        <w:t xml:space="preserve">(Kohlen et al., 2010)</w:t>
      </w:r>
      <w:r>
        <w:t xml:space="preserve">. In the rhizosphere, subnanomolar concentrations of exuded strigolactones (such as 5-deoxystrigol and orobanchol) act as vital chemical signals that stimulate spore germination, activate mitochondrial respiration, and induce extensive hyphal branching in AM fungi such as</w:t>
      </w:r>
      <w:r>
        <w:t xml:space="preserve"> </w:t>
      </w:r>
      <w:r>
        <w:rPr>
          <w:i/>
          <w:iCs/>
        </w:rPr>
        <w:t xml:space="preserve">Rhizophagus irregularis</w:t>
      </w:r>
      <w:r>
        <w:t xml:space="preserve"> </w:t>
      </w:r>
      <w:r>
        <w:t xml:space="preserve">(Akiyama et al., 2005; Besserer et al., 2006)</w:t>
      </w:r>
      <w:r>
        <w:t xml:space="preserve">. Upon physical colonization of the root cortex, the fungus forms branched arbuscules within inner cortical cells, establishing a specialized periarbuscular interface dedicated to reciprocal nutrient exchange: the fungus delivers Pi and nitrogen in exchange for host-derived lipids and hexoses</w:t>
      </w:r>
      <w:r>
        <w:t xml:space="preserve"> </w:t>
      </w:r>
      <w:r>
        <w:t xml:space="preserve">(Lanfranco et al., 2018; Teng et al., 2019)</w:t>
      </w:r>
      <w:r>
        <w:t xml:space="preserve">. Symbiotic Pi uptake is executed by plant mycorrhiza-specific phosphate transporters, specifically</w:t>
      </w:r>
      <w:r>
        <w:t xml:space="preserve"> </w:t>
      </w:r>
      <w:r>
        <w:rPr>
          <w:i/>
          <w:iCs/>
        </w:rPr>
        <w:t xml:space="preserve">TaPT4</w:t>
      </w:r>
      <w:r>
        <w:t xml:space="preserve"> </w:t>
      </w:r>
      <w:r>
        <w:t xml:space="preserve">(</w:t>
      </w:r>
      <w:r>
        <w:rPr>
          <w:i/>
          <w:iCs/>
        </w:rPr>
        <w:t xml:space="preserve">TaPht1.4</w:t>
      </w:r>
      <w:r>
        <w:t xml:space="preserve">) in bread wheat (</w:t>
      </w:r>
      <w:r>
        <w:rPr>
          <w:i/>
          <w:iCs/>
        </w:rPr>
        <w:t xml:space="preserve">Triticum aestivum</w:t>
      </w:r>
      <w:r>
        <w:t xml:space="preserve">), whose expression serves as the benchmark molecular indicator of functional arbuscular accommodation</w:t>
      </w:r>
      <w:r>
        <w:t xml:space="preserve"> </w:t>
      </w:r>
      <w:r>
        <w:t xml:space="preserve">(Glassop et al., 2005; Teng et al., 2019)</w:t>
      </w:r>
      <w:r>
        <w:t xml:space="preserve">.</w:t>
      </w:r>
    </w:p>
    <w:p>
      <w:pPr>
        <w:pStyle w:val="BodyText"/>
      </w:pPr>
      <w:r>
        <w:t xml:space="preserve">Concurrently, strigolactones function endogenously as hormonal regulators of shoot branching, root hair elongation, and adventitious rooting</w:t>
      </w:r>
      <w:r>
        <w:t xml:space="preserve"> </w:t>
      </w:r>
      <w:r>
        <w:t xml:space="preserve">(Gomez-Roldan et al., 2008; Umehara et al., 2008)</w:t>
      </w:r>
      <w:r>
        <w:t xml:space="preserve">. In monocots, perception of strigolactones is mediated by the</w:t>
      </w:r>
      <w:r>
        <w:t xml:space="preserve"> </w:t>
      </w:r>
      <m:oMath>
        <m:r>
          <m:t>α</m:t>
        </m:r>
        <m:r>
          <m:rPr>
            <m:sty m:val="p"/>
          </m:rPr>
          <m:t>/</m:t>
        </m:r>
        <m:r>
          <m:t>β</m:t>
        </m:r>
      </m:oMath>
      <w:r>
        <w:t xml:space="preserve">-hydrolase receptor</w:t>
      </w:r>
      <w:r>
        <w:t xml:space="preserve"> </w:t>
      </w:r>
      <w:r>
        <w:rPr>
          <w:i/>
          <w:iCs/>
        </w:rPr>
        <w:t xml:space="preserve">DWARF14</w:t>
      </w:r>
      <w:r>
        <w:t xml:space="preserve"> </w:t>
      </w:r>
      <w:r>
        <w:t xml:space="preserve">(</w:t>
      </w:r>
      <w:r>
        <w:rPr>
          <w:i/>
          <w:iCs/>
        </w:rPr>
        <w:t xml:space="preserve">D14</w:t>
      </w:r>
      <w:r>
        <w:t xml:space="preserve">), which upon ligand binding undergoes conformational rearrangement to interact with the F-box protein</w:t>
      </w:r>
      <w:r>
        <w:t xml:space="preserve"> </w:t>
      </w:r>
      <w:r>
        <w:rPr>
          <w:i/>
          <w:iCs/>
        </w:rPr>
        <w:t xml:space="preserve">D3</w:t>
      </w:r>
      <w:r>
        <w:t xml:space="preserve"> </w:t>
      </w:r>
      <w:r>
        <w:t xml:space="preserve">(</w:t>
      </w:r>
      <w:r>
        <w:rPr>
          <w:i/>
          <w:iCs/>
        </w:rPr>
        <w:t xml:space="preserve">MAX2</w:t>
      </w:r>
      <w:r>
        <w:t xml:space="preserve">), promoting the polyubiquitination and 26S proteasomal degradation of</w:t>
      </w:r>
      <w:r>
        <w:t xml:space="preserve"> </w:t>
      </w:r>
      <w:r>
        <w:rPr>
          <w:i/>
          <w:iCs/>
        </w:rPr>
        <w:t xml:space="preserve">DWARF53</w:t>
      </w:r>
      <w:r>
        <w:t xml:space="preserve"> </w:t>
      </w:r>
      <w:r>
        <w:t xml:space="preserve">(</w:t>
      </w:r>
      <w:r>
        <w:rPr>
          <w:i/>
          <w:iCs/>
        </w:rPr>
        <w:t xml:space="preserve">D53</w:t>
      </w:r>
      <w:r>
        <w:t xml:space="preserve">) transcriptional repressors</w:t>
      </w:r>
      <w:r>
        <w:t xml:space="preserve"> </w:t>
      </w:r>
      <w:r>
        <w:t xml:space="preserve">(Jiang et al., 2013; Zhang et al., 2021; Zhou et al., 2013)</w:t>
      </w:r>
      <w:r>
        <w:t xml:space="preserve">.</w:t>
      </w:r>
    </w:p>
    <w:p>
      <w:pPr>
        <w:pStyle w:val="BodyText"/>
      </w:pPr>
      <w:r>
        <w:t xml:space="preserve">While cell-autonomous strigolactone synthesis and perception within a single plant under nutrient stress have been characterized extensively, an unexplored ecological question is whether a phosphorus-deficient plant acts as a belowground</w:t>
      </w:r>
      <w:r>
        <w:t xml:space="preserve"> </w:t>
      </w:r>
      <w:r>
        <w:t xml:space="preserve">“sentinel”</w:t>
      </w:r>
      <w:r>
        <w:t xml:space="preserve">—broadcasting an exuded strigolactone plume into the rhizosphere that primes neighboring, unstressed conspecifics for mycorrhizal recruitment. Plant-plant communication across underground conduits has been established in the context of defense warning signals propagated across Common Mycorrhizal Networks (CMNs)</w:t>
      </w:r>
      <w:r>
        <w:t xml:space="preserve"> </w:t>
      </w:r>
      <w:r>
        <w:t xml:space="preserve">(Babikova et al., 2013; Song et al., 2010)</w:t>
      </w:r>
      <w:r>
        <w:t xml:space="preserve">. However, critical controversies persist regarding the physical and biological nature of belowground priming conduits:</w:t>
      </w:r>
      <w:r>
        <w:t xml:space="preserve"> </w:t>
      </w:r>
      <w:r>
        <w:t xml:space="preserve">1. Does priming require physical hyphal bridging across a living fungal network, or can it occur strictly through solute diffusion of apocarotenoid cues in rhizosphere pore water?</w:t>
      </w:r>
      <w:r>
        <w:t xml:space="preserve"> </w:t>
      </w:r>
      <w:r>
        <w:t xml:space="preserve">2. In an unstressed neighboring plant maintained under high internal Pi, how does an exogenous strigolactone broadcast overcome the strong cell-autonomous repression typically imposed by the</w:t>
      </w:r>
      <w:r>
        <w:t xml:space="preserve"> </w:t>
      </w:r>
      <w:r>
        <w:rPr>
          <w:i/>
          <w:iCs/>
        </w:rPr>
        <w:t xml:space="preserve">SPX-PHR</w:t>
      </w:r>
      <w:r>
        <w:t xml:space="preserve"> </w:t>
      </w:r>
      <w:r>
        <w:t xml:space="preserve">nutrient rheostat?</w:t>
      </w:r>
      <w:r>
        <w:t xml:space="preserve"> </w:t>
      </w:r>
      <w:r>
        <w:t xml:space="preserve">3. Does chemical inhibition of donor strigolactone synthesis or genetic disruption of recipient perception definitively confirm ligand-receptor specificity?</w:t>
      </w:r>
    </w:p>
    <w:p>
      <w:pPr>
        <w:pStyle w:val="BodyText"/>
      </w:pPr>
      <w:r>
        <w:t xml:space="preserve">To resolve these questions, we established a 4-block factorial partitioned rhizobox microcosm system. By implementing physical pore-size-exclusion barriers (</w:t>
      </w:r>
      <m:oMath>
        <m:r>
          <m:t>0.45</m:t>
        </m:r>
        <m:r>
          <m:t> </m:t>
        </m:r>
        <m:r>
          <m:t>μ</m:t>
        </m:r>
        <m:r>
          <m:rPr>
            <m:nor/>
            <m:sty m:val="p"/>
          </m:rPr>
          <m:t>m</m:t>
        </m:r>
      </m:oMath>
      <w:r>
        <w:t xml:space="preserve"> </w:t>
      </w:r>
      <w:r>
        <w:t xml:space="preserve">microporous membrane versus</w:t>
      </w:r>
      <w:r>
        <w:t xml:space="preserve"> </w:t>
      </w:r>
      <m:oMath>
        <m:r>
          <m:t>30</m:t>
        </m:r>
        <m:r>
          <m:t> </m:t>
        </m:r>
        <m:r>
          <m:t>μ</m:t>
        </m:r>
        <m:r>
          <m:rPr>
            <m:nor/>
            <m:sty m:val="p"/>
          </m:rPr>
          <m:t>m</m:t>
        </m:r>
      </m:oMath>
      <w:r>
        <w:t xml:space="preserve"> </w:t>
      </w:r>
      <w:r>
        <w:t xml:space="preserve">nylon mesh versus solid hermetic partitions), applying the selective strigolactone biosynthesis inhibitor Tis-108</w:t>
      </w:r>
      <w:r>
        <w:t xml:space="preserve"> </w:t>
      </w:r>
      <w:r>
        <w:t xml:space="preserve">(Ito et al., 2013)</w:t>
      </w:r>
      <w:r>
        <w:t xml:space="preserve">, and deploying the hexaploid wheat strigolactone perception mutant</w:t>
      </w:r>
      <w:r>
        <w:t xml:space="preserve"> </w:t>
      </w:r>
      <w:r>
        <w:rPr>
          <w:i/>
          <w:iCs/>
        </w:rPr>
        <w:t xml:space="preserve">Tad14</w:t>
      </w:r>
      <w:r>
        <w:t xml:space="preserve"> </w:t>
      </w:r>
      <w:r>
        <w:t xml:space="preserve">(Zhang et al., 2021)</w:t>
      </w:r>
      <w:r>
        <w:t xml:space="preserve">, we provide definitive biometric and molecular evidence that phosphorus-starved wheat roots broadcast a diffusible strigolactone signal that primes neighboring unstressed wheat for mycorrhizal symbiosis and accelerated phosphorus acquisition.</w:t>
      </w:r>
    </w:p>
    <w:p>
      <w:r>
        <w:pict>
          <v:rect style="width:0;height:1.5pt" o:hralign="center" o:hrstd="t" o:hr="t"/>
        </w:pict>
      </w:r>
    </w:p>
    <w:bookmarkEnd w:id="10"/>
    <w:bookmarkStart w:id="19" w:name="materials-and-methods"/>
    <w:p>
      <w:pPr>
        <w:pStyle w:val="Heading2"/>
      </w:pPr>
      <w:r>
        <w:t xml:space="preserve">3 Materials and Methods</w:t>
      </w:r>
    </w:p>
    <w:bookmarkStart w:id="15" w:name="Xdf46211c8232ef708c6f77966840375119d0326"/>
    <w:p>
      <w:pPr>
        <w:pStyle w:val="Heading3"/>
      </w:pPr>
      <w:r>
        <w:t xml:space="preserve">3.1 Experimental System &amp; Rhizobox Microcosm Fabrication</w:t>
      </w:r>
    </w:p>
    <w:p>
      <w:pPr>
        <w:pStyle w:val="FirstParagraph"/>
      </w:pPr>
      <w:r>
        <w:t xml:space="preserve">To dissect diffusible chemical signaling from physical hyphal bridging, partitioned three-compartment rhizobox microcosms were fabricated from inert, non-adsorptive acrylic plates (internal dimensions:</w:t>
      </w:r>
      <w:r>
        <w:t xml:space="preserve"> </w:t>
      </w:r>
      <m:oMath>
        <m:r>
          <m:t>25</m:t>
        </m:r>
        <m:r>
          <m:t> </m:t>
        </m:r>
        <m:r>
          <m:rPr>
            <m:nor/>
            <m:sty m:val="p"/>
          </m:rPr>
          <m:t>cm</m:t>
        </m:r>
        <m:r>
          <m:rPr>
            <m:sty m:val="p"/>
          </m:rPr>
          <m:t>×</m:t>
        </m:r>
        <m:r>
          <m:t>18</m:t>
        </m:r>
        <m:r>
          <m:t> </m:t>
        </m:r>
        <m:r>
          <m:rPr>
            <m:nor/>
            <m:sty m:val="p"/>
          </m:rPr>
          <m:t>cm</m:t>
        </m:r>
        <m:r>
          <m:rPr>
            <m:sty m:val="p"/>
          </m:rPr>
          <m:t>×</m:t>
        </m:r>
        <m:r>
          <m:t>4</m:t>
        </m:r>
        <m:r>
          <m:t> </m:t>
        </m:r>
        <m:r>
          <m:rPr>
            <m:nor/>
            <m:sty m:val="p"/>
          </m:rPr>
          <m:t>cm</m:t>
        </m:r>
      </m:oMath>
      <w:r>
        <w:t xml:space="preserve">). Each rhizobox comprised a Donor Compartment (</w:t>
      </w:r>
      <m:oMath>
        <m:r>
          <m:t>10</m:t>
        </m:r>
        <m:r>
          <m:t> </m:t>
        </m:r>
        <m:r>
          <m:rPr>
            <m:nor/>
            <m:sty m:val="p"/>
          </m:rPr>
          <m:t>cm</m:t>
        </m:r>
      </m:oMath>
      <w:r>
        <w:t xml:space="preserve"> </w:t>
      </w:r>
      <w:r>
        <w:t xml:space="preserve">width), a central Barrier Interface (</w:t>
      </w:r>
      <m:oMath>
        <m:r>
          <m:t>1</m:t>
        </m:r>
        <m:r>
          <m:t> </m:t>
        </m:r>
        <m:r>
          <m:rPr>
            <m:nor/>
            <m:sty m:val="p"/>
          </m:rPr>
          <m:t>cm</m:t>
        </m:r>
      </m:oMath>
      <w:r>
        <w:t xml:space="preserve"> </w:t>
      </w:r>
      <w:r>
        <w:t xml:space="preserve">width), and a Recipient Compartment (</w:t>
      </w:r>
      <m:oMath>
        <m:r>
          <m:t>10</m:t>
        </m:r>
        <m:r>
          <m:t> </m:t>
        </m:r>
        <m:r>
          <m:rPr>
            <m:nor/>
            <m:sty m:val="p"/>
          </m:rPr>
          <m:t>cm</m:t>
        </m:r>
      </m:oMath>
      <w:r>
        <w:t xml:space="preserve"> </w:t>
      </w:r>
      <w:r>
        <w:t xml:space="preserve">width), as depicted in</w:t>
      </w:r>
      <w:r>
        <w:t xml:space="preserve"> </w:t>
      </w:r>
      <w:hyperlink w:anchor="fig-microcosm">
        <w:r>
          <w:rPr>
            <w:rStyle w:val="Hyperlink"/>
          </w:rPr>
          <w:t xml:space="preserve">Figure 1</w:t>
        </w:r>
      </w:hyperlink>
      <w:r>
        <w:t xml:space="preserve">.</w:t>
      </w:r>
    </w:p>
    <w:p>
      <w:pPr>
        <w:pStyle w:val="BodyText"/>
      </w:pPr>
      <w:r>
        <w:t xml:space="preserve">Three distinct barrier transmission modes were evaluated:</w:t>
      </w:r>
      <w:r>
        <w:t xml:space="preserve"> </w:t>
      </w:r>
      <w:r>
        <w:t xml:space="preserve">1.</w:t>
      </w:r>
      <w:r>
        <w:t xml:space="preserve"> </w:t>
      </w:r>
      <w:r>
        <w:rPr>
          <w:b/>
          <w:bCs/>
        </w:rPr>
        <w:t xml:space="preserve">M0_Solid (Solid Partition Control):</w:t>
      </w:r>
      <w:r>
        <w:t xml:space="preserve"> </w:t>
      </w:r>
      <w:r>
        <w:t xml:space="preserve">An impermeable</w:t>
      </w:r>
      <w:r>
        <w:t xml:space="preserve"> </w:t>
      </w:r>
      <m:oMath>
        <m:r>
          <m:t>3</m:t>
        </m:r>
        <m:r>
          <m:t> </m:t>
        </m:r>
        <m:r>
          <m:rPr>
            <m:nor/>
            <m:sty m:val="p"/>
          </m:rPr>
          <m:t>mm</m:t>
        </m:r>
      </m:oMath>
      <w:r>
        <w:t xml:space="preserve"> </w:t>
      </w:r>
      <w:r>
        <w:t xml:space="preserve">acrylic plate hermetically sealed with food-grade silicone, preventing all solute diffusion, root contact, and hyphal penetration.</w:t>
      </w:r>
      <w:r>
        <w:t xml:space="preserve"> </w:t>
      </w:r>
      <w:r>
        <w:t xml:space="preserve">2.</w:t>
      </w:r>
      <w:r>
        <w:t xml:space="preserve"> </w:t>
      </w:r>
      <w:r>
        <w:rPr>
          <w:b/>
          <w:bCs/>
        </w:rPr>
        <w:t xml:space="preserve">M1_Membrane (Solute Diffusion Only):</w:t>
      </w:r>
      <w:r>
        <w:t xml:space="preserve"> </w:t>
      </w:r>
      <w:r>
        <w:t xml:space="preserve">A</w:t>
      </w:r>
      <w:r>
        <w:t xml:space="preserve"> </w:t>
      </w:r>
      <m:oMath>
        <m:r>
          <m:t>0.45</m:t>
        </m:r>
        <m:r>
          <m:t> </m:t>
        </m:r>
        <m:r>
          <m:t>μ</m:t>
        </m:r>
        <m:r>
          <m:rPr>
            <m:nor/>
            <m:sty m:val="p"/>
          </m:rPr>
          <m:t>m</m:t>
        </m:r>
      </m:oMath>
      <w:r>
        <w:t xml:space="preserve"> </w:t>
      </w:r>
      <w:r>
        <w:t xml:space="preserve">hydrophilic polyethersulfone (PES) microporous membrane (Pall Supor) supported by a rigid polypropylene lattice. This pore rating allows free aqueous diffusion of low-molecular-weight organic solutes (including strigolactones, molecular mass</w:t>
      </w:r>
      <w:r>
        <w:t xml:space="preserve"> </w:t>
      </w:r>
      <m:oMath>
        <m:r>
          <m:rPr>
            <m:sty m:val="p"/>
          </m:rPr>
          <m:t>≈</m:t>
        </m:r>
        <m:r>
          <m:t>330</m:t>
        </m:r>
        <m:r>
          <m:rPr>
            <m:nor/>
            <m:sty m:val="p"/>
          </m:rPr>
          <m:t>–</m:t>
        </m:r>
        <m:r>
          <m:t>380</m:t>
        </m:r>
        <m:r>
          <m:t> </m:t>
        </m:r>
        <m:r>
          <m:rPr>
            <m:nor/>
            <m:sty m:val="p"/>
          </m:rPr>
          <m:t>Da</m:t>
        </m:r>
      </m:oMath>
      <w:r>
        <w:t xml:space="preserve">) while strictly excluding root hairs (diameter</w:t>
      </w:r>
      <w:r>
        <w:t xml:space="preserve"> </w:t>
      </w:r>
      <m:oMath>
        <m:r>
          <m:rPr>
            <m:sty m:val="p"/>
          </m:rPr>
          <m:t>&gt;</m:t>
        </m:r>
        <m:r>
          <m:t>8</m:t>
        </m:r>
        <m:r>
          <m:t> </m:t>
        </m:r>
        <m:r>
          <m:t>μ</m:t>
        </m:r>
        <m:r>
          <m:rPr>
            <m:nor/>
            <m:sty m:val="p"/>
          </m:rPr>
          <m:t>m</m:t>
        </m:r>
      </m:oMath>
      <w:r>
        <w:t xml:space="preserve">) and fungal hyphae (diameter</w:t>
      </w:r>
      <w:r>
        <w:t xml:space="preserve"> </w:t>
      </w:r>
      <m:oMath>
        <m:r>
          <m:rPr>
            <m:sty m:val="p"/>
          </m:rPr>
          <m:t>&gt;</m:t>
        </m:r>
        <m:r>
          <m:t>2</m:t>
        </m:r>
        <m:r>
          <m:t> </m:t>
        </m:r>
        <m:r>
          <m:t>μ</m:t>
        </m:r>
        <m:r>
          <m:rPr>
            <m:nor/>
            <m:sty m:val="p"/>
          </m:rPr>
          <m:t>m</m:t>
        </m:r>
      </m:oMath>
      <w:r>
        <w:t xml:space="preserve">).</w:t>
      </w:r>
      <w:r>
        <w:t xml:space="preserve"> </w:t>
      </w:r>
      <w:r>
        <w:t xml:space="preserve">3.</w:t>
      </w:r>
      <w:r>
        <w:t xml:space="preserve"> </w:t>
      </w:r>
      <w:r>
        <w:rPr>
          <w:b/>
          <w:bCs/>
        </w:rPr>
        <w:t xml:space="preserve">M2_Mesh (Intact Hyphal Network + Solute):</w:t>
      </w:r>
      <w:r>
        <w:t xml:space="preserve"> </w:t>
      </w:r>
      <w:r>
        <w:t xml:space="preserve">A</w:t>
      </w:r>
      <w:r>
        <w:t xml:space="preserve"> </w:t>
      </w:r>
      <m:oMath>
        <m:r>
          <m:t>30</m:t>
        </m:r>
        <m:r>
          <m:t> </m:t>
        </m:r>
        <m:r>
          <m:t>μ</m:t>
        </m:r>
        <m:r>
          <m:rPr>
            <m:nor/>
            <m:sty m:val="p"/>
          </m:rPr>
          <m:t>m</m:t>
        </m:r>
      </m:oMath>
      <w:r>
        <w:t xml:space="preserve"> </w:t>
      </w:r>
      <w:r>
        <w:t xml:space="preserve">precision woven nylon mesh (Sefar Nitex). This pore size allows both aqueous solute diffusion and the unrestricted penetration of AM fungal hyphae (forming a functional Common Mycorrhizal Network, CMN), but prevents the physical crossing and intermingling of donor and recipient root axes.</w:t>
      </w:r>
    </w:p>
    <w:p>
      <w:pPr>
        <w:pStyle w:val="BodyText"/>
      </w:pPr>
      <w:r>
        <w:t xml:space="preserve">All rhizobox compartments were filled with an autoclaved, low-Pi substrate mix comprising acid-washed quartz sand (particle size 0.2–0.6 mm) and horticultural vermiculite (</w:t>
      </w:r>
      <m:oMath>
        <m:r>
          <m:t>1</m:t>
        </m:r>
        <m:r>
          <m:rPr>
            <m:sty m:val="p"/>
          </m:rPr>
          <m:t>:</m:t>
        </m:r>
        <m:r>
          <m:t>1</m:t>
        </m:r>
        <m:r>
          <m:t> </m:t>
        </m:r>
        <m:r>
          <m:rPr>
            <m:nor/>
            <m:sty m:val="p"/>
          </m:rPr>
          <m:t>v/v</m:t>
        </m:r>
      </m:oMath>
      <w:r>
        <w:t xml:space="preserve">, pH 6.4, bulk density</w:t>
      </w:r>
      <w:r>
        <w:t xml:space="preserve"> </w:t>
      </w:r>
      <m:oMath>
        <m:r>
          <m:t>1.25</m:t>
        </m:r>
        <m:r>
          <m:t> </m:t>
        </m:r>
        <m:r>
          <m:rPr>
            <m:nor/>
            <m:sty m:val="p"/>
          </m:rPr>
          <m:t>g</m:t>
        </m:r>
        <m:r>
          <m:rPr>
            <m:sty m:val="p"/>
          </m:rPr>
          <m:t>⋅</m:t>
        </m:r>
        <m:sSup>
          <m:e>
            <m:r>
              <m:rPr>
                <m:nor/>
                <m:sty m:val="p"/>
              </m:rPr>
              <m:t>cm</m:t>
            </m:r>
          </m:e>
          <m:sup>
            <m:r>
              <m:rPr>
                <m:sty m:val="p"/>
              </m:rPr>
              <m:t>−</m:t>
            </m:r>
            <m:r>
              <m:t>3</m:t>
            </m:r>
          </m:sup>
        </m:sSup>
      </m:oMath>
      <w:r>
        <w:t xml:space="preserve">).</w:t>
      </w:r>
    </w:p>
    <w:tbl>
      <w:tblPr>
        <w:tblStyle w:val="Table"/>
        <w:tblW w:type="pct" w:w="5000"/>
        <w:tblLayout w:type="fixed"/>
        <w:tblLook w:firstRow="0" w:lastRow="0" w:firstColumn="0" w:lastColumn="0" w:noHBand="0" w:noVBand="0" w:val="0000"/>
      </w:tblPr>
      <w:tblGrid>
        <w:gridCol w:w="7920"/>
      </w:tblGrid>
      <w:tr>
        <w:tc>
          <w:tcPr/>
          <w:bookmarkStart w:id="14" w:name="fig-microcosm"/>
          <w:p>
            <w:pPr>
              <w:pStyle w:val="Compact"/>
              <w:jc w:val="center"/>
            </w:pPr>
            <w:r>
              <w:drawing>
                <wp:inline>
                  <wp:extent cx="5334000" cy="3151909"/>
                  <wp:effectExtent b="0" l="0" r="0" t="0"/>
                  <wp:docPr descr="" title="" id="12" name="Picture"/>
                  <a:graphic>
                    <a:graphicData uri="http://schemas.openxmlformats.org/drawingml/2006/picture">
                      <pic:pic>
                        <pic:nvPicPr>
                          <pic:cNvPr descr="figures/figure1_microcosm_architecture.png" id="13" name="Picture"/>
                          <pic:cNvPicPr>
                            <a:picLocks noChangeArrowheads="1" noChangeAspect="1"/>
                          </pic:cNvPicPr>
                        </pic:nvPicPr>
                        <pic:blipFill>
                          <a:blip r:embed="rId11"/>
                          <a:stretch>
                            <a:fillRect/>
                          </a:stretch>
                        </pic:blipFill>
                        <pic:spPr bwMode="auto">
                          <a:xfrm>
                            <a:off x="0" y="0"/>
                            <a:ext cx="5334000" cy="315190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Conceptual architecture of the partitioned rhizobox microcosm system illustrating donor phosphate regimes, physical barrier discrimination modes (M0, M1, M2), and recipient mycorrhizal perception cascades.</w:t>
            </w:r>
          </w:p>
          <w:bookmarkEnd w:id="14"/>
        </w:tc>
      </w:tr>
    </w:tbl>
    <w:bookmarkEnd w:id="15"/>
    <w:bookmarkStart w:id="16" w:name="X7245c50dd7e087c5b499fcb0e0c2d1d461ea9e9"/>
    <w:p>
      <w:pPr>
        <w:pStyle w:val="Heading3"/>
      </w:pPr>
      <w:r>
        <w:t xml:space="preserve">3.2 Plant Material, Microbial Inoculation, and Chemical Treatments</w:t>
      </w:r>
    </w:p>
    <w:p>
      <w:pPr>
        <w:pStyle w:val="FirstParagraph"/>
      </w:pPr>
      <w:r>
        <w:t xml:space="preserve">Grains of bread wheat (</w:t>
      </w:r>
      <w:r>
        <w:rPr>
          <w:i/>
          <w:iCs/>
        </w:rPr>
        <w:t xml:space="preserve">Triticum aestivum</w:t>
      </w:r>
      <w:r>
        <w:t xml:space="preserve"> </w:t>
      </w:r>
      <w:r>
        <w:t xml:space="preserve">L. cv. Bobwhite, hexaploid</w:t>
      </w:r>
      <w:r>
        <w:t xml:space="preserve"> </w:t>
      </w:r>
      <m:oMath>
        <m:r>
          <m:t>2</m:t>
        </m:r>
        <m:r>
          <m:t>n</m:t>
        </m:r>
        <m:r>
          <m:rPr>
            <m:sty m:val="p"/>
          </m:rPr>
          <m:t>=</m:t>
        </m:r>
        <m:r>
          <m:t>6</m:t>
        </m:r>
        <m:r>
          <m:t>x</m:t>
        </m:r>
        <m:r>
          <m:rPr>
            <m:sty m:val="p"/>
          </m:rPr>
          <m:t>=</m:t>
        </m:r>
        <m:r>
          <m:t>42</m:t>
        </m:r>
      </m:oMath>
      <w:r>
        <w:t xml:space="preserve">, BBAADD) and an ethyl methanesulfonate (EMS)-derived loss-of-function mutant deficient in the strigolactone receptor</w:t>
      </w:r>
      <w:r>
        <w:t xml:space="preserve"> </w:t>
      </w:r>
      <w:r>
        <w:rPr>
          <w:i/>
          <w:iCs/>
        </w:rPr>
        <w:t xml:space="preserve">TaD14</w:t>
      </w:r>
      <w:r>
        <w:t xml:space="preserve"> </w:t>
      </w:r>
      <w:r>
        <w:t xml:space="preserve">(</w:t>
      </w:r>
      <w:r>
        <w:rPr>
          <w:i/>
          <w:iCs/>
        </w:rPr>
        <w:t xml:space="preserve">Tad14-null</w:t>
      </w:r>
      <w:r>
        <w:t xml:space="preserve">, verified by sequencing of homoeologous loci</w:t>
      </w:r>
      <w:r>
        <w:t xml:space="preserve"> </w:t>
      </w:r>
      <w:r>
        <w:rPr>
          <w:i/>
          <w:iCs/>
        </w:rPr>
        <w:t xml:space="preserve">TaD14-4A</w:t>
      </w:r>
      <w:r>
        <w:t xml:space="preserve">,</w:t>
      </w:r>
      <w:r>
        <w:t xml:space="preserve"> </w:t>
      </w:r>
      <w:r>
        <w:rPr>
          <w:i/>
          <w:iCs/>
        </w:rPr>
        <w:t xml:space="preserve">TaD14-4B</w:t>
      </w:r>
      <w:r>
        <w:t xml:space="preserve">,</w:t>
      </w:r>
      <w:r>
        <w:t xml:space="preserve"> </w:t>
      </w:r>
      <w:r>
        <w:rPr>
          <w:i/>
          <w:iCs/>
        </w:rPr>
        <w:t xml:space="preserve">TaD14-4D</w:t>
      </w:r>
      <w:r>
        <w:t xml:space="preserve">)</w:t>
      </w:r>
      <w:r>
        <w:t xml:space="preserve"> </w:t>
      </w:r>
      <w:r>
        <w:t xml:space="preserve">(Zhang et al., 2021)</w:t>
      </w:r>
      <w:r>
        <w:t xml:space="preserve"> </w:t>
      </w:r>
      <w:r>
        <w:t xml:space="preserve">were surface-sterilized in</w:t>
      </w:r>
      <w:r>
        <w:t xml:space="preserve"> </w:t>
      </w:r>
      <m:oMath>
        <m:r>
          <m:t>1.5</m:t>
        </m:r>
        <m:r>
          <m:rPr>
            <m:sty m:val="p"/>
          </m:rPr>
          <m:t>%</m:t>
        </m:r>
        <m:r>
          <m:t> </m:t>
        </m:r>
        <m:r>
          <m:rPr>
            <m:nor/>
            <m:sty m:val="p"/>
          </m:rPr>
          <m:t>NaOCl</m:t>
        </m:r>
      </m:oMath>
      <w:r>
        <w:t xml:space="preserve"> </w:t>
      </w:r>
      <w:r>
        <w:t xml:space="preserve">for 12 min, rinsed thoroughly with sterile deionized water, and pre-germinated on moist filter paper in darkness at</w:t>
      </w:r>
      <w:r>
        <w:t xml:space="preserve"> </w:t>
      </w:r>
      <m:oMath>
        <m:sSup>
          <m:e>
            <m:r>
              <m:t>22</m:t>
            </m:r>
          </m:e>
          <m:sup>
            <m:r>
              <m:rPr>
                <m:sty m:val="p"/>
              </m:rPr>
              <m:t>∘</m:t>
            </m:r>
          </m:sup>
        </m:sSup>
        <m:r>
          <m:rPr>
            <m:nor/>
            <m:sty m:val="p"/>
          </m:rPr>
          <m:t>C</m:t>
        </m:r>
      </m:oMath>
      <w:r>
        <w:t xml:space="preserve"> </w:t>
      </w:r>
      <w:r>
        <w:t xml:space="preserve">for 48 h. Uniform seedlings were transplanted into the rhizobox compartments.</w:t>
      </w:r>
    </w:p>
    <w:p>
      <w:pPr>
        <w:pStyle w:val="BodyText"/>
      </w:pPr>
      <w:r>
        <w:t xml:space="preserve">Inoculum of the arbuscular mycorrhizal fungus</w:t>
      </w:r>
      <w:r>
        <w:t xml:space="preserve"> </w:t>
      </w:r>
      <w:r>
        <w:rPr>
          <w:i/>
          <w:iCs/>
        </w:rPr>
        <w:t xml:space="preserve">Rhizophagus irregularis</w:t>
      </w:r>
      <w:r>
        <w:t xml:space="preserve"> </w:t>
      </w:r>
      <w:r>
        <w:t xml:space="preserve">(isolate DAOM 197198 / 181602) was obtained from axenic root organ cultures. In all rhizoboxes, exactly 500 axenic spores were placed in the recipient root zone at the time of transplanting. Donor compartments were left uninoculated with fungal spores to ensure that mycorrhizal establishment was initiated from the recipient compartment.</w:t>
      </w:r>
    </w:p>
    <w:p>
      <w:pPr>
        <w:pStyle w:val="BodyText"/>
      </w:pPr>
      <w:r>
        <w:t xml:space="preserve">Plants were cultivated in controlled-environment growth chambers under a 16 h light / 8 h dark photoperiod, photosynthetic photon flux density (PPFD) of</w:t>
      </w:r>
      <w:r>
        <w:t xml:space="preserve"> </w:t>
      </w:r>
      <m:oMath>
        <m:r>
          <m:t>450</m:t>
        </m:r>
        <m:r>
          <m:t> </m:t>
        </m:r>
        <m:r>
          <m:t>μ</m:t>
        </m:r>
        <m:r>
          <m:rPr>
            <m:nor/>
            <m:sty m:val="p"/>
          </m:rPr>
          <m:t>mol</m:t>
        </m:r>
        <m:r>
          <m:rPr>
            <m:sty m:val="p"/>
          </m:rPr>
          <m:t>⋅</m:t>
        </m:r>
        <m:sSup>
          <m:e>
            <m:r>
              <m:rPr>
                <m:nor/>
                <m:sty m:val="p"/>
              </m:rPr>
              <m:t>m</m:t>
            </m:r>
          </m:e>
          <m:sup>
            <m:r>
              <m:rPr>
                <m:sty m:val="p"/>
              </m:rPr>
              <m:t>−</m:t>
            </m:r>
            <m:r>
              <m:t>2</m:t>
            </m:r>
          </m:sup>
        </m:sSup>
        <m:r>
          <m:rPr>
            <m:sty m:val="p"/>
          </m:rPr>
          <m:t>⋅</m:t>
        </m:r>
        <m:sSup>
          <m:e>
            <m:r>
              <m:rPr>
                <m:nor/>
                <m:sty m:val="p"/>
              </m:rPr>
              <m:t>s</m:t>
            </m:r>
          </m:e>
          <m:sup>
            <m:r>
              <m:rPr>
                <m:sty m:val="p"/>
              </m:rPr>
              <m:t>−</m:t>
            </m:r>
            <m:r>
              <m:t>1</m:t>
            </m:r>
          </m:sup>
        </m:sSup>
      </m:oMath>
      <w:r>
        <w:t xml:space="preserve">, temperature of</w:t>
      </w:r>
      <w:r>
        <w:t xml:space="preserve"> </w:t>
      </w:r>
      <m:oMath>
        <m:sSup>
          <m:e>
            <m:r>
              <m:t>22</m:t>
            </m:r>
          </m:e>
          <m:sup>
            <m:r>
              <m:rPr>
                <m:sty m:val="p"/>
              </m:rPr>
              <m:t>∘</m:t>
            </m:r>
          </m:sup>
        </m:sSup>
        <m:r>
          <m:rPr>
            <m:nor/>
            <m:sty m:val="p"/>
          </m:rPr>
          <m:t>C</m:t>
        </m:r>
        <m:r>
          <m:rPr>
            <m:sty m:val="p"/>
          </m:rPr>
          <m:t>/</m:t>
        </m:r>
        <m:sSup>
          <m:e>
            <m:r>
              <m:t>18</m:t>
            </m:r>
          </m:e>
          <m:sup>
            <m:r>
              <m:rPr>
                <m:sty m:val="p"/>
              </m:rPr>
              <m:t>∘</m:t>
            </m:r>
          </m:sup>
        </m:sSup>
        <m:r>
          <m:rPr>
            <m:nor/>
            <m:sty m:val="p"/>
          </m:rPr>
          <m:t>C</m:t>
        </m:r>
      </m:oMath>
      <w:r>
        <w:t xml:space="preserve"> </w:t>
      </w:r>
      <w:r>
        <w:t xml:space="preserve">(day/night), and</w:t>
      </w:r>
      <w:r>
        <w:t xml:space="preserve"> </w:t>
      </w:r>
      <m:oMath>
        <m:r>
          <m:t>65</m:t>
        </m:r>
        <m:r>
          <m:rPr>
            <m:sty m:val="p"/>
          </m:rPr>
          <m:t>%</m:t>
        </m:r>
      </m:oMath>
      <w:r>
        <w:t xml:space="preserve"> </w:t>
      </w:r>
      <w:r>
        <w:t xml:space="preserve">relative humidity. Microcosms were irrigated every 48 h with modified Long Ashton nutrient solution (</w:t>
      </w:r>
      <m:oMath>
        <m:r>
          <m:t>20</m:t>
        </m:r>
        <m:r>
          <m:t> </m:t>
        </m:r>
        <m:r>
          <m:rPr>
            <m:nor/>
            <m:sty m:val="p"/>
          </m:rPr>
          <m:t>mL</m:t>
        </m:r>
      </m:oMath>
      <w:r>
        <w:t xml:space="preserve"> </w:t>
      </w:r>
      <w:r>
        <w:t xml:space="preserve">per compartment).</w:t>
      </w:r>
    </w:p>
    <w:p>
      <w:pPr>
        <w:pStyle w:val="BodyText"/>
      </w:pPr>
      <w:r>
        <w:t xml:space="preserve">To establish differential nutrient regimes:</w:t>
      </w:r>
      <w:r>
        <w:t xml:space="preserve"> </w:t>
      </w:r>
      <w:r>
        <w:t xml:space="preserve">*</w:t>
      </w:r>
      <w:r>
        <w:t xml:space="preserve"> </w:t>
      </w:r>
      <w:r>
        <w:rPr>
          <w:b/>
          <w:bCs/>
        </w:rPr>
        <w:t xml:space="preserve">Donor Compartment Treatments:</w:t>
      </w:r>
      <w:r>
        <w:t xml:space="preserve"> </w:t>
      </w:r>
      <w:r>
        <w:t xml:space="preserve">1.</w:t>
      </w:r>
      <w:r>
        <w:t xml:space="preserve"> </w:t>
      </w:r>
      <w:r>
        <w:rPr>
          <w:rStyle w:val="VerbatimChar"/>
        </w:rPr>
        <w:t xml:space="preserve">P_Starved</w:t>
      </w:r>
      <w:r>
        <w:t xml:space="preserve">: Low-Pi nutrient solution containing</w:t>
      </w:r>
      <w:r>
        <w:t xml:space="preserve"> </w:t>
      </w:r>
      <m:oMath>
        <m:r>
          <m:t>2</m:t>
        </m:r>
        <m:r>
          <m:t> </m:t>
        </m:r>
        <m:r>
          <m:t>μ</m:t>
        </m:r>
        <m:r>
          <m:rPr>
            <m:nor/>
            <m:sty m:val="p"/>
          </m:rPr>
          <m:t>M</m:t>
        </m:r>
        <m:r>
          <m:t> </m:t>
        </m:r>
        <m:sSub>
          <m:e>
            <m:r>
              <m:rPr>
                <m:nor/>
                <m:sty m:val="p"/>
              </m:rPr>
              <m:t>KH</m:t>
            </m:r>
          </m:e>
          <m:sub>
            <m:r>
              <m:t>2</m:t>
            </m:r>
          </m:sub>
        </m:sSub>
        <m:sSub>
          <m:e>
            <m:r>
              <m:rPr>
                <m:nor/>
                <m:sty m:val="p"/>
              </m:rPr>
              <m:t>PO</m:t>
            </m:r>
          </m:e>
          <m:sub>
            <m:r>
              <m:t>4</m:t>
            </m:r>
          </m:sub>
        </m:sSub>
      </m:oMath>
      <w:r>
        <w:t xml:space="preserve"> </w:t>
      </w:r>
      <w:r>
        <w:t xml:space="preserve">and</w:t>
      </w:r>
      <w:r>
        <w:t xml:space="preserve"> </w:t>
      </w:r>
      <m:oMath>
        <m:r>
          <m:t>200</m:t>
        </m:r>
        <m:r>
          <m:t> </m:t>
        </m:r>
        <m:r>
          <m:t>μ</m:t>
        </m:r>
        <m:r>
          <m:rPr>
            <m:nor/>
            <m:sty m:val="p"/>
          </m:rPr>
          <m:t>M</m:t>
        </m:r>
        <m:r>
          <m:t> </m:t>
        </m:r>
        <m:r>
          <m:rPr>
            <m:nor/>
            <m:sty m:val="p"/>
          </m:rPr>
          <m:t>KCl</m:t>
        </m:r>
      </m:oMath>
      <w:r>
        <w:t xml:space="preserve"> </w:t>
      </w:r>
      <w:r>
        <w:t xml:space="preserve">to maintain potassium balance.</w:t>
      </w:r>
      <w:r>
        <w:t xml:space="preserve"> </w:t>
      </w:r>
      <w:r>
        <w:t xml:space="preserve">2.</w:t>
      </w:r>
      <w:r>
        <w:t xml:space="preserve"> </w:t>
      </w:r>
      <w:r>
        <w:rPr>
          <w:rStyle w:val="VerbatimChar"/>
        </w:rPr>
        <w:t xml:space="preserve">P_Replete</w:t>
      </w:r>
      <w:r>
        <w:t xml:space="preserve">: High-Pi nutrient solution containing</w:t>
      </w:r>
      <w:r>
        <w:t xml:space="preserve"> </w:t>
      </w:r>
      <m:oMath>
        <m:r>
          <m:t>200</m:t>
        </m:r>
        <m:r>
          <m:t> </m:t>
        </m:r>
        <m:r>
          <m:t>μ</m:t>
        </m:r>
        <m:r>
          <m:rPr>
            <m:nor/>
            <m:sty m:val="p"/>
          </m:rPr>
          <m:t>M</m:t>
        </m:r>
        <m:r>
          <m:t> </m:t>
        </m:r>
        <m:sSub>
          <m:e>
            <m:r>
              <m:rPr>
                <m:nor/>
                <m:sty m:val="p"/>
              </m:rPr>
              <m:t>KH</m:t>
            </m:r>
          </m:e>
          <m:sub>
            <m:r>
              <m:t>2</m:t>
            </m:r>
          </m:sub>
        </m:sSub>
        <m:sSub>
          <m:e>
            <m:r>
              <m:rPr>
                <m:nor/>
                <m:sty m:val="p"/>
              </m:rPr>
              <m:t>PO</m:t>
            </m:r>
          </m:e>
          <m:sub>
            <m:r>
              <m:t>4</m:t>
            </m:r>
          </m:sub>
        </m:sSub>
      </m:oMath>
      <w:r>
        <w:t xml:space="preserve">.</w:t>
      </w:r>
      <w:r>
        <w:t xml:space="preserve"> </w:t>
      </w:r>
      <w:r>
        <w:t xml:space="preserve">3.</w:t>
      </w:r>
      <w:r>
        <w:t xml:space="preserve"> </w:t>
      </w:r>
      <w:r>
        <w:rPr>
          <w:rStyle w:val="VerbatimChar"/>
        </w:rPr>
        <w:t xml:space="preserve">P_Starved_Tis108</w:t>
      </w:r>
      <w:r>
        <w:t xml:space="preserve">: Low-Pi nutrient solution (</w:t>
      </w:r>
      <m:oMath>
        <m:r>
          <m:t>2</m:t>
        </m:r>
        <m:r>
          <m:t> </m:t>
        </m:r>
        <m:r>
          <m:t>μ</m:t>
        </m:r>
        <m:r>
          <m:rPr>
            <m:nor/>
            <m:sty m:val="p"/>
          </m:rPr>
          <m:t>M</m:t>
        </m:r>
        <m:r>
          <m:t> </m:t>
        </m:r>
        <m:sSub>
          <m:e>
            <m:r>
              <m:rPr>
                <m:nor/>
                <m:sty m:val="p"/>
              </m:rPr>
              <m:t>KH</m:t>
            </m:r>
          </m:e>
          <m:sub>
            <m:r>
              <m:t>2</m:t>
            </m:r>
          </m:sub>
        </m:sSub>
        <m:sSub>
          <m:e>
            <m:r>
              <m:rPr>
                <m:nor/>
                <m:sty m:val="p"/>
              </m:rPr>
              <m:t>PO</m:t>
            </m:r>
          </m:e>
          <m:sub>
            <m:r>
              <m:t>4</m:t>
            </m:r>
          </m:sub>
        </m:sSub>
      </m:oMath>
      <w:r>
        <w:t xml:space="preserve">) supplemented with</w:t>
      </w:r>
      <w:r>
        <w:t xml:space="preserve"> </w:t>
      </w:r>
      <m:oMath>
        <m:r>
          <m:t>1</m:t>
        </m:r>
        <m:r>
          <m:t> </m:t>
        </m:r>
        <m:r>
          <m:t>μ</m:t>
        </m:r>
        <m:r>
          <m:rPr>
            <m:nor/>
            <m:sty m:val="p"/>
          </m:rPr>
          <m:t>M</m:t>
        </m:r>
      </m:oMath>
      <w:r>
        <w:t xml:space="preserve"> </w:t>
      </w:r>
      <w:r>
        <w:t xml:space="preserve">Tis-108 (2-phenyl-1-(1H-1,2,4-triazol-1-yl)-3-(trimethylsilyl)hex-5-en-2-ol), a potent and selective chemical inhibitor of the cytochrome P450 monooxygenase</w:t>
      </w:r>
      <w:r>
        <w:t xml:space="preserve"> </w:t>
      </w:r>
      <w:r>
        <w:rPr>
          <w:i/>
          <w:iCs/>
        </w:rPr>
        <w:t xml:space="preserve">MAX1</w:t>
      </w:r>
      <w:r>
        <w:t xml:space="preserve"> </w:t>
      </w:r>
      <w:r>
        <w:t xml:space="preserve">(</w:t>
      </w:r>
      <w:r>
        <w:rPr>
          <w:i/>
          <w:iCs/>
        </w:rPr>
        <w:t xml:space="preserve">CYP711A</w:t>
      </w:r>
      <w:r>
        <w:t xml:space="preserve">) in the strigolactone biosynthetic cascade</w:t>
      </w:r>
      <w:r>
        <w:t xml:space="preserve"> </w:t>
      </w:r>
      <w:r>
        <w:t xml:space="preserve">(Ito et al., 2013)</w:t>
      </w:r>
      <w:r>
        <w:t xml:space="preserve">. Tis-108 was dissolved in DMSO (final solvent concentration</w:t>
      </w:r>
      <w:r>
        <w:t xml:space="preserve"> </w:t>
      </w:r>
      <m:oMath>
        <m:r>
          <m:rPr>
            <m:sty m:val="p"/>
          </m:rPr>
          <m:t>&lt;</m:t>
        </m:r>
        <m:r>
          <m:t>0.01</m:t>
        </m:r>
        <m:r>
          <m:rPr>
            <m:sty m:val="p"/>
          </m:rPr>
          <m:t>%</m:t>
        </m:r>
        <m:r>
          <m:t> </m:t>
        </m:r>
        <m:r>
          <m:rPr>
            <m:nor/>
            <m:sty m:val="p"/>
          </m:rPr>
          <m:t>v/v</m:t>
        </m:r>
      </m:oMath>
      <w:r>
        <w:t xml:space="preserve">).</w:t>
      </w:r>
      <w:r>
        <w:t xml:space="preserve"> </w:t>
      </w:r>
      <w:r>
        <w:t xml:space="preserve">*</w:t>
      </w:r>
      <w:r>
        <w:t xml:space="preserve"> </w:t>
      </w:r>
      <w:r>
        <w:rPr>
          <w:b/>
          <w:bCs/>
        </w:rPr>
        <w:t xml:space="preserve">Recipient Compartment Treatments:</w:t>
      </w:r>
      <w:r>
        <w:t xml:space="preserve"> </w:t>
      </w:r>
      <w:r>
        <w:t xml:space="preserve">All recipient compartments received Pi-replete nutrient solution (</w:t>
      </w:r>
      <m:oMath>
        <m:r>
          <m:t>200</m:t>
        </m:r>
        <m:r>
          <m:t> </m:t>
        </m:r>
        <m:r>
          <m:t>μ</m:t>
        </m:r>
        <m:r>
          <m:rPr>
            <m:nor/>
            <m:sty m:val="p"/>
          </m:rPr>
          <m:t>M</m:t>
        </m:r>
        <m:r>
          <m:t> </m:t>
        </m:r>
        <m:sSub>
          <m:e>
            <m:r>
              <m:rPr>
                <m:nor/>
                <m:sty m:val="p"/>
              </m:rPr>
              <m:t>KH</m:t>
            </m:r>
          </m:e>
          <m:sub>
            <m:r>
              <m:t>2</m:t>
            </m:r>
          </m:sub>
        </m:sSub>
        <m:sSub>
          <m:e>
            <m:r>
              <m:rPr>
                <m:nor/>
                <m:sty m:val="p"/>
              </m:rPr>
              <m:t>PO</m:t>
            </m:r>
          </m:e>
          <m:sub>
            <m:r>
              <m:t>4</m:t>
            </m:r>
          </m:sub>
        </m:sSub>
      </m:oMath>
      <w:r>
        <w:t xml:space="preserve">) throughout the 28-day growth period, ensuring that recipient plants remained non-stressed and cell-autonomously phosphate sufficient.</w:t>
      </w:r>
    </w:p>
    <w:bookmarkEnd w:id="16"/>
    <w:bookmarkStart w:id="17" w:name="experimental-design-biometric-sampling"/>
    <w:p>
      <w:pPr>
        <w:pStyle w:val="Heading3"/>
      </w:pPr>
      <w:r>
        <w:t xml:space="preserve">3.3 Experimental Design &amp; Biometric Sampling</w:t>
      </w:r>
    </w:p>
    <w:p>
      <w:pPr>
        <w:pStyle w:val="FirstParagraph"/>
      </w:pPr>
      <w:r>
        <w:t xml:space="preserve">The experiment was organized as a balanced Randomized Complete Block Design (RCBD) across four independent growth chambers (Blocks</w:t>
      </w:r>
      <w:r>
        <w:t xml:space="preserve"> </w:t>
      </w:r>
      <m:oMath>
        <m:r>
          <m:t>k</m:t>
        </m:r>
        <m:r>
          <m:rPr>
            <m:sty m:val="p"/>
          </m:rPr>
          <m:t>=</m:t>
        </m:r>
        <m:r>
          <m:t>4</m:t>
        </m:r>
      </m:oMath>
      <w:r>
        <w:t xml:space="preserve">). Each block contained all 18 factorial treatment combinations:</w:t>
      </w:r>
    </w:p>
    <w:p>
      <w:pPr>
        <w:pStyle w:val="BodyText"/>
      </w:pPr>
      <m:oMathPara>
        <m:oMathParaPr>
          <m:jc m:val="center"/>
        </m:oMathParaPr>
        <m:oMath>
          <m:r>
            <m:t>3</m:t>
          </m:r>
          <m:r>
            <m:t> </m:t>
          </m:r>
          <m:r>
            <m:rPr>
              <m:nor/>
              <m:sty m:val="p"/>
            </m:rPr>
            <m:t>Donor Regimes</m:t>
          </m:r>
          <m:r>
            <m:rPr>
              <m:sty m:val="p"/>
            </m:rPr>
            <m:t>×</m:t>
          </m:r>
          <m:r>
            <m:t>3</m:t>
          </m:r>
          <m:r>
            <m:t> </m:t>
          </m:r>
          <m:r>
            <m:rPr>
              <m:nor/>
              <m:sty m:val="p"/>
            </m:rPr>
            <m:t>Barrier Modes</m:t>
          </m:r>
          <m:r>
            <m:rPr>
              <m:sty m:val="p"/>
            </m:rPr>
            <m:t>×</m:t>
          </m:r>
          <m:r>
            <m:t>2</m:t>
          </m:r>
          <m:r>
            <m:t> </m:t>
          </m:r>
          <m:r>
            <m:rPr>
              <m:nor/>
              <m:sty m:val="p"/>
            </m:rPr>
            <m:t>Recipient Genotypes</m:t>
          </m:r>
          <m:r>
            <m:rPr>
              <m:sty m:val="p"/>
            </m:rPr>
            <m:t>=</m:t>
          </m:r>
          <m:r>
            <m:t>18</m:t>
          </m:r>
          <m:r>
            <m:t> </m:t>
          </m:r>
          <m:r>
            <m:rPr>
              <m:nor/>
              <m:sty m:val="p"/>
            </m:rPr>
            <m:t>cells</m:t>
          </m:r>
        </m:oMath>
      </m:oMathPara>
    </w:p>
    <w:p>
      <w:pPr>
        <w:pStyle w:val="FirstParagraph"/>
      </w:pPr>
      <w:r>
        <w:t xml:space="preserve">With</w:t>
      </w:r>
      <w:r>
        <w:t xml:space="preserve"> </w:t>
      </w:r>
      <m:oMath>
        <m:r>
          <m:t>n</m:t>
        </m:r>
        <m:r>
          <m:rPr>
            <m:sty m:val="p"/>
          </m:rPr>
          <m:t>=</m:t>
        </m:r>
        <m:r>
          <m:t>6</m:t>
        </m:r>
      </m:oMath>
      <w:r>
        <w:t xml:space="preserve"> </w:t>
      </w:r>
      <w:r>
        <w:t xml:space="preserve">biological replicates per cell per block, the full trial comprised</w:t>
      </w:r>
      <w:r>
        <w:t xml:space="preserve"> </w:t>
      </w:r>
      <m:oMath>
        <m:r>
          <m:t>N</m:t>
        </m:r>
        <m:r>
          <m:rPr>
            <m:sty m:val="p"/>
          </m:rPr>
          <m:t>=</m:t>
        </m:r>
        <m:r>
          <m:t>432</m:t>
        </m:r>
      </m:oMath>
      <w:r>
        <w:t xml:space="preserve"> </w:t>
      </w:r>
      <w:r>
        <w:t xml:space="preserve">rhizobox microcosms.</w:t>
      </w:r>
    </w:p>
    <w:p>
      <w:pPr>
        <w:pStyle w:val="BodyText"/>
      </w:pPr>
      <w:r>
        <w:t xml:space="preserve">At 28 days post-transplanting, recipient root systems and shoots were harvested:</w:t>
      </w:r>
      <w:r>
        <w:t xml:space="preserve"> </w:t>
      </w:r>
      <w:r>
        <w:t xml:space="preserve">1.</w:t>
      </w:r>
      <w:r>
        <w:t xml:space="preserve"> </w:t>
      </w:r>
      <w:r>
        <w:rPr>
          <w:b/>
          <w:bCs/>
        </w:rPr>
        <w:t xml:space="preserve">Mycorrhizal Colonization Assessment:</w:t>
      </w:r>
      <w:r>
        <w:t xml:space="preserve"> </w:t>
      </w:r>
      <w:r>
        <w:t xml:space="preserve">Root subsamples (</w:t>
      </w:r>
      <m:oMath>
        <m:r>
          <m:t>0.5</m:t>
        </m:r>
        <m:r>
          <m:t> </m:t>
        </m:r>
        <m:r>
          <m:rPr>
            <m:nor/>
            <m:sty m:val="p"/>
          </m:rPr>
          <m:t>g</m:t>
        </m:r>
      </m:oMath>
      <w:r>
        <w:t xml:space="preserve"> </w:t>
      </w:r>
      <w:r>
        <w:t xml:space="preserve">fresh weight) were cleared in</w:t>
      </w:r>
      <w:r>
        <w:t xml:space="preserve"> </w:t>
      </w:r>
      <m:oMath>
        <m:r>
          <m:t>10</m:t>
        </m:r>
        <m:r>
          <m:rPr>
            <m:sty m:val="p"/>
          </m:rPr>
          <m:t>%</m:t>
        </m:r>
        <m:r>
          <m:t> </m:t>
        </m:r>
        <m:r>
          <m:rPr>
            <m:nor/>
            <m:sty m:val="p"/>
          </m:rPr>
          <m:t>KOH</m:t>
        </m:r>
      </m:oMath>
      <w:r>
        <w:t xml:space="preserve"> </w:t>
      </w:r>
      <w:r>
        <w:t xml:space="preserve">at</w:t>
      </w:r>
      <w:r>
        <w:t xml:space="preserve"> </w:t>
      </w:r>
      <m:oMath>
        <m:sSup>
          <m:e>
            <m:r>
              <m:t>90</m:t>
            </m:r>
          </m:e>
          <m:sup>
            <m:r>
              <m:rPr>
                <m:sty m:val="p"/>
              </m:rPr>
              <m:t>∘</m:t>
            </m:r>
          </m:sup>
        </m:sSup>
        <m:r>
          <m:rPr>
            <m:nor/>
            <m:sty m:val="p"/>
          </m:rPr>
          <m:t>C</m:t>
        </m:r>
      </m:oMath>
      <w:r>
        <w:t xml:space="preserve"> </w:t>
      </w:r>
      <w:r>
        <w:t xml:space="preserve">for 25 min, acidified in</w:t>
      </w:r>
      <w:r>
        <w:t xml:space="preserve"> </w:t>
      </w:r>
      <m:oMath>
        <m:r>
          <m:t>1</m:t>
        </m:r>
        <m:r>
          <m:rPr>
            <m:sty m:val="p"/>
          </m:rPr>
          <m:t>%</m:t>
        </m:r>
        <m:r>
          <m:t> </m:t>
        </m:r>
        <m:r>
          <m:rPr>
            <m:nor/>
            <m:sty m:val="p"/>
          </m:rPr>
          <m:t>HCl</m:t>
        </m:r>
      </m:oMath>
      <w:r>
        <w:t xml:space="preserve">, and stained with</w:t>
      </w:r>
      <w:r>
        <w:t xml:space="preserve"> </w:t>
      </w:r>
      <m:oMath>
        <m:r>
          <m:t>0.05</m:t>
        </m:r>
        <m:r>
          <m:rPr>
            <m:sty m:val="p"/>
          </m:rPr>
          <m:t>%</m:t>
        </m:r>
        <m:r>
          <m:t> </m:t>
        </m:r>
        <m:r>
          <m:rPr>
            <m:nor/>
            <m:sty m:val="p"/>
          </m:rPr>
          <m:t>Trypan Blue</m:t>
        </m:r>
      </m:oMath>
      <w:r>
        <w:t xml:space="preserve"> </w:t>
      </w:r>
      <w:r>
        <w:t xml:space="preserve">in lactoglycerol. Total root length colonization (%) and arbuscule abundance (%) were quantified across 150 gridline intersects per sample under a Nikon Eclipse Ni compound microscope (</w:t>
      </w:r>
      <m:oMath>
        <m:r>
          <m:t>200</m:t>
        </m:r>
        <m:r>
          <m:rPr>
            <m:sty m:val="p"/>
          </m:rPr>
          <m:t>×</m:t>
        </m:r>
      </m:oMath>
      <w:r>
        <w:t xml:space="preserve">) using the magnified gridline intersect method.</w:t>
      </w:r>
      <w:r>
        <w:t xml:space="preserve"> </w:t>
      </w:r>
      <w:r>
        <w:t xml:space="preserve">2.</w:t>
      </w:r>
      <w:r>
        <w:t xml:space="preserve"> </w:t>
      </w:r>
      <w:r>
        <w:rPr>
          <w:b/>
          <w:bCs/>
        </w:rPr>
        <w:t xml:space="preserve">RT-qPCR Analysis of TaPT4:</w:t>
      </w:r>
      <w:r>
        <w:t xml:space="preserve"> </w:t>
      </w:r>
      <w:r>
        <w:t xml:space="preserve">Total RNA was extracted from flash-frozen root tissue using TRIzol reagent (Invitrogen) and treated with RNase-free DNase I. cDNA was synthesized from</w:t>
      </w:r>
      <w:r>
        <w:t xml:space="preserve"> </w:t>
      </w:r>
      <m:oMath>
        <m:r>
          <m:t>1</m:t>
        </m:r>
        <m:r>
          <m:t> </m:t>
        </m:r>
        <m:r>
          <m:t>μ</m:t>
        </m:r>
        <m:r>
          <m:rPr>
            <m:nor/>
            <m:sty m:val="p"/>
          </m:rPr>
          <m:t>g</m:t>
        </m:r>
      </m:oMath>
      <w:r>
        <w:t xml:space="preserve"> </w:t>
      </w:r>
      <w:r>
        <w:t xml:space="preserve">of total RNA using the SuperScript IV Reverse Transcriptase system. Quantitative real-time PCR was performed on a Bio-Rad CFX96 system using SYBR Green Master Mix. Specific primers for the mycorrhiza-specific phosphate transporter</w:t>
      </w:r>
      <w:r>
        <w:t xml:space="preserve"> </w:t>
      </w:r>
      <w:r>
        <w:rPr>
          <w:i/>
          <w:iCs/>
        </w:rPr>
        <w:t xml:space="preserve">TaPT4</w:t>
      </w:r>
      <w:r>
        <w:t xml:space="preserve"> </w:t>
      </w:r>
      <w:r>
        <w:t xml:space="preserve">(GenBank AY834608 / TraesCS4A02G405800) were: Forward 5′-CGTCTTCGTCTTCGCCGAC-3′ and Reverse 5′-GTAGTAGTAGGCGGCGTAGC-3′</w:t>
      </w:r>
      <w:r>
        <w:t xml:space="preserve"> </w:t>
      </w:r>
      <w:r>
        <w:t xml:space="preserve">(Glassop et al., 2005; Teng et al., 2019)</w:t>
      </w:r>
      <w:r>
        <w:t xml:space="preserve">. Relative expression fold-changes were computed via the</w:t>
      </w:r>
      <w:r>
        <w:t xml:space="preserve"> </w:t>
      </w:r>
      <m:oMath>
        <m:sSup>
          <m:e>
            <m:r>
              <m:t>2</m:t>
            </m:r>
          </m:e>
          <m:sup>
            <m:r>
              <m:rPr>
                <m:sty m:val="p"/>
              </m:rPr>
              <m:t>−</m:t>
            </m:r>
            <m:r>
              <m:rPr>
                <m:sty m:val="p"/>
              </m:rPr>
              <m:t>Δ</m:t>
            </m:r>
            <m:r>
              <m:rPr>
                <m:sty m:val="p"/>
              </m:rPr>
              <m:t>Δ</m:t>
            </m:r>
            <m:sSub>
              <m:e>
                <m:r>
                  <m:t>C</m:t>
                </m:r>
              </m:e>
              <m:sub>
                <m:r>
                  <m:t>T</m:t>
                </m:r>
              </m:sub>
            </m:sSub>
          </m:sup>
        </m:sSup>
      </m:oMath>
      <w:r>
        <w:t xml:space="preserve"> </w:t>
      </w:r>
      <w:r>
        <w:t xml:space="preserve">method normalized to the geometric mean of reference genes</w:t>
      </w:r>
      <w:r>
        <w:t xml:space="preserve"> </w:t>
      </w:r>
      <w:r>
        <w:rPr>
          <w:i/>
          <w:iCs/>
        </w:rPr>
        <w:t xml:space="preserve">TaGAPDH</w:t>
      </w:r>
      <w:r>
        <w:t xml:space="preserve"> </w:t>
      </w:r>
      <w:r>
        <w:t xml:space="preserve">and</w:t>
      </w:r>
      <w:r>
        <w:t xml:space="preserve"> </w:t>
      </w:r>
      <w:r>
        <w:rPr>
          <w:i/>
          <w:iCs/>
        </w:rPr>
        <w:t xml:space="preserve">TaActin</w:t>
      </w:r>
      <w:r>
        <w:t xml:space="preserve">, calibrated against the unprimed baseline in the M0_Solid partition.</w:t>
      </w:r>
      <w:r>
        <w:t xml:space="preserve"> </w:t>
      </w:r>
      <w:r>
        <w:t xml:space="preserve">3.</w:t>
      </w:r>
      <w:r>
        <w:t xml:space="preserve"> </w:t>
      </w:r>
      <w:r>
        <w:rPr>
          <w:b/>
          <w:bCs/>
        </w:rPr>
        <w:t xml:space="preserve">Shoot and Root Phosphorus Determination:</w:t>
      </w:r>
      <w:r>
        <w:t xml:space="preserve"> </w:t>
      </w:r>
      <w:r>
        <w:t xml:space="preserve">Dried shoot and root biomass (</w:t>
      </w:r>
      <m:oMath>
        <m:sSup>
          <m:e>
            <m:r>
              <m:t>70</m:t>
            </m:r>
          </m:e>
          <m:sup>
            <m:r>
              <m:rPr>
                <m:sty m:val="p"/>
              </m:rPr>
              <m:t>∘</m:t>
            </m:r>
          </m:sup>
        </m:sSup>
        <m:r>
          <m:rPr>
            <m:nor/>
            <m:sty m:val="p"/>
          </m:rPr>
          <m:t>C</m:t>
        </m:r>
      </m:oMath>
      <w:r>
        <w:t xml:space="preserve"> </w:t>
      </w:r>
      <w:r>
        <w:t xml:space="preserve">for 72 h) were ground to fine powder. Samples (</w:t>
      </w:r>
      <m:oMath>
        <m:r>
          <m:t>100</m:t>
        </m:r>
        <m:r>
          <m:t> </m:t>
        </m:r>
        <m:r>
          <m:rPr>
            <m:nor/>
            <m:sty m:val="p"/>
          </m:rPr>
          <m:t>mg</m:t>
        </m:r>
      </m:oMath>
      <w:r>
        <w:t xml:space="preserve">) were digested in concentrated</w:t>
      </w:r>
      <w:r>
        <w:t xml:space="preserve"> </w:t>
      </w:r>
      <m:oMath>
        <m:sSub>
          <m:e>
            <m:r>
              <m:rPr>
                <m:nor/>
                <m:sty m:val="p"/>
              </m:rPr>
              <m:t>HNO</m:t>
            </m:r>
          </m:e>
          <m:sub>
            <m:r>
              <m:t>3</m:t>
            </m:r>
          </m:sub>
        </m:sSub>
        <m:r>
          <m:rPr>
            <m:nor/>
            <m:sty m:val="p"/>
          </m:rPr>
          <m:t>–</m:t>
        </m:r>
        <m:sSub>
          <m:e>
            <m:r>
              <m:rPr>
                <m:nor/>
                <m:sty m:val="p"/>
              </m:rPr>
              <m:t>HClO</m:t>
            </m:r>
          </m:e>
          <m:sub>
            <m:r>
              <m:t>4</m:t>
            </m:r>
          </m:sub>
        </m:sSub>
      </m:oMath>
      <w:r>
        <w:t xml:space="preserve"> </w:t>
      </w:r>
      <w:r>
        <w:t xml:space="preserve">(</w:t>
      </w:r>
      <m:oMath>
        <m:r>
          <m:t>4</m:t>
        </m:r>
        <m:r>
          <m:rPr>
            <m:sty m:val="p"/>
          </m:rPr>
          <m:t>:</m:t>
        </m:r>
        <m:r>
          <m:t>1</m:t>
        </m:r>
        <m:r>
          <m:t> </m:t>
        </m:r>
        <m:r>
          <m:rPr>
            <m:nor/>
            <m:sty m:val="p"/>
          </m:rPr>
          <m:t>v/v</m:t>
        </m:r>
      </m:oMath>
      <w:r>
        <w:t xml:space="preserve">) at</w:t>
      </w:r>
      <w:r>
        <w:t xml:space="preserve"> </w:t>
      </w:r>
      <m:oMath>
        <m:sSup>
          <m:e>
            <m:r>
              <m:t>210</m:t>
            </m:r>
          </m:e>
          <m:sup>
            <m:r>
              <m:rPr>
                <m:sty m:val="p"/>
              </m:rPr>
              <m:t>∘</m:t>
            </m:r>
          </m:sup>
        </m:sSup>
        <m:r>
          <m:rPr>
            <m:nor/>
            <m:sty m:val="p"/>
          </m:rPr>
          <m:t>C</m:t>
        </m:r>
      </m:oMath>
      <w:r>
        <w:t xml:space="preserve"> </w:t>
      </w:r>
      <w:r>
        <w:t xml:space="preserve">on an open-block digester. Total elemental phosphorus was quantified via the ammonium molybdate-ascorbic acid spectrophotometric method at</w:t>
      </w:r>
      <w:r>
        <w:t xml:space="preserve"> </w:t>
      </w:r>
      <m:oMath>
        <m:r>
          <m:t>882</m:t>
        </m:r>
        <m:r>
          <m:t> </m:t>
        </m:r>
        <m:r>
          <m:rPr>
            <m:nor/>
            <m:sty m:val="p"/>
          </m:rPr>
          <m:t>nm</m:t>
        </m:r>
      </m:oMath>
      <w:r>
        <w:t xml:space="preserve"> </w:t>
      </w:r>
      <w:r>
        <w:t xml:space="preserve">against certified potassium dihydrogen phosphate standards.</w:t>
      </w:r>
      <w:r>
        <w:t xml:space="preserve"> </w:t>
      </w:r>
      <w:r>
        <w:t xml:space="preserve">4.</w:t>
      </w:r>
      <w:r>
        <w:t xml:space="preserve"> </w:t>
      </w:r>
      <w:r>
        <w:rPr>
          <w:b/>
          <w:bCs/>
        </w:rPr>
        <w:t xml:space="preserve">Rhizosphere Strigolactone Quantification:</w:t>
      </w:r>
      <w:r>
        <w:t xml:space="preserve"> </w:t>
      </w:r>
      <w:r>
        <w:t xml:space="preserve">Pore-water exudate solution (</w:t>
      </w:r>
      <m:oMath>
        <m:r>
          <m:t>50</m:t>
        </m:r>
        <m:r>
          <m:t> </m:t>
        </m:r>
        <m:r>
          <m:rPr>
            <m:nor/>
            <m:sty m:val="p"/>
          </m:rPr>
          <m:t>mL</m:t>
        </m:r>
      </m:oMath>
      <w:r>
        <w:t xml:space="preserve">) was collected from the recipient compartment by gentle vacuum percolation, extracted via solid-phase extraction (Oasis HLB</w:t>
      </w:r>
      <w:r>
        <w:t xml:space="preserve"> </w:t>
      </w:r>
      <m:oMath>
        <m:r>
          <m:t>6</m:t>
        </m:r>
        <m:r>
          <m:t> </m:t>
        </m:r>
        <m:r>
          <m:rPr>
            <m:nor/>
            <m:sty m:val="p"/>
          </m:rPr>
          <m:t>cc</m:t>
        </m:r>
      </m:oMath>
      <w:r>
        <w:t xml:space="preserve"> </w:t>
      </w:r>
      <w:r>
        <w:t xml:space="preserve">cartridges), and eluted with ethyl acetate. Strigolactone concentrations were quantified via Liquid Chromatography-Tandem Mass Spectrometry (LC-MS/MS; Agilent 6490 Triple Quadrupole) operated in positive electrospray ionization (ESI+) mode monitoring transitions for 5-deoxystrigol (</w:t>
      </w:r>
      <m:oMath>
        <m:r>
          <m:t>m</m:t>
        </m:r>
        <m:r>
          <m:rPr>
            <m:sty m:val="p"/>
          </m:rPr>
          <m:t>/</m:t>
        </m:r>
        <m:r>
          <m:t>z</m:t>
        </m:r>
        <m:r>
          <m:t> </m:t>
        </m:r>
        <m:r>
          <m:t>331.2</m:t>
        </m:r>
        <m:r>
          <m:rPr>
            <m:sty m:val="p"/>
          </m:rPr>
          <m:t>→</m:t>
        </m:r>
        <m:r>
          <m:t>216.1</m:t>
        </m:r>
      </m:oMath>
      <w:r>
        <w:t xml:space="preserve">) and orobanchol (</w:t>
      </w:r>
      <m:oMath>
        <m:r>
          <m:t>m</m:t>
        </m:r>
        <m:r>
          <m:rPr>
            <m:sty m:val="p"/>
          </m:rPr>
          <m:t>/</m:t>
        </m:r>
        <m:r>
          <m:t>z</m:t>
        </m:r>
        <m:r>
          <m:t> </m:t>
        </m:r>
        <m:r>
          <m:t>347.2</m:t>
        </m:r>
        <m:r>
          <m:rPr>
            <m:sty m:val="p"/>
          </m:rPr>
          <m:t>→</m:t>
        </m:r>
        <m:r>
          <m:t>233.1</m:t>
        </m:r>
      </m:oMath>
      <w:r>
        <w:t xml:space="preserve">).</w:t>
      </w:r>
    </w:p>
    <w:bookmarkEnd w:id="17"/>
    <w:bookmarkStart w:id="18" w:name="X271878950b0dbb2d2456eddaf1b0bb0e3af95da"/>
    <w:p>
      <w:pPr>
        <w:pStyle w:val="Heading3"/>
      </w:pPr>
      <w:r>
        <w:t xml:space="preserve">3.4 The AREIL 8-Stage Holistic Statistical Modeling Pipeline</w:t>
      </w:r>
    </w:p>
    <w:p>
      <w:pPr>
        <w:pStyle w:val="FirstParagraph"/>
      </w:pPr>
      <w:r>
        <w:t xml:space="preserve">Statistical modeling strictly followed the AREIL 8-Stage Pipeline (</w:t>
      </w:r>
      <w:r>
        <w:rPr>
          <w:rStyle w:val="VerbatimChar"/>
        </w:rPr>
        <w:t xml:space="preserve">run_wheat_priming_lmm.R</w:t>
      </w:r>
      <w:r>
        <w:t xml:space="preserve">):</w:t>
      </w:r>
      <w:r>
        <w:t xml:space="preserve"> </w:t>
      </w:r>
      <w:r>
        <w:t xml:space="preserve">*</w:t>
      </w:r>
      <w:r>
        <w:t xml:space="preserve"> </w:t>
      </w:r>
      <w:r>
        <w:rPr>
          <w:b/>
          <w:bCs/>
        </w:rPr>
        <w:t xml:space="preserve">Stage 1 (Outcome / DGP):</w:t>
      </w:r>
      <w:r>
        <w:t xml:space="preserve"> </w:t>
      </w:r>
      <w:r>
        <w:t xml:space="preserve">Evaluated continuous positive responses: AM colonization percentage bounded in</w:t>
      </w:r>
      <w:r>
        <w:t xml:space="preserve"> </w:t>
      </w:r>
      <m:oMath>
        <m:r>
          <m:rPr>
            <m:sty m:val="p"/>
          </m:rPr>
          <m:t>[</m:t>
        </m:r>
        <m:r>
          <m:t>0</m:t>
        </m:r>
        <m:r>
          <m:rPr>
            <m:sty m:val="p"/>
          </m:rPr>
          <m:t>,</m:t>
        </m:r>
        <m:r>
          <m:t>100</m:t>
        </m:r>
        <m:r>
          <m:rPr>
            <m:sty m:val="p"/>
          </m:rPr>
          <m:t>]</m:t>
        </m:r>
      </m:oMath>
      <w:r>
        <w:t xml:space="preserve">,</w:t>
      </w:r>
      <w:r>
        <w:t xml:space="preserve"> </w:t>
      </w:r>
      <w:r>
        <w:rPr>
          <w:i/>
          <w:iCs/>
        </w:rPr>
        <w:t xml:space="preserve">TaPT4</w:t>
      </w:r>
      <w:r>
        <w:t xml:space="preserve"> </w:t>
      </w:r>
      <w:r>
        <w:t xml:space="preserve">relative fold induction, and tissue P concentration (</w:t>
      </w:r>
      <m:oMath>
        <m:r>
          <m:rPr>
            <m:nor/>
            <m:sty m:val="p"/>
          </m:rPr>
          <m:t>mg</m:t>
        </m:r>
        <m:r>
          <m:rPr>
            <m:sty m:val="p"/>
          </m:rPr>
          <m:t>⋅</m:t>
        </m:r>
        <m:sSup>
          <m:e>
            <m:r>
              <m:rPr>
                <m:nor/>
                <m:sty m:val="p"/>
              </m:rPr>
              <m:t>g</m:t>
            </m:r>
          </m:e>
          <m:sup>
            <m:r>
              <m:rPr>
                <m:sty m:val="p"/>
              </m:rPr>
              <m:t>−</m:t>
            </m:r>
            <m:r>
              <m:t>1</m:t>
            </m:r>
          </m:sup>
        </m:sSup>
      </m:oMath>
      <w:r>
        <w:t xml:space="preserve">).</w:t>
      </w:r>
      <w:r>
        <w:t xml:space="preserve"> </w:t>
      </w:r>
      <w:r>
        <w:t xml:space="preserve">*</w:t>
      </w:r>
      <w:r>
        <w:t xml:space="preserve"> </w:t>
      </w:r>
      <w:r>
        <w:rPr>
          <w:b/>
          <w:bCs/>
        </w:rPr>
        <w:t xml:space="preserve">Stage 2 (Design Structure):</w:t>
      </w:r>
      <w:r>
        <w:t xml:space="preserve"> </w:t>
      </w:r>
      <w:r>
        <w:t xml:space="preserve">4-Block factorial RCBD structure (</w:t>
      </w:r>
      <m:oMath>
        <m:r>
          <m:t>k</m:t>
        </m:r>
        <m:r>
          <m:rPr>
            <m:sty m:val="p"/>
          </m:rPr>
          <m:t>=</m:t>
        </m:r>
        <m:r>
          <m:t>4</m:t>
        </m:r>
      </m:oMath>
      <w:r>
        <w:t xml:space="preserve">,</w:t>
      </w:r>
      <w:r>
        <w:t xml:space="preserve"> </w:t>
      </w:r>
      <m:oMath>
        <m:r>
          <m:t>N</m:t>
        </m:r>
        <m:r>
          <m:rPr>
            <m:sty m:val="p"/>
          </m:rPr>
          <m:t>=</m:t>
        </m:r>
        <m:r>
          <m:t>432</m:t>
        </m:r>
      </m:oMath>
      <w:r>
        <w:t xml:space="preserve">).</w:t>
      </w:r>
      <w:r>
        <w:t xml:space="preserve"> </w:t>
      </w:r>
      <w:r>
        <w:t xml:space="preserve">*</w:t>
      </w:r>
      <w:r>
        <w:t xml:space="preserve"> </w:t>
      </w:r>
      <w:r>
        <w:rPr>
          <w:b/>
          <w:bCs/>
        </w:rPr>
        <w:t xml:space="preserve">Stage 3 (Clustering &amp; Hierarchy):</w:t>
      </w:r>
      <w:r>
        <w:t xml:space="preserve"> </w:t>
      </w:r>
      <w:r>
        <w:t xml:space="preserve">Microcosms were nested within environmental growth chamber blocks, with Block modeled as a random intercept:</w:t>
      </w:r>
      <w:r>
        <w:t xml:space="preserve"> </w:t>
      </w:r>
      <m:oMath>
        <m:r>
          <m:rPr>
            <m:sty m:val="p"/>
          </m:rPr>
          <m:t>(</m:t>
        </m:r>
        <m:r>
          <m:t>1</m:t>
        </m:r>
        <m:r>
          <m:rPr>
            <m:sty m:val="p"/>
          </m:rPr>
          <m:t>|</m:t>
        </m:r>
        <m:r>
          <m:rPr>
            <m:nor/>
            <m:sty m:val="p"/>
          </m:rPr>
          <m:t>block</m:t>
        </m:r>
        <m:r>
          <m:rPr>
            <m:sty m:val="p"/>
          </m:rPr>
          <m:t>)</m:t>
        </m:r>
      </m:oMath>
      <w:r>
        <w:t xml:space="preserve">.</w:t>
      </w:r>
      <w:r>
        <w:t xml:space="preserve"> </w:t>
      </w:r>
      <w:r>
        <w:t xml:space="preserve">*</w:t>
      </w:r>
      <w:r>
        <w:t xml:space="preserve"> </w:t>
      </w:r>
      <w:r>
        <w:rPr>
          <w:b/>
          <w:bCs/>
        </w:rPr>
        <w:t xml:space="preserve">Stage 4 (Model Formulation):</w:t>
      </w:r>
    </w:p>
    <w:p>
      <w:pPr>
        <w:pStyle w:val="BodyText"/>
      </w:pPr>
      <m:oMathPara>
        <m:oMathParaPr>
          <m:jc m:val="center"/>
        </m:oMathParaPr>
        <m:oMath>
          <m:sSub>
            <m:e>
              <m:r>
                <m:t>Y</m:t>
              </m:r>
            </m:e>
            <m:sub>
              <m:r>
                <m:t>i</m:t>
              </m:r>
              <m:r>
                <m:t>j</m:t>
              </m:r>
              <m:r>
                <m:t>k</m:t>
              </m:r>
              <m:r>
                <m:t>l</m:t>
              </m:r>
              <m:r>
                <m:t>m</m:t>
              </m:r>
            </m:sub>
          </m:sSub>
          <m:r>
            <m:rPr>
              <m:sty m:val="p"/>
            </m:rPr>
            <m:t>=</m:t>
          </m:r>
          <m:r>
            <m:t>μ</m:t>
          </m:r>
          <m:r>
            <m:rPr>
              <m:sty m:val="p"/>
            </m:rPr>
            <m:t>+</m:t>
          </m:r>
          <m:sSub>
            <m:e>
              <m:r>
                <m:t>α</m:t>
              </m:r>
            </m:e>
            <m:sub>
              <m:r>
                <m:t>i</m:t>
              </m:r>
            </m:sub>
          </m:sSub>
          <m:r>
            <m:rPr>
              <m:sty m:val="p"/>
            </m:rPr>
            <m:t>+</m:t>
          </m:r>
          <m:sSub>
            <m:e>
              <m:r>
                <m:t>β</m:t>
              </m:r>
            </m:e>
            <m:sub>
              <m:r>
                <m:t>j</m:t>
              </m:r>
            </m:sub>
          </m:sSub>
          <m:r>
            <m:rPr>
              <m:sty m:val="p"/>
            </m:rPr>
            <m:t>+</m:t>
          </m:r>
          <m:sSub>
            <m:e>
              <m:r>
                <m:t>γ</m:t>
              </m:r>
            </m:e>
            <m:sub>
              <m:r>
                <m:t>k</m:t>
              </m:r>
            </m:sub>
          </m:sSub>
          <m:r>
            <m:rPr>
              <m:sty m:val="p"/>
            </m:rPr>
            <m:t>+</m:t>
          </m:r>
          <m:r>
            <m:rPr>
              <m:sty m:val="p"/>
            </m:rPr>
            <m:t>(</m:t>
          </m:r>
          <m:r>
            <m:t>α</m:t>
          </m:r>
          <m:r>
            <m:t>β</m:t>
          </m:r>
          <m:sSub>
            <m:e>
              <m:r>
                <m:rPr>
                  <m:sty m:val="p"/>
                </m:rPr>
                <m:t>)</m:t>
              </m:r>
            </m:e>
            <m:sub>
              <m:r>
                <m:t>i</m:t>
              </m:r>
              <m:r>
                <m:t>j</m:t>
              </m:r>
            </m:sub>
          </m:sSub>
          <m:r>
            <m:rPr>
              <m:sty m:val="p"/>
            </m:rPr>
            <m:t>+</m:t>
          </m:r>
          <m:r>
            <m:rPr>
              <m:sty m:val="p"/>
            </m:rPr>
            <m:t>(</m:t>
          </m:r>
          <m:r>
            <m:t>α</m:t>
          </m:r>
          <m:r>
            <m:t>γ</m:t>
          </m:r>
          <m:sSub>
            <m:e>
              <m:r>
                <m:rPr>
                  <m:sty m:val="p"/>
                </m:rPr>
                <m:t>)</m:t>
              </m:r>
            </m:e>
            <m:sub>
              <m:r>
                <m:t>i</m:t>
              </m:r>
              <m:r>
                <m:t>k</m:t>
              </m:r>
            </m:sub>
          </m:sSub>
          <m:r>
            <m:rPr>
              <m:sty m:val="p"/>
            </m:rPr>
            <m:t>+</m:t>
          </m:r>
          <m:r>
            <m:rPr>
              <m:sty m:val="p"/>
            </m:rPr>
            <m:t>(</m:t>
          </m:r>
          <m:r>
            <m:t>β</m:t>
          </m:r>
          <m:r>
            <m:t>γ</m:t>
          </m:r>
          <m:sSub>
            <m:e>
              <m:r>
                <m:rPr>
                  <m:sty m:val="p"/>
                </m:rPr>
                <m:t>)</m:t>
              </m:r>
            </m:e>
            <m:sub>
              <m:r>
                <m:t>j</m:t>
              </m:r>
              <m:r>
                <m:t>k</m:t>
              </m:r>
            </m:sub>
          </m:sSub>
          <m:r>
            <m:rPr>
              <m:sty m:val="p"/>
            </m:rPr>
            <m:t>+</m:t>
          </m:r>
          <m:r>
            <m:rPr>
              <m:sty m:val="p"/>
            </m:rPr>
            <m:t>(</m:t>
          </m:r>
          <m:r>
            <m:t>α</m:t>
          </m:r>
          <m:r>
            <m:t>β</m:t>
          </m:r>
          <m:r>
            <m:t>γ</m:t>
          </m:r>
          <m:sSub>
            <m:e>
              <m:r>
                <m:rPr>
                  <m:sty m:val="p"/>
                </m:rPr>
                <m:t>)</m:t>
              </m:r>
            </m:e>
            <m:sub>
              <m:r>
                <m:t>i</m:t>
              </m:r>
              <m:r>
                <m:t>j</m:t>
              </m:r>
              <m:r>
                <m:t>k</m:t>
              </m:r>
            </m:sub>
          </m:sSub>
          <m:r>
            <m:rPr>
              <m:sty m:val="p"/>
            </m:rPr>
            <m:t>+</m:t>
          </m:r>
          <m:sSub>
            <m:e>
              <m:r>
                <m:t>b</m:t>
              </m:r>
            </m:e>
            <m:sub>
              <m:r>
                <m:t>l</m:t>
              </m:r>
            </m:sub>
          </m:sSub>
          <m:r>
            <m:rPr>
              <m:sty m:val="p"/>
            </m:rPr>
            <m:t>+</m:t>
          </m:r>
          <m:sSub>
            <m:e>
              <m:r>
                <m:t>ϵ</m:t>
              </m:r>
            </m:e>
            <m:sub>
              <m:r>
                <m:t>i</m:t>
              </m:r>
              <m:r>
                <m:t>j</m:t>
              </m:r>
              <m:r>
                <m:t>k</m:t>
              </m:r>
              <m:r>
                <m:t>l</m:t>
              </m:r>
              <m:r>
                <m:t>m</m:t>
              </m:r>
            </m:sub>
          </m:sSub>
        </m:oMath>
      </m:oMathPara>
    </w:p>
    <w:p>
      <w:pPr>
        <w:pStyle w:val="FirstParagraph"/>
      </w:pPr>
      <w:r>
        <w:t xml:space="preserve">where</w:t>
      </w:r>
      <w:r>
        <w:t xml:space="preserve"> </w:t>
      </w:r>
      <m:oMath>
        <m:sSub>
          <m:e>
            <m:r>
              <m:t>α</m:t>
            </m:r>
          </m:e>
          <m:sub>
            <m:r>
              <m:t>i</m:t>
            </m:r>
          </m:sub>
        </m:sSub>
      </m:oMath>
      <w:r>
        <w:t xml:space="preserve"> </w:t>
      </w:r>
      <w:r>
        <w:t xml:space="preserve">is Donor Regime,</w:t>
      </w:r>
      <w:r>
        <w:t xml:space="preserve"> </w:t>
      </w:r>
      <m:oMath>
        <m:sSub>
          <m:e>
            <m:r>
              <m:t>β</m:t>
            </m:r>
          </m:e>
          <m:sub>
            <m:r>
              <m:t>j</m:t>
            </m:r>
          </m:sub>
        </m:sSub>
      </m:oMath>
      <w:r>
        <w:t xml:space="preserve"> </w:t>
      </w:r>
      <w:r>
        <w:t xml:space="preserve">is Barrier Mode,</w:t>
      </w:r>
      <w:r>
        <w:t xml:space="preserve"> </w:t>
      </w:r>
      <m:oMath>
        <m:sSub>
          <m:e>
            <m:r>
              <m:t>γ</m:t>
            </m:r>
          </m:e>
          <m:sub>
            <m:r>
              <m:t>k</m:t>
            </m:r>
          </m:sub>
        </m:sSub>
      </m:oMath>
      <w:r>
        <w:t xml:space="preserve"> </w:t>
      </w:r>
      <w:r>
        <w:t xml:space="preserve">is Recipient Genotype,</w:t>
      </w:r>
      <w:r>
        <w:t xml:space="preserve"> </w:t>
      </w:r>
      <m:oMath>
        <m:sSub>
          <m:e>
            <m:r>
              <m:t>b</m:t>
            </m:r>
          </m:e>
          <m:sub>
            <m:r>
              <m:t>l</m:t>
            </m:r>
          </m:sub>
        </m:sSub>
        <m:r>
          <m:rPr>
            <m:sty m:val="p"/>
          </m:rPr>
          <m:t>∼</m:t>
        </m:r>
        <m:r>
          <m:rPr>
            <m:scr m:val="script"/>
            <m:sty m:val="p"/>
          </m:rPr>
          <m:t>N</m:t>
        </m:r>
        <m:r>
          <m:rPr>
            <m:sty m:val="p"/>
          </m:rPr>
          <m:t>(</m:t>
        </m:r>
        <m:r>
          <m:t>0</m:t>
        </m:r>
        <m:r>
          <m:rPr>
            <m:sty m:val="p"/>
          </m:rPr>
          <m:t>,</m:t>
        </m:r>
        <m:sSubSup>
          <m:e>
            <m:r>
              <m:t>σ</m:t>
            </m:r>
          </m:e>
          <m:sub>
            <m:r>
              <m:t>b</m:t>
            </m:r>
          </m:sub>
          <m:sup>
            <m:r>
              <m:t>2</m:t>
            </m:r>
          </m:sup>
        </m:sSubSup>
        <m:r>
          <m:rPr>
            <m:sty m:val="p"/>
          </m:rPr>
          <m:t>)</m:t>
        </m:r>
      </m:oMath>
      <w:r>
        <w:t xml:space="preserve"> </w:t>
      </w:r>
      <w:r>
        <w:t xml:space="preserve">is the Block random intercept, and</w:t>
      </w:r>
      <w:r>
        <w:t xml:space="preserve"> </w:t>
      </w:r>
      <m:oMath>
        <m:sSub>
          <m:e>
            <m:r>
              <m:t>ϵ</m:t>
            </m:r>
          </m:e>
          <m:sub>
            <m:r>
              <m:t>i</m:t>
            </m:r>
            <m:r>
              <m:t>j</m:t>
            </m:r>
            <m:r>
              <m:t>k</m:t>
            </m:r>
            <m:r>
              <m:t>l</m:t>
            </m:r>
            <m:r>
              <m:t>m</m:t>
            </m:r>
          </m:sub>
        </m:sSub>
        <m:r>
          <m:rPr>
            <m:sty m:val="p"/>
          </m:rPr>
          <m:t>∼</m:t>
        </m:r>
        <m:r>
          <m:rPr>
            <m:scr m:val="script"/>
            <m:sty m:val="p"/>
          </m:rPr>
          <m:t>N</m:t>
        </m:r>
        <m:r>
          <m:rPr>
            <m:sty m:val="p"/>
          </m:rPr>
          <m:t>(</m:t>
        </m:r>
        <m:r>
          <m:t>0</m:t>
        </m:r>
        <m:r>
          <m:rPr>
            <m:sty m:val="p"/>
          </m:rPr>
          <m:t>,</m:t>
        </m:r>
        <m:sSubSup>
          <m:e>
            <m:r>
              <m:t>σ</m:t>
            </m:r>
          </m:e>
          <m:sub>
            <m:r>
              <m:t>e</m:t>
            </m:r>
          </m:sub>
          <m:sup>
            <m:r>
              <m:t>2</m:t>
            </m:r>
          </m:sup>
        </m:sSubSup>
        <m:r>
          <m:rPr>
            <m:sty m:val="p"/>
          </m:rPr>
          <m:t>)</m:t>
        </m:r>
      </m:oMath>
      <w:r>
        <w:t xml:space="preserve"> </w:t>
      </w:r>
      <w:r>
        <w:t xml:space="preserve">is residual error.</w:t>
      </w:r>
      <w:r>
        <w:t xml:space="preserve"> </w:t>
      </w:r>
      <w:r>
        <w:t xml:space="preserve">*</w:t>
      </w:r>
      <w:r>
        <w:t xml:space="preserve"> </w:t>
      </w:r>
      <w:r>
        <w:rPr>
          <w:b/>
          <w:bCs/>
        </w:rPr>
        <w:t xml:space="preserve">Stage 5 (Fit &amp; Convergence):</w:t>
      </w:r>
      <w:r>
        <w:t xml:space="preserve"> </w:t>
      </w:r>
      <w:r>
        <w:t xml:space="preserve">Fitted via Restricted Maximum Likelihood (REML) in R 4.6.1 using</w:t>
      </w:r>
      <w:r>
        <w:t xml:space="preserve"> </w:t>
      </w:r>
      <w:r>
        <w:rPr>
          <w:rStyle w:val="VerbatimChar"/>
        </w:rPr>
        <w:t xml:space="preserve">lme4</w:t>
      </w:r>
      <w:r>
        <w:t xml:space="preserve"> </w:t>
      </w:r>
      <w:r>
        <w:t xml:space="preserve">and</w:t>
      </w:r>
      <w:r>
        <w:t xml:space="preserve"> </w:t>
      </w:r>
      <w:r>
        <w:rPr>
          <w:rStyle w:val="VerbatimChar"/>
        </w:rPr>
        <w:t xml:space="preserve">lmerTest</w:t>
      </w:r>
      <w:r>
        <w:t xml:space="preserve">.</w:t>
      </w:r>
      <w:r>
        <w:t xml:space="preserve"> </w:t>
      </w:r>
      <w:r>
        <w:t xml:space="preserve">*</w:t>
      </w:r>
      <w:r>
        <w:t xml:space="preserve"> </w:t>
      </w:r>
      <w:r>
        <w:rPr>
          <w:b/>
          <w:bCs/>
        </w:rPr>
        <w:t xml:space="preserve">Stage 6 (Diagnostics):</w:t>
      </w:r>
      <w:r>
        <w:t xml:space="preserve"> </w:t>
      </w:r>
      <w:r>
        <w:t xml:space="preserve">Evaluated residual normality via Shapiro-Wilk testing, inspected residuals versus fitted values for heteroscedasticity, and partitioned variance components (Intraclass Correlation Coefficient, ICC).</w:t>
      </w:r>
      <w:r>
        <w:t xml:space="preserve"> </w:t>
      </w:r>
      <w:r>
        <w:t xml:space="preserve">*</w:t>
      </w:r>
      <w:r>
        <w:t xml:space="preserve"> </w:t>
      </w:r>
      <w:r>
        <w:rPr>
          <w:b/>
          <w:bCs/>
        </w:rPr>
        <w:t xml:space="preserve">Stage 7 (Sensitivity):</w:t>
      </w:r>
      <w:r>
        <w:t xml:space="preserve"> </w:t>
      </w:r>
      <w:r>
        <w:t xml:space="preserve">Compared the blocked LMM against an unblocked Ordinary Least Squares (OLS) model via the Akaike Information Criterion (AIC).</w:t>
      </w:r>
      <w:r>
        <w:t xml:space="preserve"> </w:t>
      </w:r>
      <w:r>
        <w:t xml:space="preserve">*</w:t>
      </w:r>
      <w:r>
        <w:t xml:space="preserve"> </w:t>
      </w:r>
      <w:r>
        <w:rPr>
          <w:b/>
          <w:bCs/>
        </w:rPr>
        <w:t xml:space="preserve">Stage 8 (Calibrated Inference):</w:t>
      </w:r>
      <w:r>
        <w:t xml:space="preserve"> </w:t>
      </w:r>
      <w:r>
        <w:t xml:space="preserve">Type III Analysis of Variance tables were computed using Kenward-Roger adjusted degrees of freedom (</w:t>
      </w:r>
      <w:r>
        <w:rPr>
          <w:rStyle w:val="VerbatimChar"/>
        </w:rPr>
        <w:t xml:space="preserve">ddf = "Kenward-Roger"</w:t>
      </w:r>
      <w:r>
        <w:t xml:space="preserve">). Planned orthogonal hypothesis contrasts were evaluated using</w:t>
      </w:r>
      <w:r>
        <w:t xml:space="preserve"> </w:t>
      </w:r>
      <w:r>
        <w:rPr>
          <w:rStyle w:val="VerbatimChar"/>
        </w:rPr>
        <w:t xml:space="preserve">emmeans</w:t>
      </w:r>
      <w:r>
        <w:t xml:space="preserve">.</w:t>
      </w:r>
    </w:p>
    <w:p>
      <w:r>
        <w:pict>
          <v:rect style="width:0;height:1.5pt" o:hralign="center" o:hrstd="t" o:hr="t"/>
        </w:pict>
      </w:r>
    </w:p>
    <w:bookmarkEnd w:id="18"/>
    <w:bookmarkEnd w:id="19"/>
    <w:bookmarkStart w:id="40" w:name="results"/>
    <w:p>
      <w:pPr>
        <w:pStyle w:val="Heading2"/>
      </w:pPr>
      <w:r>
        <w:t xml:space="preserve">4 Results</w:t>
      </w:r>
    </w:p>
    <w:bookmarkStart w:id="20" w:name="X385ae8aa89a1f4cfc50164b422baccad910b151"/>
    <w:p>
      <w:pPr>
        <w:pStyle w:val="Heading3"/>
      </w:pPr>
      <w:r>
        <w:t xml:space="preserve">4.1 Donor Phosphorus Starvation Drives Rhizosphere Strigolactone Broadcast</w:t>
      </w:r>
    </w:p>
    <w:p>
      <w:pPr>
        <w:pStyle w:val="FirstParagraph"/>
      </w:pPr>
      <w:r>
        <w:t xml:space="preserve">LC-MS/MS profiling of rhizosphere pore water confirmed that donor phosphorus starvation (</w:t>
      </w:r>
      <m:oMath>
        <m:r>
          <m:rPr>
            <m:sty m:val="p"/>
          </m:rPr>
          <m:t>−</m:t>
        </m:r>
        <m:r>
          <m:rPr>
            <m:nor/>
            <m:sty m:val="p"/>
          </m:rPr>
          <m:t>Pi</m:t>
        </m:r>
      </m:oMath>
      <w:r>
        <w:t xml:space="preserve">,</w:t>
      </w:r>
      <w:r>
        <w:t xml:space="preserve"> </w:t>
      </w:r>
      <m:oMath>
        <m:r>
          <m:t>2</m:t>
        </m:r>
        <m:r>
          <m:t> </m:t>
        </m:r>
        <m:r>
          <m:t>μ</m:t>
        </m:r>
        <m:r>
          <m:rPr>
            <m:nor/>
            <m:sty m:val="p"/>
          </m:rPr>
          <m:t>M</m:t>
        </m:r>
      </m:oMath>
      <w:r>
        <w:t xml:space="preserve">) triggered high exudation of strigolactones, resulting in substantial accumulation in the recipient compartment across permeable barriers. Under the</w:t>
      </w:r>
      <w:r>
        <w:t xml:space="preserve"> </w:t>
      </w:r>
      <m:oMath>
        <m:r>
          <m:t>0.45</m:t>
        </m:r>
        <m:r>
          <m:t> </m:t>
        </m:r>
        <m:r>
          <m:t>μ</m:t>
        </m:r>
        <m:r>
          <m:rPr>
            <m:nor/>
            <m:sty m:val="p"/>
          </m:rPr>
          <m:t>m</m:t>
        </m:r>
      </m:oMath>
      <w:r>
        <w:t xml:space="preserve"> </w:t>
      </w:r>
      <w:r>
        <w:t xml:space="preserve">microporous membrane (M1_Membrane), rhizosphere strigolactone concentration reached an average of</w:t>
      </w:r>
      <w:r>
        <w:t xml:space="preserve"> </w:t>
      </w:r>
      <m:oMath>
        <m:r>
          <m:t>6.42</m:t>
        </m:r>
        <m:r>
          <m:t> </m:t>
        </m:r>
        <m:r>
          <m:rPr>
            <m:nor/>
            <m:sty m:val="p"/>
          </m:rPr>
          <m:t>pmol</m:t>
        </m:r>
        <m:r>
          <m:rPr>
            <m:sty m:val="p"/>
          </m:rPr>
          <m:t>⋅</m:t>
        </m:r>
        <m:sSup>
          <m:e>
            <m:r>
              <m:rPr>
                <m:nor/>
                <m:sty m:val="p"/>
              </m:rPr>
              <m:t>g</m:t>
            </m:r>
          </m:e>
          <m:sup>
            <m:r>
              <m:rPr>
                <m:sty m:val="p"/>
              </m:rPr>
              <m:t>−</m:t>
            </m:r>
            <m:r>
              <m:t>1</m:t>
            </m:r>
          </m:sup>
        </m:sSup>
      </m:oMath>
      <w:r>
        <w:t xml:space="preserve"> </w:t>
      </w:r>
      <w:r>
        <w:t xml:space="preserve">substrate in recipient pore water when donor wheat was P-starved, compared to</w:t>
      </w:r>
      <w:r>
        <w:t xml:space="preserve"> </w:t>
      </w:r>
      <m:oMath>
        <m:r>
          <m:t>0.42</m:t>
        </m:r>
        <m:r>
          <m:t> </m:t>
        </m:r>
        <m:r>
          <m:rPr>
            <m:nor/>
            <m:sty m:val="p"/>
          </m:rPr>
          <m:t>pmol</m:t>
        </m:r>
        <m:r>
          <m:rPr>
            <m:sty m:val="p"/>
          </m:rPr>
          <m:t>⋅</m:t>
        </m:r>
        <m:sSup>
          <m:e>
            <m:r>
              <m:rPr>
                <m:nor/>
                <m:sty m:val="p"/>
              </m:rPr>
              <m:t>g</m:t>
            </m:r>
          </m:e>
          <m:sup>
            <m:r>
              <m:rPr>
                <m:sty m:val="p"/>
              </m:rPr>
              <m:t>−</m:t>
            </m:r>
            <m:r>
              <m:t>1</m:t>
            </m:r>
          </m:sup>
        </m:sSup>
      </m:oMath>
      <w:r>
        <w:t xml:space="preserve"> </w:t>
      </w:r>
      <w:r>
        <w:t xml:space="preserve">when the donor was P-replete. Supplementation of donor nutrient solution with</w:t>
      </w:r>
      <w:r>
        <w:t xml:space="preserve"> </w:t>
      </w:r>
      <m:oMath>
        <m:r>
          <m:t>1</m:t>
        </m:r>
        <m:r>
          <m:t> </m:t>
        </m:r>
        <m:r>
          <m:t>μ</m:t>
        </m:r>
        <m:r>
          <m:rPr>
            <m:nor/>
            <m:sty m:val="p"/>
          </m:rPr>
          <m:t>M</m:t>
        </m:r>
      </m:oMath>
      <w:r>
        <w:t xml:space="preserve"> </w:t>
      </w:r>
      <w:r>
        <w:t xml:space="preserve">Tis-108 effectively suppressed strigolactone exudation, reducing recipient rhizosphere concentrations to</w:t>
      </w:r>
      <w:r>
        <w:t xml:space="preserve"> </w:t>
      </w:r>
      <m:oMath>
        <m:r>
          <m:t>1.15</m:t>
        </m:r>
        <m:r>
          <m:t> </m:t>
        </m:r>
        <m:r>
          <m:rPr>
            <m:nor/>
            <m:sty m:val="p"/>
          </m:rPr>
          <m:t>pmol</m:t>
        </m:r>
        <m:r>
          <m:rPr>
            <m:sty m:val="p"/>
          </m:rPr>
          <m:t>⋅</m:t>
        </m:r>
        <m:sSup>
          <m:e>
            <m:r>
              <m:rPr>
                <m:nor/>
                <m:sty m:val="p"/>
              </m:rPr>
              <m:t>g</m:t>
            </m:r>
          </m:e>
          <m:sup>
            <m:r>
              <m:rPr>
                <m:sty m:val="p"/>
              </m:rPr>
              <m:t>−</m:t>
            </m:r>
            <m:r>
              <m:t>1</m:t>
            </m:r>
          </m:sup>
        </m:sSup>
      </m:oMath>
      <w:r>
        <w:t xml:space="preserve">. Under the solid barrier (M0_Solid), recipient strigolactone levels remained at background baseline (</w:t>
      </w:r>
      <m:oMath>
        <m:r>
          <m:t>0.25</m:t>
        </m:r>
        <m:r>
          <m:t> </m:t>
        </m:r>
        <m:r>
          <m:rPr>
            <m:nor/>
            <m:sty m:val="p"/>
          </m:rPr>
          <m:t>pmol</m:t>
        </m:r>
        <m:r>
          <m:rPr>
            <m:sty m:val="p"/>
          </m:rPr>
          <m:t>⋅</m:t>
        </m:r>
        <m:sSup>
          <m:e>
            <m:r>
              <m:rPr>
                <m:nor/>
                <m:sty m:val="p"/>
              </m:rPr>
              <m:t>g</m:t>
            </m:r>
          </m:e>
          <m:sup>
            <m:r>
              <m:rPr>
                <m:sty m:val="p"/>
              </m:rPr>
              <m:t>−</m:t>
            </m:r>
            <m:r>
              <m:t>1</m:t>
            </m:r>
          </m:sup>
        </m:sSup>
      </m:oMath>
      <w:r>
        <w:t xml:space="preserve">), verifying the physical hermeticity of the partition.</w:t>
      </w:r>
    </w:p>
    <w:bookmarkEnd w:id="20"/>
    <w:bookmarkStart w:id="27" w:name="X0a5028cb583c464f3b7c3bcc8e6725c756c3bc5"/>
    <w:p>
      <w:pPr>
        <w:pStyle w:val="Heading3"/>
      </w:pPr>
      <w:r>
        <w:t xml:space="preserve">4.2 Diffusible Strigolactone Broadcast Primes Mycorrhizal Colonization</w:t>
      </w:r>
    </w:p>
    <w:p>
      <w:pPr>
        <w:pStyle w:val="FirstParagraph"/>
      </w:pPr>
      <w:r>
        <w:t xml:space="preserve">The 8-Stage Linear Mixed-Effects Model revealed highly significant main effects of Donor Regime (</w:t>
      </w:r>
      <m:oMath>
        <m:r>
          <m:t>F</m:t>
        </m:r>
        <m:r>
          <m:rPr>
            <m:sty m:val="p"/>
          </m:rPr>
          <m:t>=</m:t>
        </m:r>
        <m:r>
          <m:t>850.62</m:t>
        </m:r>
      </m:oMath>
      <w:r>
        <w:t xml:space="preserve">,</w:t>
      </w:r>
      <w:r>
        <w:t xml:space="preserve"> </w:t>
      </w:r>
      <m:oMath>
        <m:r>
          <m:t>P</m:t>
        </m:r>
        <m:r>
          <m:rPr>
            <m:sty m:val="p"/>
          </m:rPr>
          <m:t>&lt;</m:t>
        </m:r>
        <m:r>
          <m:t>2.2</m:t>
        </m:r>
        <m:r>
          <m:rPr>
            <m:sty m:val="p"/>
          </m:rPr>
          <m:t>×</m:t>
        </m:r>
        <m:sSup>
          <m:e>
            <m:r>
              <m:t>10</m:t>
            </m:r>
          </m:e>
          <m:sup>
            <m:r>
              <m:rPr>
                <m:sty m:val="p"/>
              </m:rPr>
              <m:t>−</m:t>
            </m:r>
            <m:r>
              <m:t>16</m:t>
            </m:r>
          </m:sup>
        </m:sSup>
      </m:oMath>
      <w:r>
        <w:t xml:space="preserve">), Barrier Mode (</w:t>
      </w:r>
      <m:oMath>
        <m:r>
          <m:t>F</m:t>
        </m:r>
        <m:r>
          <m:rPr>
            <m:sty m:val="p"/>
          </m:rPr>
          <m:t>=</m:t>
        </m:r>
        <m:r>
          <m:t>627.01</m:t>
        </m:r>
      </m:oMath>
      <w:r>
        <w:t xml:space="preserve">,</w:t>
      </w:r>
      <w:r>
        <w:t xml:space="preserve"> </w:t>
      </w:r>
      <m:oMath>
        <m:r>
          <m:t>P</m:t>
        </m:r>
        <m:r>
          <m:rPr>
            <m:sty m:val="p"/>
          </m:rPr>
          <m:t>&lt;</m:t>
        </m:r>
        <m:r>
          <m:t>2.2</m:t>
        </m:r>
        <m:r>
          <m:rPr>
            <m:sty m:val="p"/>
          </m:rPr>
          <m:t>×</m:t>
        </m:r>
        <m:sSup>
          <m:e>
            <m:r>
              <m:t>10</m:t>
            </m:r>
          </m:e>
          <m:sup>
            <m:r>
              <m:rPr>
                <m:sty m:val="p"/>
              </m:rPr>
              <m:t>−</m:t>
            </m:r>
            <m:r>
              <m:t>16</m:t>
            </m:r>
          </m:sup>
        </m:sSup>
      </m:oMath>
      <w:r>
        <w:t xml:space="preserve">), and Recipient Genotype (</w:t>
      </w:r>
      <m:oMath>
        <m:r>
          <m:t>F</m:t>
        </m:r>
        <m:r>
          <m:rPr>
            <m:sty m:val="p"/>
          </m:rPr>
          <m:t>=</m:t>
        </m:r>
        <m:r>
          <m:t>863</m:t>
        </m:r>
      </m:oMath>
      <w:r>
        <w:t xml:space="preserve">,</w:t>
      </w:r>
      <w:r>
        <w:t xml:space="preserve"> </w:t>
      </w:r>
      <m:oMath>
        <m:r>
          <m:t>P</m:t>
        </m:r>
        <m:r>
          <m:rPr>
            <m:sty m:val="p"/>
          </m:rPr>
          <m:t>&lt;</m:t>
        </m:r>
        <m:r>
          <m:t>2.2</m:t>
        </m:r>
        <m:r>
          <m:rPr>
            <m:sty m:val="p"/>
          </m:rPr>
          <m:t>×</m:t>
        </m:r>
        <m:sSup>
          <m:e>
            <m:r>
              <m:t>10</m:t>
            </m:r>
          </m:e>
          <m:sup>
            <m:r>
              <m:rPr>
                <m:sty m:val="p"/>
              </m:rPr>
              <m:t>−</m:t>
            </m:r>
            <m:r>
              <m:t>16</m:t>
            </m:r>
          </m:sup>
        </m:sSup>
      </m:oMath>
      <w:r>
        <w:t xml:space="preserve">), as well as a significant three-way interaction (</w:t>
      </w:r>
      <m:oMath>
        <m:r>
          <m:t>F</m:t>
        </m:r>
        <m:r>
          <m:rPr>
            <m:sty m:val="p"/>
          </m:rPr>
          <m:t>=</m:t>
        </m:r>
        <m:r>
          <m:t>126.48</m:t>
        </m:r>
      </m:oMath>
      <w:r>
        <w:t xml:space="preserve">,</w:t>
      </w:r>
      <w:r>
        <w:t xml:space="preserve"> </w:t>
      </w:r>
      <m:oMath>
        <m:r>
          <m:t>P</m:t>
        </m:r>
        <m:r>
          <m:rPr>
            <m:sty m:val="p"/>
          </m:rPr>
          <m:t>=</m:t>
        </m:r>
        <m:r>
          <m:t>2.78</m:t>
        </m:r>
        <m:r>
          <m:rPr>
            <m:sty m:val="p"/>
          </m:rPr>
          <m:t>×</m:t>
        </m:r>
        <m:sSup>
          <m:e>
            <m:r>
              <m:t>10</m:t>
            </m:r>
          </m:e>
          <m:sup>
            <m:r>
              <m:rPr>
                <m:sty m:val="p"/>
              </m:rPr>
              <m:t>−</m:t>
            </m:r>
            <m:r>
              <m:t>70</m:t>
            </m:r>
          </m:sup>
        </m:sSup>
      </m:oMath>
      <w:r>
        <w:t xml:space="preserve">;</w:t>
      </w:r>
      <w:r>
        <w:t xml:space="preserve"> </w:t>
      </w:r>
      <w:hyperlink w:anchor="tbl-anova">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tbl-anova"/>
          <w:p>
            <w:pPr>
              <w:jc w:val="center"/>
            </w:pPr>
            <w:pPr>
              <w:jc w:val="left"/>
              <w:spacing w:before="200"/>
              <w:pStyle w:val="ImageCaption"/>
            </w:pPr>
            <w:r>
              <w:t xml:space="preserve">Table 1: Type III Analysis of Variance Table with Kenward-Roger Adjusted Degrees of Freedom for Recipient Arbuscular Mycorrhizal Colonization (%).</w:t>
            </w:r>
          </w:p>
          <w:tbl>
            <w:tblPr>
              <w:tblStyle w:val="Table"/>
              <w:tblW w:type="pct" w:w="5000"/>
              <w:tblLayout w:type="fixed"/>
              <w:tblLook w:firstRow="1" w:lastRow="0" w:firstColumn="0" w:lastColumn="0" w:noHBand="0" w:noVBand="0" w:val="0020"/>
            </w:tblPr>
            <w:tblGrid>
              <w:gridCol w:w="1073"/>
              <w:gridCol w:w="1073"/>
              <w:gridCol w:w="1208"/>
              <w:gridCol w:w="1073"/>
              <w:gridCol w:w="1073"/>
              <w:gridCol w:w="1208"/>
              <w:gridCol w:w="1208"/>
            </w:tblGrid>
            <w:tr>
              <w:trPr>
                <w:tblHeader w:val="on"/>
              </w:trPr>
              <w:tc>
                <w:tcPr/>
                <w:p>
                  <w:pPr>
                    <w:pStyle w:val="Compact"/>
                    <w:jc w:val="left"/>
                    <w:jc w:val="center"/>
                  </w:pPr>
                  <w:r>
                    <w:t xml:space="preserve">Effect</w:t>
                  </w:r>
                </w:p>
              </w:tc>
              <w:tc>
                <w:tcPr/>
                <w:p>
                  <w:pPr>
                    <w:pStyle w:val="Compact"/>
                    <w:jc w:val="right"/>
                    <w:jc w:val="center"/>
                  </w:pPr>
                  <w:r>
                    <w:t xml:space="preserve">Sum Sq</w:t>
                  </w:r>
                </w:p>
              </w:tc>
              <w:tc>
                <w:tcPr/>
                <w:p>
                  <w:pPr>
                    <w:pStyle w:val="Compact"/>
                    <w:jc w:val="right"/>
                    <w:jc w:val="center"/>
                  </w:pPr>
                  <w:r>
                    <w:t xml:space="preserve">Mean Sq</w:t>
                  </w:r>
                </w:p>
              </w:tc>
              <w:tc>
                <w:tcPr/>
                <w:p>
                  <w:pPr>
                    <w:pStyle w:val="Compact"/>
                    <w:jc w:val="right"/>
                    <w:jc w:val="center"/>
                  </w:pPr>
                  <w:r>
                    <w:t xml:space="preserve">Num DF</w:t>
                  </w:r>
                </w:p>
              </w:tc>
              <w:tc>
                <w:tcPr/>
                <w:p>
                  <w:pPr>
                    <w:pStyle w:val="Compact"/>
                    <w:jc w:val="right"/>
                    <w:jc w:val="center"/>
                  </w:pPr>
                  <w:r>
                    <w:t xml:space="preserve">Den DF</w:t>
                  </w:r>
                </w:p>
              </w:tc>
              <w:tc>
                <w:tcPr/>
                <w:p>
                  <w:pPr>
                    <w:pStyle w:val="Compact"/>
                    <w:jc w:val="right"/>
                    <w:jc w:val="center"/>
                  </w:pPr>
                  <w:r>
                    <w:t xml:space="preserve">F Value</w:t>
                  </w:r>
                </w:p>
              </w:tc>
              <w:tc>
                <w:tcPr/>
                <w:p>
                  <w:pPr>
                    <w:pStyle w:val="Compact"/>
                    <w:jc w:val="left"/>
                    <w:jc w:val="center"/>
                  </w:pPr>
                  <w:r>
                    <w:t xml:space="preserve">P Value</w:t>
                  </w:r>
                </w:p>
              </w:tc>
            </w:tr>
            <w:tr>
              <w:tc>
                <w:tcPr/>
                <w:p>
                  <w:pPr>
                    <w:pStyle w:val="Compact"/>
                    <w:jc w:val="left"/>
                    <w:jc w:val="center"/>
                  </w:pPr>
                  <w:r>
                    <w:t xml:space="preserve">donor_regime</w:t>
                  </w:r>
                </w:p>
              </w:tc>
              <w:tc>
                <w:tcPr/>
                <w:p>
                  <w:pPr>
                    <w:pStyle w:val="Compact"/>
                    <w:jc w:val="right"/>
                    <w:jc w:val="center"/>
                  </w:pPr>
                  <w:r>
                    <w:t xml:space="preserve">10047.16</w:t>
                  </w:r>
                </w:p>
              </w:tc>
              <w:tc>
                <w:tcPr/>
                <w:p>
                  <w:pPr>
                    <w:pStyle w:val="Compact"/>
                    <w:jc w:val="right"/>
                    <w:jc w:val="center"/>
                  </w:pPr>
                  <w:r>
                    <w:t xml:space="preserve">5023.58</w:t>
                  </w:r>
                </w:p>
              </w:tc>
              <w:tc>
                <w:tcPr/>
                <w:p>
                  <w:pPr>
                    <w:pStyle w:val="Compact"/>
                    <w:jc w:val="right"/>
                    <w:jc w:val="center"/>
                  </w:pPr>
                  <w:r>
                    <w:t xml:space="preserve">2</w:t>
                  </w:r>
                </w:p>
              </w:tc>
              <w:tc>
                <w:tcPr/>
                <w:p>
                  <w:pPr>
                    <w:pStyle w:val="Compact"/>
                    <w:jc w:val="right"/>
                    <w:jc w:val="center"/>
                  </w:pPr>
                  <w:r>
                    <w:t xml:space="preserve">411.0</w:t>
                  </w:r>
                </w:p>
              </w:tc>
              <w:tc>
                <w:tcPr/>
                <w:p>
                  <w:pPr>
                    <w:pStyle w:val="Compact"/>
                    <w:jc w:val="right"/>
                    <w:jc w:val="center"/>
                  </w:pPr>
                  <w:r>
                    <w:t xml:space="preserve">850.62</w:t>
                  </w:r>
                </w:p>
              </w:tc>
              <w:tc>
                <w:tcPr/>
                <w:p>
                  <w:pPr>
                    <w:pStyle w:val="Compact"/>
                    <w:jc w:val="left"/>
                    <w:jc w:val="center"/>
                  </w:pPr>
                  <w:r>
                    <w:t xml:space="preserve">&lt; 0.001</w:t>
                  </w:r>
                </w:p>
              </w:tc>
            </w:tr>
            <w:tr>
              <w:tc>
                <w:tcPr/>
                <w:p>
                  <w:pPr>
                    <w:pStyle w:val="Compact"/>
                    <w:jc w:val="left"/>
                    <w:jc w:val="center"/>
                  </w:pPr>
                  <w:r>
                    <w:t xml:space="preserve">barrier_mode</w:t>
                  </w:r>
                </w:p>
              </w:tc>
              <w:tc>
                <w:tcPr/>
                <w:p>
                  <w:pPr>
                    <w:pStyle w:val="Compact"/>
                    <w:jc w:val="right"/>
                    <w:jc w:val="center"/>
                  </w:pPr>
                  <w:r>
                    <w:t xml:space="preserve">7405.97</w:t>
                  </w:r>
                </w:p>
              </w:tc>
              <w:tc>
                <w:tcPr/>
                <w:p>
                  <w:pPr>
                    <w:pStyle w:val="Compact"/>
                    <w:jc w:val="right"/>
                    <w:jc w:val="center"/>
                  </w:pPr>
                  <w:r>
                    <w:t xml:space="preserve">3702.99</w:t>
                  </w:r>
                </w:p>
              </w:tc>
              <w:tc>
                <w:tcPr/>
                <w:p>
                  <w:pPr>
                    <w:pStyle w:val="Compact"/>
                    <w:jc w:val="right"/>
                    <w:jc w:val="center"/>
                  </w:pPr>
                  <w:r>
                    <w:t xml:space="preserve">2</w:t>
                  </w:r>
                </w:p>
              </w:tc>
              <w:tc>
                <w:tcPr/>
                <w:p>
                  <w:pPr>
                    <w:pStyle w:val="Compact"/>
                    <w:jc w:val="right"/>
                    <w:jc w:val="center"/>
                  </w:pPr>
                  <w:r>
                    <w:t xml:space="preserve">411.0</w:t>
                  </w:r>
                </w:p>
              </w:tc>
              <w:tc>
                <w:tcPr/>
                <w:p>
                  <w:pPr>
                    <w:pStyle w:val="Compact"/>
                    <w:jc w:val="right"/>
                    <w:jc w:val="center"/>
                  </w:pPr>
                  <w:r>
                    <w:t xml:space="preserve">627.01</w:t>
                  </w:r>
                </w:p>
              </w:tc>
              <w:tc>
                <w:tcPr/>
                <w:p>
                  <w:pPr>
                    <w:pStyle w:val="Compact"/>
                    <w:jc w:val="left"/>
                    <w:jc w:val="center"/>
                  </w:pPr>
                  <w:r>
                    <w:t xml:space="preserve">&lt; 0.001</w:t>
                  </w:r>
                </w:p>
              </w:tc>
            </w:tr>
            <w:tr>
              <w:tc>
                <w:tcPr/>
                <w:p>
                  <w:pPr>
                    <w:pStyle w:val="Compact"/>
                    <w:jc w:val="left"/>
                    <w:jc w:val="center"/>
                  </w:pPr>
                  <w:r>
                    <w:t xml:space="preserve">recipient_genotype</w:t>
                  </w:r>
                </w:p>
              </w:tc>
              <w:tc>
                <w:tcPr/>
                <w:p>
                  <w:pPr>
                    <w:pStyle w:val="Compact"/>
                    <w:jc w:val="right"/>
                    <w:jc w:val="center"/>
                  </w:pPr>
                  <w:r>
                    <w:t xml:space="preserve">5096.65</w:t>
                  </w:r>
                </w:p>
              </w:tc>
              <w:tc>
                <w:tcPr/>
                <w:p>
                  <w:pPr>
                    <w:pStyle w:val="Compact"/>
                    <w:jc w:val="right"/>
                    <w:jc w:val="center"/>
                  </w:pPr>
                  <w:r>
                    <w:t xml:space="preserve">5096.65</w:t>
                  </w:r>
                </w:p>
              </w:tc>
              <w:tc>
                <w:tcPr/>
                <w:p>
                  <w:pPr>
                    <w:pStyle w:val="Compact"/>
                    <w:jc w:val="right"/>
                    <w:jc w:val="center"/>
                  </w:pPr>
                  <w:r>
                    <w:t xml:space="preserve">1</w:t>
                  </w:r>
                </w:p>
              </w:tc>
              <w:tc>
                <w:tcPr/>
                <w:p>
                  <w:pPr>
                    <w:pStyle w:val="Compact"/>
                    <w:jc w:val="right"/>
                    <w:jc w:val="center"/>
                  </w:pPr>
                  <w:r>
                    <w:t xml:space="preserve">411.0</w:t>
                  </w:r>
                </w:p>
              </w:tc>
              <w:tc>
                <w:tcPr/>
                <w:p>
                  <w:pPr>
                    <w:pStyle w:val="Compact"/>
                    <w:jc w:val="right"/>
                    <w:jc w:val="center"/>
                  </w:pPr>
                  <w:r>
                    <w:t xml:space="preserve">863.00</w:t>
                  </w:r>
                </w:p>
              </w:tc>
              <w:tc>
                <w:tcPr/>
                <w:p>
                  <w:pPr>
                    <w:pStyle w:val="Compact"/>
                    <w:jc w:val="left"/>
                    <w:jc w:val="center"/>
                  </w:pPr>
                  <w:r>
                    <w:t xml:space="preserve">&lt; 0.001</w:t>
                  </w:r>
                </w:p>
              </w:tc>
            </w:tr>
            <w:tr>
              <w:tc>
                <w:tcPr/>
                <w:p>
                  <w:pPr>
                    <w:pStyle w:val="Compact"/>
                    <w:jc w:val="left"/>
                    <w:jc w:val="center"/>
                  </w:pPr>
                  <w:r>
                    <w:t xml:space="preserve">donor_regime:barrier_mode</w:t>
                  </w:r>
                </w:p>
              </w:tc>
              <w:tc>
                <w:tcPr/>
                <w:p>
                  <w:pPr>
                    <w:pStyle w:val="Compact"/>
                    <w:jc w:val="right"/>
                    <w:jc w:val="center"/>
                  </w:pPr>
                  <w:r>
                    <w:t xml:space="preserve">7103.20</w:t>
                  </w:r>
                </w:p>
              </w:tc>
              <w:tc>
                <w:tcPr/>
                <w:p>
                  <w:pPr>
                    <w:pStyle w:val="Compact"/>
                    <w:jc w:val="right"/>
                    <w:jc w:val="center"/>
                  </w:pPr>
                  <w:r>
                    <w:t xml:space="preserve">1775.80</w:t>
                  </w:r>
                </w:p>
              </w:tc>
              <w:tc>
                <w:tcPr/>
                <w:p>
                  <w:pPr>
                    <w:pStyle w:val="Compact"/>
                    <w:jc w:val="right"/>
                    <w:jc w:val="center"/>
                  </w:pPr>
                  <w:r>
                    <w:t xml:space="preserve">4</w:t>
                  </w:r>
                </w:p>
              </w:tc>
              <w:tc>
                <w:tcPr/>
                <w:p>
                  <w:pPr>
                    <w:pStyle w:val="Compact"/>
                    <w:jc w:val="right"/>
                    <w:jc w:val="center"/>
                  </w:pPr>
                  <w:r>
                    <w:t xml:space="preserve">411.0</w:t>
                  </w:r>
                </w:p>
              </w:tc>
              <w:tc>
                <w:tcPr/>
                <w:p>
                  <w:pPr>
                    <w:pStyle w:val="Compact"/>
                    <w:jc w:val="right"/>
                    <w:jc w:val="center"/>
                  </w:pPr>
                  <w:r>
                    <w:t xml:space="preserve">300.69</w:t>
                  </w:r>
                </w:p>
              </w:tc>
              <w:tc>
                <w:tcPr/>
                <w:p>
                  <w:pPr>
                    <w:pStyle w:val="Compact"/>
                    <w:jc w:val="left"/>
                    <w:jc w:val="center"/>
                  </w:pPr>
                  <w:r>
                    <w:t xml:space="preserve">&lt; 0.001</w:t>
                  </w:r>
                </w:p>
              </w:tc>
            </w:tr>
            <w:tr>
              <w:tc>
                <w:tcPr/>
                <w:p>
                  <w:pPr>
                    <w:pStyle w:val="Compact"/>
                    <w:jc w:val="left"/>
                    <w:jc w:val="center"/>
                  </w:pPr>
                  <w:r>
                    <w:t xml:space="preserve">donor_regime:recipient_genotype</w:t>
                  </w:r>
                </w:p>
              </w:tc>
              <w:tc>
                <w:tcPr/>
                <w:p>
                  <w:pPr>
                    <w:pStyle w:val="Compact"/>
                    <w:jc w:val="right"/>
                    <w:jc w:val="center"/>
                  </w:pPr>
                  <w:r>
                    <w:t xml:space="preserve">5930.72</w:t>
                  </w:r>
                </w:p>
              </w:tc>
              <w:tc>
                <w:tcPr/>
                <w:p>
                  <w:pPr>
                    <w:pStyle w:val="Compact"/>
                    <w:jc w:val="right"/>
                    <w:jc w:val="center"/>
                  </w:pPr>
                  <w:r>
                    <w:t xml:space="preserve">2965.36</w:t>
                  </w:r>
                </w:p>
              </w:tc>
              <w:tc>
                <w:tcPr/>
                <w:p>
                  <w:pPr>
                    <w:pStyle w:val="Compact"/>
                    <w:jc w:val="right"/>
                    <w:jc w:val="center"/>
                  </w:pPr>
                  <w:r>
                    <w:t xml:space="preserve">2</w:t>
                  </w:r>
                </w:p>
              </w:tc>
              <w:tc>
                <w:tcPr/>
                <w:p>
                  <w:pPr>
                    <w:pStyle w:val="Compact"/>
                    <w:jc w:val="right"/>
                    <w:jc w:val="center"/>
                  </w:pPr>
                  <w:r>
                    <w:t xml:space="preserve">411.0</w:t>
                  </w:r>
                </w:p>
              </w:tc>
              <w:tc>
                <w:tcPr/>
                <w:p>
                  <w:pPr>
                    <w:pStyle w:val="Compact"/>
                    <w:jc w:val="right"/>
                    <w:jc w:val="center"/>
                  </w:pPr>
                  <w:r>
                    <w:t xml:space="preserve">502.11</w:t>
                  </w:r>
                </w:p>
              </w:tc>
              <w:tc>
                <w:tcPr/>
                <w:p>
                  <w:pPr>
                    <w:pStyle w:val="Compact"/>
                    <w:jc w:val="left"/>
                    <w:jc w:val="center"/>
                  </w:pPr>
                  <w:r>
                    <w:t xml:space="preserve">&lt; 0.001</w:t>
                  </w:r>
                </w:p>
              </w:tc>
            </w:tr>
            <w:tr>
              <w:tc>
                <w:tcPr/>
                <w:p>
                  <w:pPr>
                    <w:pStyle w:val="Compact"/>
                    <w:jc w:val="left"/>
                    <w:jc w:val="center"/>
                  </w:pPr>
                  <w:r>
                    <w:t xml:space="preserve">barrier_mode:recipient_genotype</w:t>
                  </w:r>
                </w:p>
              </w:tc>
              <w:tc>
                <w:tcPr/>
                <w:p>
                  <w:pPr>
                    <w:pStyle w:val="Compact"/>
                    <w:jc w:val="right"/>
                    <w:jc w:val="center"/>
                  </w:pPr>
                  <w:r>
                    <w:t xml:space="preserve">3068.47</w:t>
                  </w:r>
                </w:p>
              </w:tc>
              <w:tc>
                <w:tcPr/>
                <w:p>
                  <w:pPr>
                    <w:pStyle w:val="Compact"/>
                    <w:jc w:val="right"/>
                    <w:jc w:val="center"/>
                  </w:pPr>
                  <w:r>
                    <w:t xml:space="preserve">1534.23</w:t>
                  </w:r>
                </w:p>
              </w:tc>
              <w:tc>
                <w:tcPr/>
                <w:p>
                  <w:pPr>
                    <w:pStyle w:val="Compact"/>
                    <w:jc w:val="right"/>
                    <w:jc w:val="center"/>
                  </w:pPr>
                  <w:r>
                    <w:t xml:space="preserve">2</w:t>
                  </w:r>
                </w:p>
              </w:tc>
              <w:tc>
                <w:tcPr/>
                <w:p>
                  <w:pPr>
                    <w:pStyle w:val="Compact"/>
                    <w:jc w:val="right"/>
                    <w:jc w:val="center"/>
                  </w:pPr>
                  <w:r>
                    <w:t xml:space="preserve">411.0</w:t>
                  </w:r>
                </w:p>
              </w:tc>
              <w:tc>
                <w:tcPr/>
                <w:p>
                  <w:pPr>
                    <w:pStyle w:val="Compact"/>
                    <w:jc w:val="right"/>
                    <w:jc w:val="center"/>
                  </w:pPr>
                  <w:r>
                    <w:t xml:space="preserve">259.79</w:t>
                  </w:r>
                </w:p>
              </w:tc>
              <w:tc>
                <w:tcPr/>
                <w:p>
                  <w:pPr>
                    <w:pStyle w:val="Compact"/>
                    <w:jc w:val="left"/>
                    <w:jc w:val="center"/>
                  </w:pPr>
                  <w:r>
                    <w:t xml:space="preserve">&lt; 0.001</w:t>
                  </w:r>
                </w:p>
              </w:tc>
            </w:tr>
            <w:tr>
              <w:tc>
                <w:tcPr/>
                <w:p>
                  <w:pPr>
                    <w:pStyle w:val="Compact"/>
                    <w:jc w:val="left"/>
                    <w:jc w:val="center"/>
                  </w:pPr>
                  <w:r>
                    <w:t xml:space="preserve">donor_regime:barrier_mode:recipient_genotype</w:t>
                  </w:r>
                </w:p>
              </w:tc>
              <w:tc>
                <w:tcPr/>
                <w:p>
                  <w:pPr>
                    <w:pStyle w:val="Compact"/>
                    <w:jc w:val="right"/>
                    <w:jc w:val="center"/>
                  </w:pPr>
                  <w:r>
                    <w:t xml:space="preserve">2987.84</w:t>
                  </w:r>
                </w:p>
              </w:tc>
              <w:tc>
                <w:tcPr/>
                <w:p>
                  <w:pPr>
                    <w:pStyle w:val="Compact"/>
                    <w:jc w:val="right"/>
                    <w:jc w:val="center"/>
                  </w:pPr>
                  <w:r>
                    <w:t xml:space="preserve">746.96</w:t>
                  </w:r>
                </w:p>
              </w:tc>
              <w:tc>
                <w:tcPr/>
                <w:p>
                  <w:pPr>
                    <w:pStyle w:val="Compact"/>
                    <w:jc w:val="right"/>
                    <w:jc w:val="center"/>
                  </w:pPr>
                  <w:r>
                    <w:t xml:space="preserve">4</w:t>
                  </w:r>
                </w:p>
              </w:tc>
              <w:tc>
                <w:tcPr/>
                <w:p>
                  <w:pPr>
                    <w:pStyle w:val="Compact"/>
                    <w:jc w:val="right"/>
                    <w:jc w:val="center"/>
                  </w:pPr>
                  <w:r>
                    <w:t xml:space="preserve">411.0</w:t>
                  </w:r>
                </w:p>
              </w:tc>
              <w:tc>
                <w:tcPr/>
                <w:p>
                  <w:pPr>
                    <w:pStyle w:val="Compact"/>
                    <w:jc w:val="right"/>
                    <w:jc w:val="center"/>
                  </w:pPr>
                  <w:r>
                    <w:t xml:space="preserve">126.48</w:t>
                  </w:r>
                </w:p>
              </w:tc>
              <w:tc>
                <w:tcPr/>
                <w:p>
                  <w:pPr>
                    <w:pStyle w:val="Compact"/>
                    <w:jc w:val="left"/>
                    <w:jc w:val="center"/>
                  </w:pPr>
                  <w:r>
                    <w:t xml:space="preserve">&lt; 0.001</w:t>
                  </w:r>
                </w:p>
              </w:tc>
            </w:tr>
          </w:tbl>
          <w:bookmarkEnd w:id="21"/>
          <w:p/>
        </w:tc>
      </w:tr>
    </w:tbl>
    <w:p>
      <w:pPr>
        <w:pStyle w:val="BodyText"/>
      </w:pPr>
      <w:r>
        <w:t xml:space="preserve">In the M1_Membrane transmission mode (solute diffusion only, excluding root hairs and fungal hyphae), recipient wild-type wheat roots exhibited a robust and statistically significant priming effect:</w:t>
      </w:r>
      <w:r>
        <w:t xml:space="preserve"> </w:t>
      </w:r>
      <w:r>
        <w:t xml:space="preserve">* When the neighboring donor wheat was maintained under Pi-replete conditions (</w:t>
      </w:r>
      <m:oMath>
        <m:r>
          <m:rPr>
            <m:sty m:val="p"/>
          </m:rPr>
          <m:t>+</m:t>
        </m:r>
        <m:r>
          <m:rPr>
            <m:nor/>
            <m:sty m:val="p"/>
          </m:rPr>
          <m:t>Pi</m:t>
        </m:r>
      </m:oMath>
      <w:r>
        <w:t xml:space="preserve">), recipient root AM colonization remained at an unprimed baseline of</w:t>
      </w:r>
      <w:r>
        <w:t xml:space="preserve"> </w:t>
      </w:r>
      <w:r>
        <w:rPr>
          <w:b/>
          <w:bCs/>
        </w:rPr>
        <w:t xml:space="preserve">15.76%</w:t>
      </w:r>
      <w:r>
        <w:t xml:space="preserve">.</w:t>
      </w:r>
      <w:r>
        <w:t xml:space="preserve"> </w:t>
      </w:r>
      <w:r>
        <w:t xml:space="preserve">* When the neighboring donor wheat experienced Pi starvation (</w:t>
      </w:r>
      <m:oMath>
        <m:r>
          <m:rPr>
            <m:sty m:val="p"/>
          </m:rPr>
          <m:t>−</m:t>
        </m:r>
        <m:r>
          <m:rPr>
            <m:nor/>
            <m:sty m:val="p"/>
          </m:rPr>
          <m:t>Pi</m:t>
        </m:r>
      </m:oMath>
      <w:r>
        <w:t xml:space="preserve">), recipient root AM colonization surged to</w:t>
      </w:r>
      <w:r>
        <w:t xml:space="preserve"> </w:t>
      </w:r>
      <w:r>
        <w:rPr>
          <w:b/>
          <w:bCs/>
        </w:rPr>
        <w:t xml:space="preserve">35.6%</w:t>
      </w:r>
      <w:r>
        <w:t xml:space="preserve"> </w:t>
      </w:r>
      <w:r>
        <w:t xml:space="preserve">(</w:t>
      </w:r>
      <w:hyperlink w:anchor="fig-colonization">
        <w:r>
          <w:rPr>
            <w:rStyle w:val="Hyperlink"/>
          </w:rPr>
          <w:t xml:space="preserve">Figure 2</w:t>
        </w:r>
      </w:hyperlink>
      <w:r>
        <w:t xml:space="preserve">).</w:t>
      </w:r>
      <w:r>
        <w:t xml:space="preserve"> </w:t>
      </w:r>
      <w:r>
        <w:t xml:space="preserve">* The planned hypothesis contrast (</w:t>
      </w:r>
      <w:r>
        <w:rPr>
          <w:rStyle w:val="VerbatimChar"/>
        </w:rPr>
        <w:t xml:space="preserve">Diffusible_Priming</w:t>
      </w:r>
      <w:r>
        <w:t xml:space="preserve">) demonstrated an estimated mean colonization increase of</w:t>
      </w:r>
      <w:r>
        <w:t xml:space="preserve"> </w:t>
      </w:r>
      <w:r>
        <w:rPr>
          <w:b/>
          <w:bCs/>
        </w:rPr>
        <w:t xml:space="preserve">+19.84%</w:t>
      </w:r>
      <w:r>
        <w:t xml:space="preserve"> </w:t>
      </w:r>
      <w:r>
        <w:t xml:space="preserve">(</w:t>
      </w:r>
      <m:oMath>
        <m:r>
          <m:t>S</m:t>
        </m:r>
        <m:r>
          <m:t>E</m:t>
        </m:r>
        <m:r>
          <m:rPr>
            <m:sty m:val="p"/>
          </m:rPr>
          <m:t>=</m:t>
        </m:r>
        <m:r>
          <m:t>0.7</m:t>
        </m:r>
        <m:r>
          <m:rPr>
            <m:sty m:val="p"/>
          </m:rPr>
          <m:t>%</m:t>
        </m:r>
      </m:oMath>
      <w:r>
        <w:t xml:space="preserve">,</w:t>
      </w:r>
      <w:r>
        <w:t xml:space="preserve"> </w:t>
      </w:r>
      <m:oMath>
        <m:r>
          <m:t>t</m:t>
        </m:r>
        <m:r>
          <m:rPr>
            <m:sty m:val="p"/>
          </m:rPr>
          <m:t>=</m:t>
        </m:r>
        <m:r>
          <m:t>28.27</m:t>
        </m:r>
      </m:oMath>
      <w:r>
        <w:t xml:space="preserve">,</w:t>
      </w:r>
      <w:r>
        <w:t xml:space="preserve"> </w:t>
      </w:r>
      <m:oMath>
        <m:r>
          <m:t>P</m:t>
        </m:r>
        <m:r>
          <m:rPr>
            <m:sty m:val="p"/>
          </m:rPr>
          <m:t>&lt;</m:t>
        </m:r>
        <m:r>
          <m:t>0.0001</m:t>
        </m:r>
      </m:oMath>
      <w:r>
        <w:t xml:space="preserve">;</w:t>
      </w:r>
      <w:r>
        <w:t xml:space="preserve"> </w:t>
      </w:r>
      <w:hyperlink w:anchor="tbl-contrast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colonization"/>
          <w:p>
            <w:pPr>
              <w:pStyle w:val="Compact"/>
              <w:jc w:val="center"/>
            </w:pPr>
            <w:r>
              <w:drawing>
                <wp:inline>
                  <wp:extent cx="5334000" cy="3263152"/>
                  <wp:effectExtent b="0" l="0" r="0" t="0"/>
                  <wp:docPr descr="" title="" id="23" name="Picture"/>
                  <a:graphic>
                    <a:graphicData uri="http://schemas.openxmlformats.org/drawingml/2006/picture">
                      <pic:pic>
                        <pic:nvPicPr>
                          <pic:cNvPr descr="figures/figure2_am_colonization_interaction.png" id="24" name="Picture"/>
                          <pic:cNvPicPr>
                            <a:picLocks noChangeArrowheads="1" noChangeAspect="1"/>
                          </pic:cNvPicPr>
                        </pic:nvPicPr>
                        <pic:blipFill>
                          <a:blip r:embed="rId22"/>
                          <a:stretch>
                            <a:fillRect/>
                          </a:stretch>
                        </pic:blipFill>
                        <pic:spPr bwMode="auto">
                          <a:xfrm>
                            <a:off x="0" y="0"/>
                            <a:ext cx="5334000" cy="326315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Arbuscular mycorrhizal colonization (%) in recipient wheat across physical barrier transmission modes (M0, M1, M2), donor phosphate regimes, and recipient genotypes. Bars represent estimated marginal means ± SE (N = 432).</w:t>
            </w:r>
          </w:p>
          <w:bookmarkEnd w:id="2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 w:name="tbl-contrasts"/>
          <w:p>
            <w:pPr>
              <w:jc w:val="center"/>
            </w:pPr>
            <w:pPr>
              <w:jc w:val="left"/>
              <w:spacing w:before="200"/>
              <w:pStyle w:val="ImageCaption"/>
            </w:pPr>
            <w:r>
              <w:t xml:space="preserve">Table 2: Planned Orthogonal and Mechanistic Hypothesis Contrasts for Recipient AM Colonization (%).</w:t>
            </w:r>
          </w:p>
          <w:tbl>
            <w:tblPr>
              <w:tblStyle w:val="Table"/>
              <w:tblW w:type="pct" w:w="5000"/>
              <w:tblLayout w:type="fixed"/>
              <w:tblLook w:firstRow="1" w:lastRow="0" w:firstColumn="0" w:lastColumn="0" w:noHBand="0" w:noVBand="0" w:val="0020"/>
            </w:tblPr>
            <w:tblGrid>
              <w:gridCol w:w="1697"/>
              <w:gridCol w:w="1980"/>
              <w:gridCol w:w="1131"/>
              <w:gridCol w:w="565"/>
              <w:gridCol w:w="1272"/>
              <w:gridCol w:w="1272"/>
            </w:tblGrid>
            <w:tr>
              <w:trPr>
                <w:tblHeader w:val="on"/>
              </w:trPr>
              <w:tc>
                <w:tcPr/>
                <w:p>
                  <w:pPr>
                    <w:pStyle w:val="Compact"/>
                    <w:jc w:val="left"/>
                    <w:jc w:val="center"/>
                  </w:pPr>
                  <w:r>
                    <w:t xml:space="preserve">Hypothesis</w:t>
                  </w:r>
                </w:p>
              </w:tc>
              <w:tc>
                <w:tcPr/>
                <w:p>
                  <w:pPr>
                    <w:pStyle w:val="Compact"/>
                    <w:jc w:val="right"/>
                    <w:jc w:val="center"/>
                  </w:pPr>
                  <w:r>
                    <w:t xml:space="preserve">Estimate (%)</w:t>
                  </w:r>
                </w:p>
              </w:tc>
              <w:tc>
                <w:tcPr/>
                <w:p>
                  <w:pPr>
                    <w:pStyle w:val="Compact"/>
                    <w:jc w:val="right"/>
                    <w:jc w:val="center"/>
                  </w:pPr>
                  <w:r>
                    <w:t xml:space="preserve">SE (%)</w:t>
                  </w:r>
                </w:p>
              </w:tc>
              <w:tc>
                <w:tcPr/>
                <w:p>
                  <w:pPr>
                    <w:pStyle w:val="Compact"/>
                    <w:jc w:val="right"/>
                    <w:jc w:val="center"/>
                  </w:pPr>
                  <w:r>
                    <w:t xml:space="preserve">DF</w:t>
                  </w:r>
                </w:p>
              </w:tc>
              <w:tc>
                <w:tcPr/>
                <w:p>
                  <w:pPr>
                    <w:pStyle w:val="Compact"/>
                    <w:jc w:val="right"/>
                    <w:jc w:val="center"/>
                  </w:pPr>
                  <w:r>
                    <w:t xml:space="preserve">t ratio</w:t>
                  </w:r>
                </w:p>
              </w:tc>
              <w:tc>
                <w:tcPr/>
                <w:p>
                  <w:pPr>
                    <w:pStyle w:val="Compact"/>
                    <w:jc w:val="left"/>
                    <w:jc w:val="center"/>
                  </w:pPr>
                  <w:r>
                    <w:t xml:space="preserve">P Value</w:t>
                  </w:r>
                </w:p>
              </w:tc>
            </w:tr>
            <w:tr>
              <w:tc>
                <w:tcPr/>
                <w:p>
                  <w:pPr>
                    <w:pStyle w:val="Compact"/>
                    <w:jc w:val="left"/>
                    <w:jc w:val="center"/>
                  </w:pPr>
                  <w:r>
                    <w:t xml:space="preserve">Diffusible_Priming (M1: -Pi vs +Pi in WT)</w:t>
                  </w:r>
                </w:p>
              </w:tc>
              <w:tc>
                <w:tcPr/>
                <w:p>
                  <w:pPr>
                    <w:pStyle w:val="Compact"/>
                    <w:jc w:val="right"/>
                    <w:jc w:val="center"/>
                  </w:pPr>
                  <w:r>
                    <w:t xml:space="preserve">19.84</w:t>
                  </w:r>
                </w:p>
              </w:tc>
              <w:tc>
                <w:tcPr/>
                <w:p>
                  <w:pPr>
                    <w:pStyle w:val="Compact"/>
                    <w:jc w:val="right"/>
                    <w:jc w:val="center"/>
                  </w:pPr>
                  <w:r>
                    <w:t xml:space="preserve">0.70</w:t>
                  </w:r>
                </w:p>
              </w:tc>
              <w:tc>
                <w:tcPr/>
                <w:p>
                  <w:pPr>
                    <w:pStyle w:val="Compact"/>
                    <w:jc w:val="right"/>
                    <w:jc w:val="center"/>
                  </w:pPr>
                  <w:r>
                    <w:t xml:space="preserve">411.0</w:t>
                  </w:r>
                </w:p>
              </w:tc>
              <w:tc>
                <w:tcPr/>
                <w:p>
                  <w:pPr>
                    <w:pStyle w:val="Compact"/>
                    <w:jc w:val="right"/>
                    <w:jc w:val="center"/>
                  </w:pPr>
                  <w:r>
                    <w:t xml:space="preserve">28.27</w:t>
                  </w:r>
                </w:p>
              </w:tc>
              <w:tc>
                <w:tcPr/>
                <w:p>
                  <w:pPr>
                    <w:pStyle w:val="Compact"/>
                    <w:jc w:val="left"/>
                    <w:jc w:val="center"/>
                  </w:pPr>
                  <w:r>
                    <w:t xml:space="preserve">&lt; 0.0001</w:t>
                  </w:r>
                </w:p>
              </w:tc>
            </w:tr>
            <w:tr>
              <w:tc>
                <w:tcPr/>
                <w:p>
                  <w:pPr>
                    <w:pStyle w:val="Compact"/>
                    <w:jc w:val="left"/>
                    <w:jc w:val="center"/>
                  </w:pPr>
                  <w:r>
                    <w:t xml:space="preserve">Hyphal_Amplification (WT: M2 vs M1 under -Pi)</w:t>
                  </w:r>
                </w:p>
              </w:tc>
              <w:tc>
                <w:tcPr/>
                <w:p>
                  <w:pPr>
                    <w:pStyle w:val="Compact"/>
                    <w:jc w:val="right"/>
                    <w:jc w:val="center"/>
                  </w:pPr>
                  <w:r>
                    <w:t xml:space="preserve">19.21</w:t>
                  </w:r>
                </w:p>
              </w:tc>
              <w:tc>
                <w:tcPr/>
                <w:p>
                  <w:pPr>
                    <w:pStyle w:val="Compact"/>
                    <w:jc w:val="right"/>
                    <w:jc w:val="center"/>
                  </w:pPr>
                  <w:r>
                    <w:t xml:space="preserve">0.70</w:t>
                  </w:r>
                </w:p>
              </w:tc>
              <w:tc>
                <w:tcPr/>
                <w:p>
                  <w:pPr>
                    <w:pStyle w:val="Compact"/>
                    <w:jc w:val="right"/>
                    <w:jc w:val="center"/>
                  </w:pPr>
                  <w:r>
                    <w:t xml:space="preserve">411.0</w:t>
                  </w:r>
                </w:p>
              </w:tc>
              <w:tc>
                <w:tcPr/>
                <w:p>
                  <w:pPr>
                    <w:pStyle w:val="Compact"/>
                    <w:jc w:val="right"/>
                    <w:jc w:val="center"/>
                  </w:pPr>
                  <w:r>
                    <w:t xml:space="preserve">27.39</w:t>
                  </w:r>
                </w:p>
              </w:tc>
              <w:tc>
                <w:tcPr/>
                <w:p>
                  <w:pPr>
                    <w:pStyle w:val="Compact"/>
                    <w:jc w:val="left"/>
                    <w:jc w:val="center"/>
                  </w:pPr>
                  <w:r>
                    <w:t xml:space="preserve">&lt; 0.0001</w:t>
                  </w:r>
                </w:p>
              </w:tc>
            </w:tr>
            <w:tr>
              <w:tc>
                <w:tcPr/>
                <w:p>
                  <w:pPr>
                    <w:pStyle w:val="Compact"/>
                    <w:jc w:val="left"/>
                    <w:jc w:val="center"/>
                  </w:pPr>
                  <w:r>
                    <w:t xml:space="preserve">Tis108_Abolition (M1 WT: -Pi vs -Pi + Tis-108)</w:t>
                  </w:r>
                </w:p>
              </w:tc>
              <w:tc>
                <w:tcPr/>
                <w:p>
                  <w:pPr>
                    <w:pStyle w:val="Compact"/>
                    <w:jc w:val="right"/>
                    <w:jc w:val="center"/>
                  </w:pPr>
                  <w:r>
                    <w:t xml:space="preserve">18.58</w:t>
                  </w:r>
                </w:p>
              </w:tc>
              <w:tc>
                <w:tcPr/>
                <w:p>
                  <w:pPr>
                    <w:pStyle w:val="Compact"/>
                    <w:jc w:val="right"/>
                    <w:jc w:val="center"/>
                  </w:pPr>
                  <w:r>
                    <w:t xml:space="preserve">0.70</w:t>
                  </w:r>
                </w:p>
              </w:tc>
              <w:tc>
                <w:tcPr/>
                <w:p>
                  <w:pPr>
                    <w:pStyle w:val="Compact"/>
                    <w:jc w:val="right"/>
                    <w:jc w:val="center"/>
                  </w:pPr>
                  <w:r>
                    <w:t xml:space="preserve">411.0</w:t>
                  </w:r>
                </w:p>
              </w:tc>
              <w:tc>
                <w:tcPr/>
                <w:p>
                  <w:pPr>
                    <w:pStyle w:val="Compact"/>
                    <w:jc w:val="right"/>
                    <w:jc w:val="center"/>
                  </w:pPr>
                  <w:r>
                    <w:t xml:space="preserve">26.49</w:t>
                  </w:r>
                </w:p>
              </w:tc>
              <w:tc>
                <w:tcPr/>
                <w:p>
                  <w:pPr>
                    <w:pStyle w:val="Compact"/>
                    <w:jc w:val="left"/>
                    <w:jc w:val="center"/>
                  </w:pPr>
                  <w:r>
                    <w:t xml:space="preserve">&lt; 0.0001</w:t>
                  </w:r>
                </w:p>
              </w:tc>
            </w:tr>
            <w:tr>
              <w:tc>
                <w:tcPr/>
                <w:p>
                  <w:pPr>
                    <w:pStyle w:val="Compact"/>
                    <w:jc w:val="left"/>
                    <w:jc w:val="center"/>
                  </w:pPr>
                  <w:r>
                    <w:t xml:space="preserve">Receptor_Dependency_M1 (M1 -Pi: WT vs Tad14)</w:t>
                  </w:r>
                </w:p>
              </w:tc>
              <w:tc>
                <w:tcPr/>
                <w:p>
                  <w:pPr>
                    <w:pStyle w:val="Compact"/>
                    <w:jc w:val="right"/>
                    <w:jc w:val="center"/>
                  </w:pPr>
                  <w:r>
                    <w:t xml:space="preserve">19.22</w:t>
                  </w:r>
                </w:p>
              </w:tc>
              <w:tc>
                <w:tcPr/>
                <w:p>
                  <w:pPr>
                    <w:pStyle w:val="Compact"/>
                    <w:jc w:val="right"/>
                    <w:jc w:val="center"/>
                  </w:pPr>
                  <w:r>
                    <w:t xml:space="preserve">0.70</w:t>
                  </w:r>
                </w:p>
              </w:tc>
              <w:tc>
                <w:tcPr/>
                <w:p>
                  <w:pPr>
                    <w:pStyle w:val="Compact"/>
                    <w:jc w:val="right"/>
                    <w:jc w:val="center"/>
                  </w:pPr>
                  <w:r>
                    <w:t xml:space="preserve">411.0</w:t>
                  </w:r>
                </w:p>
              </w:tc>
              <w:tc>
                <w:tcPr/>
                <w:p>
                  <w:pPr>
                    <w:pStyle w:val="Compact"/>
                    <w:jc w:val="right"/>
                    <w:jc w:val="center"/>
                  </w:pPr>
                  <w:r>
                    <w:t xml:space="preserve">27.40</w:t>
                  </w:r>
                </w:p>
              </w:tc>
              <w:tc>
                <w:tcPr/>
                <w:p>
                  <w:pPr>
                    <w:pStyle w:val="Compact"/>
                    <w:jc w:val="left"/>
                    <w:jc w:val="center"/>
                  </w:pPr>
                  <w:r>
                    <w:t xml:space="preserve">&lt; 0.0001</w:t>
                  </w:r>
                </w:p>
              </w:tc>
            </w:tr>
            <w:tr>
              <w:tc>
                <w:tcPr/>
                <w:p>
                  <w:pPr>
                    <w:pStyle w:val="Compact"/>
                    <w:jc w:val="left"/>
                    <w:jc w:val="center"/>
                  </w:pPr>
                  <w:r>
                    <w:t xml:space="preserve">Receptor_Dependency_M2 (M2 -Pi: WT vs Tad14)</w:t>
                  </w:r>
                </w:p>
              </w:tc>
              <w:tc>
                <w:tcPr/>
                <w:p>
                  <w:pPr>
                    <w:pStyle w:val="Compact"/>
                    <w:jc w:val="right"/>
                    <w:jc w:val="center"/>
                  </w:pPr>
                  <w:r>
                    <w:t xml:space="preserve">31.83</w:t>
                  </w:r>
                </w:p>
              </w:tc>
              <w:tc>
                <w:tcPr/>
                <w:p>
                  <w:pPr>
                    <w:pStyle w:val="Compact"/>
                    <w:jc w:val="right"/>
                    <w:jc w:val="center"/>
                  </w:pPr>
                  <w:r>
                    <w:t xml:space="preserve">0.70</w:t>
                  </w:r>
                </w:p>
              </w:tc>
              <w:tc>
                <w:tcPr/>
                <w:p>
                  <w:pPr>
                    <w:pStyle w:val="Compact"/>
                    <w:jc w:val="right"/>
                    <w:jc w:val="center"/>
                  </w:pPr>
                  <w:r>
                    <w:t xml:space="preserve">411.0</w:t>
                  </w:r>
                </w:p>
              </w:tc>
              <w:tc>
                <w:tcPr/>
                <w:p>
                  <w:pPr>
                    <w:pStyle w:val="Compact"/>
                    <w:jc w:val="right"/>
                    <w:jc w:val="center"/>
                  </w:pPr>
                  <w:r>
                    <w:t xml:space="preserve">45.38</w:t>
                  </w:r>
                </w:p>
              </w:tc>
              <w:tc>
                <w:tcPr/>
                <w:p>
                  <w:pPr>
                    <w:pStyle w:val="Compact"/>
                    <w:jc w:val="left"/>
                    <w:jc w:val="center"/>
                  </w:pPr>
                  <w:r>
                    <w:t xml:space="preserve">&lt; 0.0001</w:t>
                  </w:r>
                </w:p>
              </w:tc>
            </w:tr>
            <w:tr>
              <w:tc>
                <w:tcPr/>
                <w:p>
                  <w:pPr>
                    <w:pStyle w:val="Compact"/>
                    <w:jc w:val="left"/>
                    <w:jc w:val="center"/>
                  </w:pPr>
                  <w:r>
                    <w:t xml:space="preserve">Barrier_Hermeticity (M0 WT: -Pi vs +Pi)</w:t>
                  </w:r>
                </w:p>
              </w:tc>
              <w:tc>
                <w:tcPr/>
                <w:p>
                  <w:pPr>
                    <w:pStyle w:val="Compact"/>
                    <w:jc w:val="right"/>
                    <w:jc w:val="center"/>
                  </w:pPr>
                  <w:r>
                    <w:t xml:space="preserve">0.43</w:t>
                  </w:r>
                </w:p>
              </w:tc>
              <w:tc>
                <w:tcPr/>
                <w:p>
                  <w:pPr>
                    <w:pStyle w:val="Compact"/>
                    <w:jc w:val="right"/>
                    <w:jc w:val="center"/>
                  </w:pPr>
                  <w:r>
                    <w:t xml:space="preserve">0.70</w:t>
                  </w:r>
                </w:p>
              </w:tc>
              <w:tc>
                <w:tcPr/>
                <w:p>
                  <w:pPr>
                    <w:pStyle w:val="Compact"/>
                    <w:jc w:val="right"/>
                    <w:jc w:val="center"/>
                  </w:pPr>
                  <w:r>
                    <w:t xml:space="preserve">411.0</w:t>
                  </w:r>
                </w:p>
              </w:tc>
              <w:tc>
                <w:tcPr/>
                <w:p>
                  <w:pPr>
                    <w:pStyle w:val="Compact"/>
                    <w:jc w:val="right"/>
                    <w:jc w:val="center"/>
                  </w:pPr>
                  <w:r>
                    <w:t xml:space="preserve">0.61</w:t>
                  </w:r>
                </w:p>
              </w:tc>
              <w:tc>
                <w:tcPr/>
                <w:p>
                  <w:pPr>
                    <w:pStyle w:val="Compact"/>
                    <w:jc w:val="left"/>
                    <w:jc w:val="center"/>
                  </w:pPr>
                  <w:r>
                    <w:t xml:space="preserve">0.5446</w:t>
                  </w:r>
                </w:p>
              </w:tc>
            </w:tr>
          </w:tbl>
          <w:bookmarkEnd w:id="26"/>
          <w:p/>
        </w:tc>
      </w:tr>
    </w:tbl>
    <w:bookmarkEnd w:id="27"/>
    <w:bookmarkStart w:id="28" w:name="X5abde9d36aa91a373a01930c1097552ea4d8cbe"/>
    <w:p>
      <w:pPr>
        <w:pStyle w:val="Heading3"/>
      </w:pPr>
      <w:r>
        <w:t xml:space="preserve">4.3 Chemical Abolition and Genetic Perception Dependency</w:t>
      </w:r>
    </w:p>
    <w:p>
      <w:pPr>
        <w:pStyle w:val="FirstParagraph"/>
      </w:pPr>
      <w:r>
        <w:t xml:space="preserve">To establish that the priming effect observed across the</w:t>
      </w:r>
      <w:r>
        <w:t xml:space="preserve"> </w:t>
      </w:r>
      <m:oMath>
        <m:r>
          <m:t>0.45</m:t>
        </m:r>
        <m:r>
          <m:t> </m:t>
        </m:r>
        <m:r>
          <m:t>μ</m:t>
        </m:r>
        <m:r>
          <m:rPr>
            <m:nor/>
            <m:sty m:val="p"/>
          </m:rPr>
          <m:t>m</m:t>
        </m:r>
      </m:oMath>
      <w:r>
        <w:t xml:space="preserve"> </w:t>
      </w:r>
      <w:r>
        <w:t xml:space="preserve">membrane is driven specifically by strigolactone apocarotenoids and host receptor signaling, we evaluated chemical inhibition and genetic loss-of-function controls:</w:t>
      </w:r>
      <w:r>
        <w:t xml:space="preserve"> </w:t>
      </w:r>
      <w:r>
        <w:t xml:space="preserve">1.</w:t>
      </w:r>
      <w:r>
        <w:t xml:space="preserve"> </w:t>
      </w:r>
      <w:r>
        <w:rPr>
          <w:b/>
          <w:bCs/>
        </w:rPr>
        <w:t xml:space="preserve">Chemical Biosynthesis Inhibition:</w:t>
      </w:r>
      <w:r>
        <w:t xml:space="preserve"> </w:t>
      </w:r>
      <w:r>
        <w:t xml:space="preserve">Supplying the donor root compartment with</w:t>
      </w:r>
      <w:r>
        <w:t xml:space="preserve"> </w:t>
      </w:r>
      <m:oMath>
        <m:r>
          <m:t>1</m:t>
        </m:r>
        <m:r>
          <m:t> </m:t>
        </m:r>
        <m:r>
          <m:t>μ</m:t>
        </m:r>
        <m:r>
          <m:rPr>
            <m:nor/>
            <m:sty m:val="p"/>
          </m:rPr>
          <m:t>M</m:t>
        </m:r>
      </m:oMath>
      <w:r>
        <w:t xml:space="preserve"> </w:t>
      </w:r>
      <w:r>
        <w:t xml:space="preserve">Tis-108 under</w:t>
      </w:r>
      <w:r>
        <w:t xml:space="preserve"> </w:t>
      </w:r>
      <m:oMath>
        <m:r>
          <m:rPr>
            <m:sty m:val="p"/>
          </m:rPr>
          <m:t>−</m:t>
        </m:r>
        <m:r>
          <m:rPr>
            <m:nor/>
            <m:sty m:val="p"/>
          </m:rPr>
          <m:t>Pi</m:t>
        </m:r>
      </m:oMath>
      <w:r>
        <w:t xml:space="preserve"> </w:t>
      </w:r>
      <w:r>
        <w:t xml:space="preserve">starvation completely abolished recipient priming. Recipient AM colonization under M1 dropped to</w:t>
      </w:r>
      <w:r>
        <w:t xml:space="preserve"> </w:t>
      </w:r>
      <w:r>
        <w:rPr>
          <w:b/>
          <w:bCs/>
        </w:rPr>
        <w:t xml:space="preserve">17.01%</w:t>
      </w:r>
      <w:r>
        <w:t xml:space="preserve">, which was statistically indistinguishable from the unprimed baseline. The planned contrast (</w:t>
      </w:r>
      <w:r>
        <w:rPr>
          <w:rStyle w:val="VerbatimChar"/>
        </w:rPr>
        <w:t xml:space="preserve">Tis108_Abolition</w:t>
      </w:r>
      <w:r>
        <w:t xml:space="preserve">) confirmed a significant reduction of</w:t>
      </w:r>
      <w:r>
        <w:t xml:space="preserve"> </w:t>
      </w:r>
      <w:r>
        <w:rPr>
          <w:b/>
          <w:bCs/>
        </w:rPr>
        <w:t xml:space="preserve">18.58%</w:t>
      </w:r>
      <w:r>
        <w:t xml:space="preserve"> </w:t>
      </w:r>
      <w:r>
        <w:t xml:space="preserve">(</w:t>
      </w:r>
      <m:oMath>
        <m:r>
          <m:t>S</m:t>
        </m:r>
        <m:r>
          <m:t>E</m:t>
        </m:r>
        <m:r>
          <m:rPr>
            <m:sty m:val="p"/>
          </m:rPr>
          <m:t>=</m:t>
        </m:r>
        <m:r>
          <m:t>0.7</m:t>
        </m:r>
        <m:r>
          <m:rPr>
            <m:sty m:val="p"/>
          </m:rPr>
          <m:t>%</m:t>
        </m:r>
      </m:oMath>
      <w:r>
        <w:t xml:space="preserve">,</w:t>
      </w:r>
      <w:r>
        <w:t xml:space="preserve"> </w:t>
      </w:r>
      <m:oMath>
        <m:r>
          <m:t>t</m:t>
        </m:r>
        <m:r>
          <m:rPr>
            <m:sty m:val="p"/>
          </m:rPr>
          <m:t>=</m:t>
        </m:r>
        <m:r>
          <m:t>26.49</m:t>
        </m:r>
      </m:oMath>
      <w:r>
        <w:t xml:space="preserve">,</w:t>
      </w:r>
      <w:r>
        <w:t xml:space="preserve"> </w:t>
      </w:r>
      <m:oMath>
        <m:r>
          <m:t>P</m:t>
        </m:r>
        <m:r>
          <m:rPr>
            <m:sty m:val="p"/>
          </m:rPr>
          <m:t>&lt;</m:t>
        </m:r>
        <m:r>
          <m:t>0.0001</m:t>
        </m:r>
      </m:oMath>
      <w:r>
        <w:t xml:space="preserve">;</w:t>
      </w:r>
      <w:r>
        <w:t xml:space="preserve"> </w:t>
      </w:r>
      <w:hyperlink w:anchor="tbl-contrasts">
        <w:r>
          <w:rPr>
            <w:rStyle w:val="Hyperlink"/>
          </w:rPr>
          <w:t xml:space="preserve">Table 2</w:t>
        </w:r>
      </w:hyperlink>
      <w:r>
        <w:t xml:space="preserve">).</w:t>
      </w:r>
      <w:r>
        <w:t xml:space="preserve"> </w:t>
      </w:r>
      <w:r>
        <w:t xml:space="preserve">2.</w:t>
      </w:r>
      <w:r>
        <w:t xml:space="preserve"> </w:t>
      </w:r>
      <w:r>
        <w:rPr>
          <w:b/>
          <w:bCs/>
        </w:rPr>
        <w:t xml:space="preserve">Genetic Receptor Dependency:</w:t>
      </w:r>
      <w:r>
        <w:t xml:space="preserve"> </w:t>
      </w:r>
      <w:r>
        <w:t xml:space="preserve">In recipient plants harboring the</w:t>
      </w:r>
      <w:r>
        <w:t xml:space="preserve"> </w:t>
      </w:r>
      <w:r>
        <w:rPr>
          <w:i/>
          <w:iCs/>
        </w:rPr>
        <w:t xml:space="preserve">Tad14-null</w:t>
      </w:r>
      <w:r>
        <w:t xml:space="preserve"> </w:t>
      </w:r>
      <w:r>
        <w:t xml:space="preserve">mutation, exposure to diffusible exudates from a P-starved donor across the</w:t>
      </w:r>
      <w:r>
        <w:t xml:space="preserve"> </w:t>
      </w:r>
      <m:oMath>
        <m:r>
          <m:t>0.45</m:t>
        </m:r>
        <m:r>
          <m:t> </m:t>
        </m:r>
        <m:r>
          <m:t>μ</m:t>
        </m:r>
        <m:r>
          <m:rPr>
            <m:nor/>
            <m:sty m:val="p"/>
          </m:rPr>
          <m:t>m</m:t>
        </m:r>
      </m:oMath>
      <w:r>
        <w:t xml:space="preserve"> </w:t>
      </w:r>
      <w:r>
        <w:t xml:space="preserve">membrane yielded no priming response, with colonization remaining at</w:t>
      </w:r>
      <w:r>
        <w:t xml:space="preserve"> </w:t>
      </w:r>
      <w:r>
        <w:rPr>
          <w:b/>
          <w:bCs/>
        </w:rPr>
        <w:t xml:space="preserve">16.38%</w:t>
      </w:r>
      <w:r>
        <w:t xml:space="preserve">. The planned contrast (</w:t>
      </w:r>
      <w:r>
        <w:rPr>
          <w:rStyle w:val="VerbatimChar"/>
        </w:rPr>
        <w:t xml:space="preserve">Receptor_Dependency_M1</w:t>
      </w:r>
      <w:r>
        <w:t xml:space="preserve">) revealed a significant 19.22% difference between wild-type and</w:t>
      </w:r>
      <w:r>
        <w:t xml:space="preserve"> </w:t>
      </w:r>
      <w:r>
        <w:rPr>
          <w:i/>
          <w:iCs/>
        </w:rPr>
        <w:t xml:space="preserve">Tad14</w:t>
      </w:r>
      <w:r>
        <w:t xml:space="preserve"> </w:t>
      </w:r>
      <w:r>
        <w:t xml:space="preserve">recipients (</w:t>
      </w:r>
      <m:oMath>
        <m:r>
          <m:t>t</m:t>
        </m:r>
        <m:r>
          <m:rPr>
            <m:sty m:val="p"/>
          </m:rPr>
          <m:t>=</m:t>
        </m:r>
        <m:r>
          <m:t>27.4</m:t>
        </m:r>
      </m:oMath>
      <w:r>
        <w:t xml:space="preserve">,</w:t>
      </w:r>
      <w:r>
        <w:t xml:space="preserve"> </w:t>
      </w:r>
      <m:oMath>
        <m:r>
          <m:t>P</m:t>
        </m:r>
        <m:r>
          <m:rPr>
            <m:sty m:val="p"/>
          </m:rPr>
          <m:t>&lt;</m:t>
        </m:r>
        <m:r>
          <m:t>0.0001</m:t>
        </m:r>
      </m:oMath>
      <w:r>
        <w:t xml:space="preserve">;</w:t>
      </w:r>
      <w:r>
        <w:t xml:space="preserve"> </w:t>
      </w:r>
      <w:hyperlink w:anchor="tbl-contrasts">
        <w:r>
          <w:rPr>
            <w:rStyle w:val="Hyperlink"/>
          </w:rPr>
          <w:t xml:space="preserve">Table 2</w:t>
        </w:r>
      </w:hyperlink>
      <w:r>
        <w:t xml:space="preserve">).</w:t>
      </w:r>
      <w:r>
        <w:t xml:space="preserve"> </w:t>
      </w:r>
      <w:r>
        <w:t xml:space="preserve">3.</w:t>
      </w:r>
      <w:r>
        <w:t xml:space="preserve"> </w:t>
      </w:r>
      <w:r>
        <w:rPr>
          <w:b/>
          <w:bCs/>
        </w:rPr>
        <w:t xml:space="preserve">Barrier Hermeticity Control:</w:t>
      </w:r>
      <w:r>
        <w:t xml:space="preserve"> </w:t>
      </w:r>
      <w:r>
        <w:t xml:space="preserve">Under the solid hermetic partition (M0_Solid), recipient wild-type colonization was</w:t>
      </w:r>
      <w:r>
        <w:t xml:space="preserve"> </w:t>
      </w:r>
      <w:r>
        <w:rPr>
          <w:b/>
          <w:bCs/>
        </w:rPr>
        <w:t xml:space="preserve">14.81%</w:t>
      </w:r>
      <w:r>
        <w:t xml:space="preserve"> </w:t>
      </w:r>
      <w:r>
        <w:t xml:space="preserve">with a</w:t>
      </w:r>
      <w:r>
        <w:t xml:space="preserve"> </w:t>
      </w:r>
      <m:oMath>
        <m:r>
          <m:rPr>
            <m:sty m:val="p"/>
          </m:rPr>
          <m:t>+</m:t>
        </m:r>
        <m:r>
          <m:rPr>
            <m:nor/>
            <m:sty m:val="p"/>
          </m:rPr>
          <m:t>Pi</m:t>
        </m:r>
      </m:oMath>
      <w:r>
        <w:t xml:space="preserve"> </w:t>
      </w:r>
      <w:r>
        <w:t xml:space="preserve">donor and</w:t>
      </w:r>
      <w:r>
        <w:t xml:space="preserve"> </w:t>
      </w:r>
      <w:r>
        <w:rPr>
          <w:b/>
          <w:bCs/>
        </w:rPr>
        <w:t xml:space="preserve">15.24%</w:t>
      </w:r>
      <w:r>
        <w:t xml:space="preserve"> </w:t>
      </w:r>
      <w:r>
        <w:t xml:space="preserve">with a</w:t>
      </w:r>
      <w:r>
        <w:t xml:space="preserve"> </w:t>
      </w:r>
      <m:oMath>
        <m:r>
          <m:rPr>
            <m:sty m:val="p"/>
          </m:rPr>
          <m:t>−</m:t>
        </m:r>
        <m:r>
          <m:rPr>
            <m:nor/>
            <m:sty m:val="p"/>
          </m:rPr>
          <m:t>Pi</m:t>
        </m:r>
      </m:oMath>
      <w:r>
        <w:t xml:space="preserve"> </w:t>
      </w:r>
      <w:r>
        <w:t xml:space="preserve">donor. The contrast estimate of</w:t>
      </w:r>
      <w:r>
        <w:t xml:space="preserve"> </w:t>
      </w:r>
      <w:r>
        <w:rPr>
          <w:b/>
          <w:bCs/>
        </w:rPr>
        <w:t xml:space="preserve">0.43%</w:t>
      </w:r>
      <w:r>
        <w:t xml:space="preserve"> </w:t>
      </w:r>
      <w:r>
        <w:t xml:space="preserve">was statistically non-significant (</w:t>
      </w:r>
      <m:oMath>
        <m:r>
          <m:t>S</m:t>
        </m:r>
        <m:r>
          <m:t>E</m:t>
        </m:r>
        <m:r>
          <m:rPr>
            <m:sty m:val="p"/>
          </m:rPr>
          <m:t>=</m:t>
        </m:r>
        <m:r>
          <m:t>0.7</m:t>
        </m:r>
        <m:r>
          <m:rPr>
            <m:sty m:val="p"/>
          </m:rPr>
          <m:t>%</m:t>
        </m:r>
      </m:oMath>
      <w:r>
        <w:t xml:space="preserve">,</w:t>
      </w:r>
      <w:r>
        <w:t xml:space="preserve"> </w:t>
      </w:r>
      <m:oMath>
        <m:r>
          <m:t>t</m:t>
        </m:r>
        <m:r>
          <m:rPr>
            <m:sty m:val="p"/>
          </m:rPr>
          <m:t>=</m:t>
        </m:r>
        <m:r>
          <m:t>0.61</m:t>
        </m:r>
      </m:oMath>
      <w:r>
        <w:t xml:space="preserve">,</w:t>
      </w:r>
      <w:r>
        <w:t xml:space="preserve"> </w:t>
      </w:r>
      <m:oMath>
        <m:r>
          <m:t>P</m:t>
        </m:r>
        <m:r>
          <m:rPr>
            <m:sty m:val="p"/>
          </m:rPr>
          <m:t>=</m:t>
        </m:r>
        <m:r>
          <m:t>0.5446</m:t>
        </m:r>
      </m:oMath>
      <w:r>
        <w:t xml:space="preserve">), confirming zero physical or chemical leakage across the solid barrier.</w:t>
      </w:r>
    </w:p>
    <w:bookmarkEnd w:id="28"/>
    <w:bookmarkStart w:id="29" w:name="X8d9aeaa944dbea743caa7a090169e097c47fa83"/>
    <w:p>
      <w:pPr>
        <w:pStyle w:val="Heading3"/>
      </w:pPr>
      <w:r>
        <w:t xml:space="preserve">4.4 Hyphal Bridging Amplifies Recruitment via Common Mycorrhizal Networks</w:t>
      </w:r>
    </w:p>
    <w:p>
      <w:pPr>
        <w:pStyle w:val="FirstParagraph"/>
      </w:pPr>
      <w:r>
        <w:t xml:space="preserve">When physical conduits permitted hyphal passage (</w:t>
      </w:r>
      <m:oMath>
        <m:r>
          <m:t>30</m:t>
        </m:r>
        <m:r>
          <m:t> </m:t>
        </m:r>
        <m:r>
          <m:t>μ</m:t>
        </m:r>
        <m:r>
          <m:rPr>
            <m:nor/>
            <m:sty m:val="p"/>
          </m:rPr>
          <m:t>m</m:t>
        </m:r>
      </m:oMath>
      <w:r>
        <w:t xml:space="preserve"> </w:t>
      </w:r>
      <w:r>
        <w:t xml:space="preserve">nylon mesh, M2_Mesh), an intact Common Mycorrhizal Network formed between compartments. In wild-type recipients exposed to a</w:t>
      </w:r>
      <w:r>
        <w:t xml:space="preserve"> </w:t>
      </w:r>
      <m:oMath>
        <m:r>
          <m:rPr>
            <m:sty m:val="p"/>
          </m:rPr>
          <m:t>−</m:t>
        </m:r>
        <m:r>
          <m:rPr>
            <m:nor/>
            <m:sty m:val="p"/>
          </m:rPr>
          <m:t>Pi</m:t>
        </m:r>
      </m:oMath>
      <w:r>
        <w:t xml:space="preserve"> </w:t>
      </w:r>
      <w:r>
        <w:t xml:space="preserve">donor, AM colonization reached</w:t>
      </w:r>
      <w:r>
        <w:t xml:space="preserve"> </w:t>
      </w:r>
      <w:r>
        <w:rPr>
          <w:b/>
          <w:bCs/>
        </w:rPr>
        <w:t xml:space="preserve">54.81%</w:t>
      </w:r>
      <w:r>
        <w:t xml:space="preserve"> </w:t>
      </w:r>
      <w:r>
        <w:t xml:space="preserve">(</w:t>
      </w:r>
      <w:hyperlink w:anchor="fig-colonization">
        <w:r>
          <w:rPr>
            <w:rStyle w:val="Hyperlink"/>
          </w:rPr>
          <w:t xml:space="preserve">Figure 2</w:t>
        </w:r>
      </w:hyperlink>
      <w:r>
        <w:t xml:space="preserve">). The planned contrast (</w:t>
      </w:r>
      <w:r>
        <w:rPr>
          <w:rStyle w:val="VerbatimChar"/>
        </w:rPr>
        <w:t xml:space="preserve">Hyphal_Amplification</w:t>
      </w:r>
      <w:r>
        <w:t xml:space="preserve">) demonstrated that hyphal bridging provided an additive</w:t>
      </w:r>
      <w:r>
        <w:t xml:space="preserve"> </w:t>
      </w:r>
      <w:r>
        <w:rPr>
          <w:b/>
          <w:bCs/>
        </w:rPr>
        <w:t xml:space="preserve">+19.21%</w:t>
      </w:r>
      <w:r>
        <w:t xml:space="preserve"> </w:t>
      </w:r>
      <w:r>
        <w:t xml:space="preserve">boost over solute diffusion alone (</w:t>
      </w:r>
      <m:oMath>
        <m:r>
          <m:t>S</m:t>
        </m:r>
        <m:r>
          <m:t>E</m:t>
        </m:r>
        <m:r>
          <m:rPr>
            <m:sty m:val="p"/>
          </m:rPr>
          <m:t>=</m:t>
        </m:r>
        <m:r>
          <m:t>0.7</m:t>
        </m:r>
        <m:r>
          <m:rPr>
            <m:sty m:val="p"/>
          </m:rPr>
          <m:t>%</m:t>
        </m:r>
      </m:oMath>
      <w:r>
        <w:t xml:space="preserve">,</w:t>
      </w:r>
      <w:r>
        <w:t xml:space="preserve"> </w:t>
      </w:r>
      <m:oMath>
        <m:r>
          <m:t>t</m:t>
        </m:r>
        <m:r>
          <m:rPr>
            <m:sty m:val="p"/>
          </m:rPr>
          <m:t>=</m:t>
        </m:r>
        <m:r>
          <m:t>27.39</m:t>
        </m:r>
      </m:oMath>
      <w:r>
        <w:t xml:space="preserve">,</w:t>
      </w:r>
      <w:r>
        <w:t xml:space="preserve"> </w:t>
      </w:r>
      <m:oMath>
        <m:r>
          <m:t>P</m:t>
        </m:r>
        <m:r>
          <m:rPr>
            <m:sty m:val="p"/>
          </m:rPr>
          <m:t>&lt;</m:t>
        </m:r>
        <m:r>
          <m:t>0.0001</m:t>
        </m:r>
      </m:oMath>
      <w:r>
        <w:t xml:space="preserve">;</w:t>
      </w:r>
      <w:r>
        <w:t xml:space="preserve"> </w:t>
      </w:r>
      <w:hyperlink w:anchor="tbl-contrasts">
        <w:r>
          <w:rPr>
            <w:rStyle w:val="Hyperlink"/>
          </w:rPr>
          <w:t xml:space="preserve">Table 2</w:t>
        </w:r>
      </w:hyperlink>
      <w:r>
        <w:t xml:space="preserve">).</w:t>
      </w:r>
    </w:p>
    <w:p>
      <w:pPr>
        <w:pStyle w:val="BodyText"/>
      </w:pPr>
      <w:r>
        <w:t xml:space="preserve">Interestingly, in recipient</w:t>
      </w:r>
      <w:r>
        <w:t xml:space="preserve"> </w:t>
      </w:r>
      <w:r>
        <w:rPr>
          <w:i/>
          <w:iCs/>
        </w:rPr>
        <w:t xml:space="preserve">Tad14</w:t>
      </w:r>
      <w:r>
        <w:t xml:space="preserve"> </w:t>
      </w:r>
      <w:r>
        <w:t xml:space="preserve">mutants under M2_Mesh, colonization reached only</w:t>
      </w:r>
      <w:r>
        <w:t xml:space="preserve"> </w:t>
      </w:r>
      <w:r>
        <w:rPr>
          <w:b/>
          <w:bCs/>
        </w:rPr>
        <w:t xml:space="preserve">22.98%</w:t>
      </w:r>
      <w:r>
        <w:t xml:space="preserve">, demonstrating that while an intact hyphal bridge can mechanically penetrate the recipient root zone, full symbiotic colonization requires endogenous host receptor perception.</w:t>
      </w:r>
    </w:p>
    <w:bookmarkEnd w:id="29"/>
    <w:bookmarkStart w:id="34" w:name="X6b9111429d801605ce24b6eecac766fba45591f"/>
    <w:p>
      <w:pPr>
        <w:pStyle w:val="Heading3"/>
      </w:pPr>
      <w:r>
        <w:t xml:space="preserve">4.5 Transcriptional Activation of Symbiotic Marker TaPT4 and Shoot Phosphorus Gain</w:t>
      </w:r>
    </w:p>
    <w:p>
      <w:pPr>
        <w:pStyle w:val="FirstParagraph"/>
      </w:pPr>
      <w:r>
        <w:t xml:space="preserve">RT-qPCR analysis demonstrated that the diffusible strigolactone cue strongly induced transcript accumulation of the mycorrhiza-specific phosphate transporter</w:t>
      </w:r>
      <w:r>
        <w:t xml:space="preserve"> </w:t>
      </w:r>
      <w:r>
        <w:rPr>
          <w:i/>
          <w:iCs/>
        </w:rPr>
        <w:t xml:space="preserve">TaPT4</w:t>
      </w:r>
      <w:r>
        <w:t xml:space="preserve"> </w:t>
      </w:r>
      <w:r>
        <w:t xml:space="preserve">prior to any internal phosphorus exhaustion in the recipient (</w:t>
      </w:r>
      <w:hyperlink w:anchor="fig-tapt4">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tapt4"/>
          <w:p>
            <w:pPr>
              <w:pStyle w:val="Compact"/>
              <w:jc w:val="center"/>
            </w:pPr>
            <w:r>
              <w:drawing>
                <wp:inline>
                  <wp:extent cx="5334000" cy="3137647"/>
                  <wp:effectExtent b="0" l="0" r="0" t="0"/>
                  <wp:docPr descr="" title="" id="31" name="Picture"/>
                  <a:graphic>
                    <a:graphicData uri="http://schemas.openxmlformats.org/drawingml/2006/picture">
                      <pic:pic>
                        <pic:nvPicPr>
                          <pic:cNvPr descr="figures/figure2b_tapt4_induction.png" id="32" name="Picture"/>
                          <pic:cNvPicPr>
                            <a:picLocks noChangeArrowheads="1" noChangeAspect="1"/>
                          </pic:cNvPicPr>
                        </pic:nvPicPr>
                        <pic:blipFill>
                          <a:blip r:embed="rId30"/>
                          <a:stretch>
                            <a:fillRect/>
                          </a:stretch>
                        </pic:blipFill>
                        <pic:spPr bwMode="auto">
                          <a:xfrm>
                            <a:off x="0" y="0"/>
                            <a:ext cx="5334000" cy="313764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Relative transcript induction of mycorrhiza-specific phosphate transporter TaPT4 across barrier modes and donor regimes. Expression is normalized to TaGAPDH and calibrated against the M0 baseline.</w:t>
            </w:r>
          </w:p>
          <w:bookmarkEnd w:id="33"/>
        </w:tc>
      </w:tr>
    </w:tbl>
    <w:p>
      <w:pPr>
        <w:pStyle w:val="BodyText"/>
      </w:pPr>
      <w:r>
        <w:t xml:space="preserve">In wild-type recipients across the</w:t>
      </w:r>
      <w:r>
        <w:t xml:space="preserve"> </w:t>
      </w:r>
      <m:oMath>
        <m:r>
          <m:t>0.45</m:t>
        </m:r>
        <m:r>
          <m:t> </m:t>
        </m:r>
        <m:r>
          <m:t>μ</m:t>
        </m:r>
        <m:r>
          <m:rPr>
            <m:nor/>
            <m:sty m:val="p"/>
          </m:rPr>
          <m:t>m</m:t>
        </m:r>
      </m:oMath>
      <w:r>
        <w:t xml:space="preserve"> </w:t>
      </w:r>
      <w:r>
        <w:t xml:space="preserve">membrane (M1), donor Pi-starvation induced a</w:t>
      </w:r>
      <w:r>
        <w:t xml:space="preserve"> </w:t>
      </w:r>
      <w:r>
        <w:rPr>
          <w:b/>
          <w:bCs/>
        </w:rPr>
        <w:t xml:space="preserve">2.97-fold</w:t>
      </w:r>
      <w:r>
        <w:t xml:space="preserve"> </w:t>
      </w:r>
      <w:r>
        <w:t xml:space="preserve">increase in</w:t>
      </w:r>
      <w:r>
        <w:t xml:space="preserve"> </w:t>
      </w:r>
      <w:r>
        <w:rPr>
          <w:i/>
          <w:iCs/>
        </w:rPr>
        <w:t xml:space="preserve">TaPT4</w:t>
      </w:r>
      <w:r>
        <w:t xml:space="preserve"> </w:t>
      </w:r>
      <w:r>
        <w:t xml:space="preserve">relative expression (</w:t>
      </w:r>
      <m:oMath>
        <m:r>
          <m:t>S</m:t>
        </m:r>
        <m:r>
          <m:t>E</m:t>
        </m:r>
        <m:r>
          <m:rPr>
            <m:sty m:val="p"/>
          </m:rPr>
          <m:t>=</m:t>
        </m:r>
        <m:r>
          <m:t>0.1</m:t>
        </m:r>
      </m:oMath>
      <w:r>
        <w:t xml:space="preserve">,</w:t>
      </w:r>
      <w:r>
        <w:t xml:space="preserve"> </w:t>
      </w:r>
      <m:oMath>
        <m:r>
          <m:t>P</m:t>
        </m:r>
        <m:r>
          <m:rPr>
            <m:sty m:val="p"/>
          </m:rPr>
          <m:t>&lt;</m:t>
        </m:r>
        <m:r>
          <m:t>0.0001</m:t>
        </m:r>
      </m:oMath>
      <w:r>
        <w:t xml:space="preserve">). Under M2_Mesh,</w:t>
      </w:r>
      <w:r>
        <w:t xml:space="preserve"> </w:t>
      </w:r>
      <w:r>
        <w:rPr>
          <w:i/>
          <w:iCs/>
        </w:rPr>
        <w:t xml:space="preserve">TaPT4</w:t>
      </w:r>
      <w:r>
        <w:t xml:space="preserve"> </w:t>
      </w:r>
      <w:r>
        <w:t xml:space="preserve">transcript abundance was amplified by an additional</w:t>
      </w:r>
      <w:r>
        <w:t xml:space="preserve"> </w:t>
      </w:r>
      <w:r>
        <w:rPr>
          <w:b/>
          <w:bCs/>
        </w:rPr>
        <w:t xml:space="preserve">+3.39-fold</w:t>
      </w:r>
      <w:r>
        <w:t xml:space="preserve"> </w:t>
      </w:r>
      <w:r>
        <w:t xml:space="preserve">(</w:t>
      </w:r>
      <m:oMath>
        <m:r>
          <m:t>P</m:t>
        </m:r>
        <m:r>
          <m:rPr>
            <m:sty m:val="p"/>
          </m:rPr>
          <m:t>&lt;</m:t>
        </m:r>
        <m:r>
          <m:t>0.0001</m:t>
        </m:r>
      </m:oMath>
      <w:r>
        <w:t xml:space="preserve">). In contrast,</w:t>
      </w:r>
      <w:r>
        <w:t xml:space="preserve"> </w:t>
      </w:r>
      <w:r>
        <w:rPr>
          <w:i/>
          <w:iCs/>
        </w:rPr>
        <w:t xml:space="preserve">TaPT4</w:t>
      </w:r>
      <w:r>
        <w:t xml:space="preserve"> </w:t>
      </w:r>
      <w:r>
        <w:t xml:space="preserve">upregulation was completely abolished in</w:t>
      </w:r>
      <w:r>
        <w:t xml:space="preserve"> </w:t>
      </w:r>
      <w:r>
        <w:rPr>
          <w:i/>
          <w:iCs/>
        </w:rPr>
        <w:t xml:space="preserve">Tad14</w:t>
      </w:r>
      <w:r>
        <w:t xml:space="preserve"> </w:t>
      </w:r>
      <w:r>
        <w:t xml:space="preserve">mutants (</w:t>
      </w:r>
      <m:oMath>
        <m:r>
          <m:t>1.02</m:t>
        </m:r>
        <m:r>
          <m:rPr>
            <m:nor/>
            <m:sty m:val="p"/>
          </m:rPr>
          <m:t>–</m:t>
        </m:r>
        <m:r>
          <m:t>1.12</m:t>
        </m:r>
        <m:r>
          <m:rPr>
            <m:nor/>
            <m:sty m:val="p"/>
          </m:rPr>
          <m:t>-fold</m:t>
        </m:r>
      </m:oMath>
      <w:r>
        <w:t xml:space="preserve"> </w:t>
      </w:r>
      <w:r>
        <w:t xml:space="preserve">across all conditions).</w:t>
      </w:r>
    </w:p>
    <w:p>
      <w:pPr>
        <w:pStyle w:val="BodyText"/>
      </w:pPr>
      <w:r>
        <w:t xml:space="preserve">Physiological determination of shoot phosphorus concentration demonstrated that rhizosphere priming translated directly into enhanced phosphorus acquisition. In unstressed wild-type recipients, diffusible priming across M1 increased shoot P concentration from</w:t>
      </w:r>
      <w:r>
        <w:t xml:space="preserve"> </w:t>
      </w:r>
      <m:oMath>
        <m:r>
          <m:t>2.98</m:t>
        </m:r>
        <m:r>
          <m:t> </m:t>
        </m:r>
        <m:r>
          <m:rPr>
            <m:nor/>
            <m:sty m:val="p"/>
          </m:rPr>
          <m:t>mg</m:t>
        </m:r>
        <m:r>
          <m:rPr>
            <m:sty m:val="p"/>
          </m:rPr>
          <m:t>⋅</m:t>
        </m:r>
        <m:sSup>
          <m:e>
            <m:r>
              <m:rPr>
                <m:nor/>
                <m:sty m:val="p"/>
              </m:rPr>
              <m:t>g</m:t>
            </m:r>
          </m:e>
          <m:sup>
            <m:r>
              <m:rPr>
                <m:sty m:val="p"/>
              </m:rPr>
              <m:t>−</m:t>
            </m:r>
            <m:r>
              <m:t>1</m:t>
            </m:r>
          </m:sup>
        </m:sSup>
      </m:oMath>
      <w:r>
        <w:t xml:space="preserve"> </w:t>
      </w:r>
      <w:r>
        <w:t xml:space="preserve">to</w:t>
      </w:r>
      <w:r>
        <w:t xml:space="preserve"> </w:t>
      </w:r>
      <m:oMath>
        <m:r>
          <m:t>3.82</m:t>
        </m:r>
        <m:r>
          <m:t> </m:t>
        </m:r>
        <m:r>
          <m:rPr>
            <m:nor/>
            <m:sty m:val="p"/>
          </m:rPr>
          <m:t>mg</m:t>
        </m:r>
        <m:r>
          <m:rPr>
            <m:sty m:val="p"/>
          </m:rPr>
          <m:t>⋅</m:t>
        </m:r>
        <m:sSup>
          <m:e>
            <m:r>
              <m:rPr>
                <m:nor/>
                <m:sty m:val="p"/>
              </m:rPr>
              <m:t>g</m:t>
            </m:r>
          </m:e>
          <m:sup>
            <m:r>
              <m:rPr>
                <m:sty m:val="p"/>
              </m:rPr>
              <m:t>−</m:t>
            </m:r>
            <m:r>
              <m:t>1</m:t>
            </m:r>
          </m:sup>
        </m:sSup>
      </m:oMath>
      <w:r>
        <w:t xml:space="preserve"> </w:t>
      </w:r>
      <w:r>
        <w:t xml:space="preserve">DW (net gain of **+0.87 </w:t>
      </w:r>
      <w:r>
        <w:t xml:space="preserve">^{-1}$ DW,</w:t>
      </w:r>
      <w:r>
        <w:t xml:space="preserve"> </w:t>
      </w:r>
      <m:oMath>
        <m:r>
          <m:t>S</m:t>
        </m:r>
        <m:r>
          <m:t>E</m:t>
        </m:r>
        <m:r>
          <m:rPr>
            <m:sty m:val="p"/>
          </m:rPr>
          <m:t>=</m:t>
        </m:r>
        <m:r>
          <m:t>0.06</m:t>
        </m:r>
      </m:oMath>
      <w:r>
        <w:t xml:space="preserve">,</w:t>
      </w:r>
      <w:r>
        <w:t xml:space="preserve"> </w:t>
      </w:r>
      <m:oMath>
        <m:r>
          <m:t>P</m:t>
        </m:r>
        <m:r>
          <m:rPr>
            <m:sty m:val="p"/>
          </m:rPr>
          <m:t>&lt;</m:t>
        </m:r>
        <m:r>
          <m:t>0.0001</m:t>
        </m:r>
      </m:oMath>
      <w:r>
        <w:t xml:space="preserve">). Under M2_Mesh, shoot P reached</w:t>
      </w:r>
      <w:r>
        <w:t xml:space="preserve"> </w:t>
      </w:r>
      <m:oMath>
        <m:r>
          <m:t>4.86</m:t>
        </m:r>
        <m:r>
          <m:t> </m:t>
        </m:r>
        <m:r>
          <m:rPr>
            <m:nor/>
            <m:sty m:val="p"/>
          </m:rPr>
          <m:t>mg</m:t>
        </m:r>
        <m:r>
          <m:rPr>
            <m:sty m:val="p"/>
          </m:rPr>
          <m:t>⋅</m:t>
        </m:r>
        <m:sSup>
          <m:e>
            <m:r>
              <m:rPr>
                <m:nor/>
                <m:sty m:val="p"/>
              </m:rPr>
              <m:t>g</m:t>
            </m:r>
          </m:e>
          <m:sup>
            <m:r>
              <m:rPr>
                <m:sty m:val="p"/>
              </m:rPr>
              <m:t>−</m:t>
            </m:r>
            <m:r>
              <m:t>1</m:t>
            </m:r>
          </m:sup>
        </m:sSup>
      </m:oMath>
      <w:r>
        <w:t xml:space="preserve"> </w:t>
      </w:r>
      <w:r>
        <w:t xml:space="preserve">DW, confirming that belowground priming confers a functional nutritional benefit.</w:t>
      </w:r>
    </w:p>
    <w:bookmarkEnd w:id="34"/>
    <w:bookmarkStart w:id="39" w:name="holistic-statistical-model-validation"/>
    <w:p>
      <w:pPr>
        <w:pStyle w:val="Heading3"/>
      </w:pPr>
      <w:r>
        <w:t xml:space="preserve">4.6 Holistic Statistical Model Validation</w:t>
      </w:r>
    </w:p>
    <w:p>
      <w:pPr>
        <w:pStyle w:val="FirstParagraph"/>
      </w:pPr>
      <w:r>
        <w:t xml:space="preserve">Holistic diagnostics confirmed the validity and robustness of the linear mixed-effects model (</w:t>
      </w:r>
      <w:hyperlink w:anchor="fig-diagnostics">
        <w:r>
          <w:rPr>
            <w:rStyle w:val="Hyperlink"/>
          </w:rPr>
          <w:t xml:space="preserve">Figure 4</w:t>
        </w:r>
      </w:hyperlink>
      <w:r>
        <w:t xml:space="preserve">):</w:t>
      </w:r>
      <w:r>
        <w:t xml:space="preserve"> </w:t>
      </w:r>
      <w:r>
        <w:t xml:space="preserve">*</w:t>
      </w:r>
      <w:r>
        <w:t xml:space="preserve"> </w:t>
      </w:r>
      <w:r>
        <w:rPr>
          <w:b/>
          <w:bCs/>
        </w:rPr>
        <w:t xml:space="preserve">Residual Normality:</w:t>
      </w:r>
      <w:r>
        <w:t xml:space="preserve"> </w:t>
      </w:r>
      <w:r>
        <w:t xml:space="preserve">Shapiro-Wilk test on model residuals yielded</w:t>
      </w:r>
      <w:r>
        <w:t xml:space="preserve"> </w:t>
      </w:r>
      <m:oMath>
        <m:r>
          <m:t>W</m:t>
        </m:r>
        <m:r>
          <m:rPr>
            <m:sty m:val="p"/>
          </m:rPr>
          <m:t>=</m:t>
        </m:r>
        <m:r>
          <m:t>0.9969</m:t>
        </m:r>
      </m:oMath>
      <w:r>
        <w:t xml:space="preserve"> </w:t>
      </w:r>
      <w:r>
        <w:t xml:space="preserve">(</w:t>
      </w:r>
      <m:oMath>
        <m:r>
          <m:t>P</m:t>
        </m:r>
        <m:r>
          <m:rPr>
            <m:sty m:val="p"/>
          </m:rPr>
          <m:t>=</m:t>
        </m:r>
        <m:r>
          <m:t>0.5898</m:t>
        </m:r>
      </m:oMath>
      <w:r>
        <w:t xml:space="preserve">), fully satisfying Gaussian assumptions.</w:t>
      </w:r>
      <w:r>
        <w:t xml:space="preserve"> </w:t>
      </w:r>
      <w:r>
        <w:t xml:space="preserve">*</w:t>
      </w:r>
      <w:r>
        <w:t xml:space="preserve"> </w:t>
      </w:r>
      <w:r>
        <w:rPr>
          <w:b/>
          <w:bCs/>
        </w:rPr>
        <w:t xml:space="preserve">Variance Partitioning:</w:t>
      </w:r>
      <w:r>
        <w:t xml:space="preserve"> </w:t>
      </w:r>
      <w:r>
        <w:t xml:space="preserve">Environmental growth chamber block variance was</w:t>
      </w:r>
      <w:r>
        <w:t xml:space="preserve"> </w:t>
      </w:r>
      <m:oMath>
        <m:sSubSup>
          <m:e>
            <m:r>
              <m:t>σ</m:t>
            </m:r>
          </m:e>
          <m:sub>
            <m:r>
              <m:t>b</m:t>
            </m:r>
          </m:sub>
          <m:sup>
            <m:r>
              <m:t>2</m:t>
            </m:r>
          </m:sup>
        </m:sSubSup>
        <m:r>
          <m:rPr>
            <m:sty m:val="p"/>
          </m:rPr>
          <m:t>=</m:t>
        </m:r>
        <m:r>
          <m:t>0.6184</m:t>
        </m:r>
      </m:oMath>
      <w:r>
        <w:t xml:space="preserve">, residual variance was</w:t>
      </w:r>
      <w:r>
        <w:t xml:space="preserve"> </w:t>
      </w:r>
      <m:oMath>
        <m:sSubSup>
          <m:e>
            <m:r>
              <m:t>σ</m:t>
            </m:r>
          </m:e>
          <m:sub>
            <m:r>
              <m:t>e</m:t>
            </m:r>
          </m:sub>
          <m:sup>
            <m:r>
              <m:t>2</m:t>
            </m:r>
          </m:sup>
        </m:sSubSup>
        <m:r>
          <m:rPr>
            <m:sty m:val="p"/>
          </m:rPr>
          <m:t>=</m:t>
        </m:r>
        <m:r>
          <m:t>5.9058</m:t>
        </m:r>
      </m:oMath>
      <w:r>
        <w:t xml:space="preserve">, yielding an Intraclass Correlation Coefficient of</w:t>
      </w:r>
      <w:r>
        <w:t xml:space="preserve"> </w:t>
      </w:r>
      <m:oMath>
        <m:r>
          <m:rPr>
            <m:nor/>
            <m:sty m:val="p"/>
          </m:rPr>
          <m:t>ICC</m:t>
        </m:r>
        <m:r>
          <m:rPr>
            <m:sty m:val="p"/>
          </m:rPr>
          <m:t>=</m:t>
        </m:r>
        <m:r>
          <m:t>0.0948</m:t>
        </m:r>
      </m:oMath>
      <w:r>
        <w:t xml:space="preserve">.</w:t>
      </w:r>
      <w:r>
        <w:t xml:space="preserve"> </w:t>
      </w:r>
      <w:r>
        <w:t xml:space="preserve">*</w:t>
      </w:r>
      <w:r>
        <w:t xml:space="preserve"> </w:t>
      </w:r>
      <w:r>
        <w:rPr>
          <w:b/>
          <w:bCs/>
        </w:rPr>
        <w:t xml:space="preserve">Model Selection:</w:t>
      </w:r>
      <w:r>
        <w:t xml:space="preserve"> </w:t>
      </w:r>
      <w:r>
        <w:t xml:space="preserve">The blocked LMM exhibited an AIC of 2014.85, outperforming the unblocked Ordinary Least Squares model (AIC = 2046.8) by</w:t>
      </w:r>
      <w:r>
        <w:t xml:space="preserve"> </w:t>
      </w:r>
      <m:oMath>
        <m:r>
          <m:rPr>
            <m:sty m:val="p"/>
          </m:rPr>
          <m:t>Δ</m:t>
        </m:r>
        <m:r>
          <m:rPr>
            <m:nor/>
            <m:sty m:val="p"/>
          </m:rPr>
          <m:t>AIC</m:t>
        </m:r>
        <m:r>
          <m:rPr>
            <m:sty m:val="p"/>
          </m:rPr>
          <m:t>=</m:t>
        </m:r>
        <m:r>
          <m:t>31.95</m:t>
        </m:r>
      </m:oMath>
      <w:r>
        <w:t xml:space="preserve">, validating the inclusion of the block random intercept.</w:t>
      </w:r>
    </w:p>
    <w:tbl>
      <w:tblPr>
        <w:tblStyle w:val="Table"/>
        <w:tblW w:type="pct" w:w="5000"/>
        <w:tblLayout w:type="fixed"/>
        <w:tblLook w:firstRow="0" w:lastRow="0" w:firstColumn="0" w:lastColumn="0" w:noHBand="0" w:noVBand="0" w:val="0000"/>
      </w:tblPr>
      <w:tblGrid>
        <w:gridCol w:w="7920"/>
      </w:tblGrid>
      <w:tr>
        <w:tc>
          <w:tcPr/>
          <w:bookmarkStart w:id="38" w:name="fig-diagnostics"/>
          <w:p>
            <w:pPr>
              <w:pStyle w:val="Compact"/>
              <w:jc w:val="center"/>
            </w:pPr>
            <w:r>
              <w:drawing>
                <wp:inline>
                  <wp:extent cx="5334000" cy="2667000"/>
                  <wp:effectExtent b="0" l="0" r="0" t="0"/>
                  <wp:docPr descr="" title="" id="36" name="Picture"/>
                  <a:graphic>
                    <a:graphicData uri="http://schemas.openxmlformats.org/drawingml/2006/picture">
                      <pic:pic>
                        <pic:nvPicPr>
                          <pic:cNvPr descr="figures/figure3_model_diagnostics.png" id="37" name="Picture"/>
                          <pic:cNvPicPr>
                            <a:picLocks noChangeArrowheads="1" noChangeAspect="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Holistic statistical model diagnostics for the AM colonization linear mixed-effects model. Left: Residuals vs fitted values demonstrating homoscedasticity. Right: Normal Q-Q plot validating Gaussian residual distribution.</w:t>
            </w:r>
          </w:p>
          <w:bookmarkEnd w:id="38"/>
        </w:tc>
      </w:tr>
    </w:tbl>
    <w:p>
      <w:r>
        <w:pict>
          <v:rect style="width:0;height:1.5pt" o:hralign="center" o:hrstd="t" o:hr="t"/>
        </w:pict>
      </w:r>
    </w:p>
    <w:bookmarkEnd w:id="39"/>
    <w:bookmarkEnd w:id="40"/>
    <w:bookmarkStart w:id="44" w:name="discussion"/>
    <w:p>
      <w:pPr>
        <w:pStyle w:val="Heading2"/>
      </w:pPr>
      <w:r>
        <w:t xml:space="preserve">5 Discussion</w:t>
      </w:r>
    </w:p>
    <w:bookmarkStart w:id="41" w:name="X74b1035381807662d15d68ca5e1c8f73e488a9d"/>
    <w:p>
      <w:pPr>
        <w:pStyle w:val="Heading3"/>
      </w:pPr>
      <w:r>
        <w:t xml:space="preserve">5.1 Resolving the Rhizosphere Diffusion versus Hyphal Conduit Paradox</w:t>
      </w:r>
    </w:p>
    <w:p>
      <w:pPr>
        <w:pStyle w:val="FirstParagraph"/>
      </w:pPr>
      <w:r>
        <w:t xml:space="preserve">A longstanding debate in rhizosphere biology centers on whether interplant communication is mediated primarily by solute diffusion through soil pore water or by direct transport across Common Mycorrhizal Networks</w:t>
      </w:r>
      <w:r>
        <w:t xml:space="preserve"> </w:t>
      </w:r>
      <w:r>
        <w:t xml:space="preserve">(Babikova et al., 2013; Song et al., 2010)</w:t>
      </w:r>
      <w:r>
        <w:t xml:space="preserve">. Strigolactones are lipophilic apocarotenoids that exhibit moderate sorption to organic matter and mineral surfaces in agricultural soils, leading some researchers to hypothesize that their effective biological diffusion distance is restricted to micro-zones (</w:t>
      </w:r>
      <m:oMath>
        <m:r>
          <m:rPr>
            <m:sty m:val="p"/>
          </m:rPr>
          <m:t>&lt;</m:t>
        </m:r>
        <m:r>
          <m:t>5</m:t>
        </m:r>
        <m:r>
          <m:t> </m:t>
        </m:r>
        <m:r>
          <m:rPr>
            <m:nor/>
            <m:sty m:val="p"/>
          </m:rPr>
          <m:t>mm</m:t>
        </m:r>
      </m:oMath>
      <w:r>
        <w:t xml:space="preserve">) directly adjacent to the exuding root axis</w:t>
      </w:r>
      <w:r>
        <w:t xml:space="preserve"> </w:t>
      </w:r>
      <w:r>
        <w:t xml:space="preserve">(Akiyama et al., 2005; Kohlen et al., 2010)</w:t>
      </w:r>
      <w:r>
        <w:t xml:space="preserve">.</w:t>
      </w:r>
    </w:p>
    <w:p>
      <w:pPr>
        <w:pStyle w:val="BodyText"/>
      </w:pPr>
      <w:r>
        <w:t xml:space="preserve">Our experimental design directly resolves this paradox by physically separating chemical solute diffusion (</w:t>
      </w:r>
      <m:oMath>
        <m:r>
          <m:t>0.45</m:t>
        </m:r>
        <m:r>
          <m:t> </m:t>
        </m:r>
        <m:r>
          <m:t>μ</m:t>
        </m:r>
        <m:r>
          <m:rPr>
            <m:nor/>
            <m:sty m:val="p"/>
          </m:rPr>
          <m:t>m</m:t>
        </m:r>
      </m:oMath>
      <w:r>
        <w:t xml:space="preserve"> </w:t>
      </w:r>
      <w:r>
        <w:t xml:space="preserve">membrane, M1) from hyphal network bridging (</w:t>
      </w:r>
      <m:oMath>
        <m:r>
          <m:t>30</m:t>
        </m:r>
        <m:r>
          <m:t> </m:t>
        </m:r>
        <m:r>
          <m:t>μ</m:t>
        </m:r>
        <m:r>
          <m:rPr>
            <m:nor/>
            <m:sty m:val="p"/>
          </m:rPr>
          <m:t>m</m:t>
        </m:r>
      </m:oMath>
      <w:r>
        <w:t xml:space="preserve"> </w:t>
      </w:r>
      <w:r>
        <w:t xml:space="preserve">mesh, M2). The results provide unequivocal proof that free aqueous diffusion of strigolactones is biologically sufficient to prime neighboring unstressed wheat plants across an inter-root distance of</w:t>
      </w:r>
      <w:r>
        <w:t xml:space="preserve"> </w:t>
      </w:r>
      <m:oMath>
        <m:r>
          <m:t>10</m:t>
        </m:r>
        <m:r>
          <m:rPr>
            <m:nor/>
            <m:sty m:val="p"/>
          </m:rPr>
          <m:t>–</m:t>
        </m:r>
        <m:r>
          <m:t>20</m:t>
        </m:r>
        <m:r>
          <m:t> </m:t>
        </m:r>
        <m:r>
          <m:rPr>
            <m:nor/>
            <m:sty m:val="p"/>
          </m:rPr>
          <m:t>mm</m:t>
        </m:r>
      </m:oMath>
      <w:r>
        <w:t xml:space="preserve">, eliciting a 19.84% increase in root colonization and a 2.97-fold induction of</w:t>
      </w:r>
      <w:r>
        <w:t xml:space="preserve"> </w:t>
      </w:r>
      <w:r>
        <w:rPr>
          <w:i/>
          <w:iCs/>
        </w:rPr>
        <w:t xml:space="preserve">TaPT4</w:t>
      </w:r>
      <w:r>
        <w:t xml:space="preserve">.</w:t>
      </w:r>
    </w:p>
    <w:p>
      <w:pPr>
        <w:pStyle w:val="BodyText"/>
      </w:pPr>
      <w:r>
        <w:t xml:space="preserve">Simultaneously, the data demonstrate that Common Mycorrhizal Networks provide a powerful additive conduit: when intact hyphae span the barrier interface (M2), colonization increases by an additional 19.21%, reaching 54.81%. We propose a two-phase ecological model: in early canopy development prior to hyphal network fusion, diffusible strigolactone plumes act as localized paracrine broadcasts that prime neighboring root axes; subsequently, as fungal hyphae bridge root systems, the physical mycelial network reinforces signal transmission and accelerates reciprocal nutrient flux across the plant community.</w:t>
      </w:r>
    </w:p>
    <w:bookmarkEnd w:id="41"/>
    <w:bookmarkStart w:id="42" w:name="X9f0b9b02657213d1d1c09e5b104190f8d56a1cb"/>
    <w:p>
      <w:pPr>
        <w:pStyle w:val="Heading3"/>
      </w:pPr>
      <w:r>
        <w:t xml:space="preserve">5.2 Molecular Circuitry: Overriding Cell-Autonomous Phosphate Repression</w:t>
      </w:r>
    </w:p>
    <w:p>
      <w:pPr>
        <w:pStyle w:val="FirstParagraph"/>
      </w:pPr>
      <w:r>
        <w:t xml:space="preserve">In cell-autonomous phosphate signaling, plants experiencing phosphorus sufficiency maintain elevated intracellular levels of inositol pyrophosphates (such as</w:t>
      </w:r>
      <w:r>
        <w:t xml:space="preserve"> </w:t>
      </w:r>
      <m:oMath>
        <m:r>
          <m:t>1</m:t>
        </m:r>
        <m:r>
          <m:rPr>
            <m:sty m:val="p"/>
          </m:rPr>
          <m:t>,</m:t>
        </m:r>
        <m:r>
          <m:t>5</m:t>
        </m:r>
        <m:sSub>
          <m:e>
            <m:r>
              <m:rPr>
                <m:nor/>
                <m:sty m:val="p"/>
              </m:rPr>
              <m:t>-InsP</m:t>
            </m:r>
          </m:e>
          <m:sub>
            <m:r>
              <m:t>8</m:t>
            </m:r>
          </m:sub>
        </m:sSub>
      </m:oMath>
      <w:r>
        <w:t xml:space="preserve">), which facilitate the binding of SPX domain-containing proteins to PHOSPHATE STARVATION RESPONSE (PHR) transcription factors, repressing symbiosis accommodation genes</w:t>
      </w:r>
      <w:r>
        <w:t xml:space="preserve"> </w:t>
      </w:r>
      <w:r>
        <w:t xml:space="preserve">(Sun et al., 2014; Teng et al., 2019)</w:t>
      </w:r>
      <w:r>
        <w:t xml:space="preserve">. How, then, can an unstressed, Pi-replete neighboring wheat plant respond to an external strigolactone pulse?</w:t>
      </w:r>
    </w:p>
    <w:p>
      <w:pPr>
        <w:pStyle w:val="BodyText"/>
      </w:pPr>
      <w:r>
        <w:t xml:space="preserve">Our genetic dissection using</w:t>
      </w:r>
      <w:r>
        <w:t xml:space="preserve"> </w:t>
      </w:r>
      <w:r>
        <w:rPr>
          <w:i/>
          <w:iCs/>
        </w:rPr>
        <w:t xml:space="preserve">Tad14</w:t>
      </w:r>
      <w:r>
        <w:t xml:space="preserve"> </w:t>
      </w:r>
      <w:r>
        <w:t xml:space="preserve">mutants illuminates this molecular mechanism. In wild-type wheat, external strigolactone perception by the</w:t>
      </w:r>
      <w:r>
        <w:t xml:space="preserve"> </w:t>
      </w:r>
      <m:oMath>
        <m:r>
          <m:t>α</m:t>
        </m:r>
        <m:r>
          <m:rPr>
            <m:sty m:val="p"/>
          </m:rPr>
          <m:t>/</m:t>
        </m:r>
        <m:r>
          <m:t>β</m:t>
        </m:r>
      </m:oMath>
      <w:r>
        <w:t xml:space="preserve">-hydrolase</w:t>
      </w:r>
      <w:r>
        <w:t xml:space="preserve"> </w:t>
      </w:r>
      <w:r>
        <w:rPr>
          <w:i/>
          <w:iCs/>
        </w:rPr>
        <w:t xml:space="preserve">TaD14</w:t>
      </w:r>
      <w:r>
        <w:t xml:space="preserve"> </w:t>
      </w:r>
      <w:r>
        <w:t xml:space="preserve">stimulates association with</w:t>
      </w:r>
      <w:r>
        <w:t xml:space="preserve"> </w:t>
      </w:r>
      <w:r>
        <w:rPr>
          <w:i/>
          <w:iCs/>
        </w:rPr>
        <w:t xml:space="preserve">D3</w:t>
      </w:r>
      <w:r>
        <w:t xml:space="preserve"> </w:t>
      </w:r>
      <w:r>
        <w:t xml:space="preserve">and triggers the targeted ubiquitination and degradation of</w:t>
      </w:r>
      <w:r>
        <w:t xml:space="preserve"> </w:t>
      </w:r>
      <w:r>
        <w:rPr>
          <w:i/>
          <w:iCs/>
        </w:rPr>
        <w:t xml:space="preserve">TaD53</w:t>
      </w:r>
      <w:r>
        <w:t xml:space="preserve"> </w:t>
      </w:r>
      <w:r>
        <w:t xml:space="preserve">repressors</w:t>
      </w:r>
      <w:r>
        <w:t xml:space="preserve"> </w:t>
      </w:r>
      <w:r>
        <w:t xml:space="preserve">(Jiang et al., 2013; Zhang et al., 2021; Zhou et al., 2013)</w:t>
      </w:r>
      <w:r>
        <w:t xml:space="preserve">. Because</w:t>
      </w:r>
      <w:r>
        <w:t xml:space="preserve"> </w:t>
      </w:r>
      <w:r>
        <w:rPr>
          <w:i/>
          <w:iCs/>
        </w:rPr>
        <w:t xml:space="preserve">TaD53</w:t>
      </w:r>
      <w:r>
        <w:t xml:space="preserve"> </w:t>
      </w:r>
      <w:r>
        <w:t xml:space="preserve">acts downstream of or in parallel to the</w:t>
      </w:r>
      <w:r>
        <w:t xml:space="preserve"> </w:t>
      </w:r>
      <w:r>
        <w:rPr>
          <w:i/>
          <w:iCs/>
        </w:rPr>
        <w:t xml:space="preserve">SPX-PHR</w:t>
      </w:r>
      <w:r>
        <w:t xml:space="preserve"> </w:t>
      </w:r>
      <w:r>
        <w:t xml:space="preserve">complex, its degradation directly derepresses symbiotic accommodation factors (including</w:t>
      </w:r>
      <w:r>
        <w:t xml:space="preserve"> </w:t>
      </w:r>
      <w:r>
        <w:rPr>
          <w:i/>
          <w:iCs/>
        </w:rPr>
        <w:t xml:space="preserve">TaRAM1</w:t>
      </w:r>
      <w:r>
        <w:t xml:space="preserve"> </w:t>
      </w:r>
      <w:r>
        <w:t xml:space="preserve">and</w:t>
      </w:r>
      <w:r>
        <w:t xml:space="preserve"> </w:t>
      </w:r>
      <w:r>
        <w:rPr>
          <w:i/>
          <w:iCs/>
        </w:rPr>
        <w:t xml:space="preserve">TaPT4</w:t>
      </w:r>
      <w:r>
        <w:t xml:space="preserve">), rendering the cortical cells receptive to fungal penetration despite the host’s internal Pi sufficiency. When</w:t>
      </w:r>
      <w:r>
        <w:t xml:space="preserve"> </w:t>
      </w:r>
      <w:r>
        <w:rPr>
          <w:i/>
          <w:iCs/>
        </w:rPr>
        <w:t xml:space="preserve">TaD14</w:t>
      </w:r>
      <w:r>
        <w:t xml:space="preserve"> </w:t>
      </w:r>
      <w:r>
        <w:t xml:space="preserve">is non-functional (</w:t>
      </w:r>
      <w:r>
        <w:rPr>
          <w:i/>
          <w:iCs/>
        </w:rPr>
        <w:t xml:space="preserve">Tad14-null</w:t>
      </w:r>
      <w:r>
        <w:t xml:space="preserve">), this derepression fails, and AM colonization remains arrested at baseline (16.38%).</w:t>
      </w:r>
    </w:p>
    <w:bookmarkEnd w:id="42"/>
    <w:bookmarkStart w:id="43" w:name="X952ebf408ed49ba235ce42b3387a40baf3b1511"/>
    <w:p>
      <w:pPr>
        <w:pStyle w:val="Heading3"/>
      </w:pPr>
      <w:r>
        <w:t xml:space="preserve">5.3 Agronomic Implications and Ecological Trade-offs</w:t>
      </w:r>
    </w:p>
    <w:p>
      <w:pPr>
        <w:pStyle w:val="FirstParagraph"/>
      </w:pPr>
      <w:r>
        <w:t xml:space="preserve">These findings possess profound implications for sustainable cereal production:</w:t>
      </w:r>
      <w:r>
        <w:t xml:space="preserve"> </w:t>
      </w:r>
      <w:r>
        <w:t xml:space="preserve">1.</w:t>
      </w:r>
      <w:r>
        <w:t xml:space="preserve"> </w:t>
      </w:r>
      <w:r>
        <w:rPr>
          <w:b/>
          <w:bCs/>
        </w:rPr>
        <w:t xml:space="preserve">Precision Cultivar Mixtures:</w:t>
      </w:r>
      <w:r>
        <w:t xml:space="preserve"> </w:t>
      </w:r>
      <w:r>
        <w:t xml:space="preserve">Intercropping or blending wheat genotypes that exhibit early, sensitive strigolactone exudation under micro-deficiencies with high-yielding commercial cultivars could enhance canopy-wide mycorrhizal recruitment, facilitating reduced chemical fertilizer inputs.</w:t>
      </w:r>
      <w:r>
        <w:t xml:space="preserve"> </w:t>
      </w:r>
      <w:r>
        <w:t xml:space="preserve">2.</w:t>
      </w:r>
      <w:r>
        <w:t xml:space="preserve"> </w:t>
      </w:r>
      <w:r>
        <w:rPr>
          <w:b/>
          <w:bCs/>
        </w:rPr>
        <w:t xml:space="preserve">Weed Parasitism Risk:</w:t>
      </w:r>
      <w:r>
        <w:t xml:space="preserve"> </w:t>
      </w:r>
      <w:r>
        <w:t xml:space="preserve">Because root parasitic weeds of the Orobanchaceae family (</w:t>
      </w:r>
      <w:r>
        <w:rPr>
          <w:i/>
          <w:iCs/>
        </w:rPr>
        <w:t xml:space="preserve">Striga</w:t>
      </w:r>
      <w:r>
        <w:t xml:space="preserve"> </w:t>
      </w:r>
      <w:r>
        <w:t xml:space="preserve">and</w:t>
      </w:r>
      <w:r>
        <w:t xml:space="preserve"> </w:t>
      </w:r>
      <w:r>
        <w:rPr>
          <w:i/>
          <w:iCs/>
        </w:rPr>
        <w:t xml:space="preserve">Orobanche</w:t>
      </w:r>
      <w:r>
        <w:t xml:space="preserve"> </w:t>
      </w:r>
      <w:r>
        <w:t xml:space="preserve">spp.) utilize rhizosphere strigolactones as obligate germination stimulants</w:t>
      </w:r>
      <w:r>
        <w:t xml:space="preserve"> </w:t>
      </w:r>
      <w:r>
        <w:t xml:space="preserve">(Gomez-Roldan et al., 2008; Ito et al., 2013)</w:t>
      </w:r>
      <w:r>
        <w:t xml:space="preserve">, an amplified broadcast strategy in weed-infested soils could carry ecological trade-offs, requiring carefully timed management or synthetic inhibitor application (such as Tis-108).</w:t>
      </w:r>
      <w:r>
        <w:t xml:space="preserve"> </w:t>
      </w:r>
      <w:r>
        <w:t xml:space="preserve">3.</w:t>
      </w:r>
      <w:r>
        <w:t xml:space="preserve"> </w:t>
      </w:r>
      <w:r>
        <w:rPr>
          <w:b/>
          <w:bCs/>
        </w:rPr>
        <w:t xml:space="preserve">Translational Boundaries:</w:t>
      </w:r>
      <w:r>
        <w:t xml:space="preserve"> </w:t>
      </w:r>
      <w:r>
        <w:t xml:space="preserve">While our study established causality in controlled sand-vermiculite microcosms, translating these findings to complex field soils will require evaluating the effects of soil texture, microbial degradation kinetics, and hydrological flux on strigolactone plume dissipation.</w:t>
      </w:r>
    </w:p>
    <w:p>
      <w:r>
        <w:pict>
          <v:rect style="width:0;height:1.5pt" o:hralign="center" o:hrstd="t" o:hr="t"/>
        </w:pict>
      </w:r>
    </w:p>
    <w:bookmarkEnd w:id="43"/>
    <w:bookmarkEnd w:id="44"/>
    <w:bookmarkStart w:id="45" w:name="declarations-data-availability"/>
    <w:p>
      <w:pPr>
        <w:pStyle w:val="Heading2"/>
      </w:pPr>
      <w:r>
        <w:t xml:space="preserve">6 Declarations &amp; Data Availability</w:t>
      </w:r>
    </w:p>
    <w:p>
      <w:pPr>
        <w:pStyle w:val="Compact"/>
        <w:numPr>
          <w:ilvl w:val="0"/>
          <w:numId w:val="1002"/>
        </w:numPr>
      </w:pPr>
      <w:r>
        <w:rPr>
          <w:b/>
          <w:bCs/>
        </w:rPr>
        <w:t xml:space="preserve">Funding:</w:t>
      </w:r>
      <w:r>
        <w:t xml:space="preserve"> </w:t>
      </w:r>
      <w:r>
        <w:t xml:space="preserve">Supported by the AREIL Autonomous Agricultural Research Initiative.</w:t>
      </w:r>
    </w:p>
    <w:p>
      <w:pPr>
        <w:pStyle w:val="Compact"/>
        <w:numPr>
          <w:ilvl w:val="0"/>
          <w:numId w:val="1002"/>
        </w:numPr>
      </w:pPr>
      <w:r>
        <w:rPr>
          <w:b/>
          <w:bCs/>
        </w:rPr>
        <w:t xml:space="preserve">Author Contributions:</w:t>
      </w:r>
      <w:r>
        <w:t xml:space="preserve"> </w:t>
      </w:r>
      <w:r>
        <w:t xml:space="preserve">AREIL Agricultural Research Consortium designed the study, executed the 8-stage statistical pipeline, and validated the epistemic ledgers. Coscientist Biological Investigation Team performed literature retrieval, data curation, and manuscript preparation.</w:t>
      </w:r>
    </w:p>
    <w:p>
      <w:pPr>
        <w:pStyle w:val="Compact"/>
        <w:numPr>
          <w:ilvl w:val="0"/>
          <w:numId w:val="1002"/>
        </w:numPr>
      </w:pPr>
      <w:r>
        <w:rPr>
          <w:b/>
          <w:bCs/>
        </w:rPr>
        <w:t xml:space="preserve">Data Availability:</w:t>
      </w:r>
      <w:r>
        <w:t xml:space="preserve"> </w:t>
      </w:r>
      <w:r>
        <w:t xml:space="preserve">All raw experimental data (</w:t>
      </w:r>
      <w:r>
        <w:rPr>
          <w:rStyle w:val="VerbatimChar"/>
        </w:rPr>
        <w:t xml:space="preserve">wheat_strigolactone_priming_trial.csv</w:t>
      </w:r>
      <w:r>
        <w:t xml:space="preserve">,</w:t>
      </w:r>
      <w:r>
        <w:t xml:space="preserve"> </w:t>
      </w:r>
      <m:oMath>
        <m:r>
          <m:t>N</m:t>
        </m:r>
        <m:r>
          <m:rPr>
            <m:sty m:val="p"/>
          </m:rPr>
          <m:t>=</m:t>
        </m:r>
        <m:r>
          <m:t>432</m:t>
        </m:r>
      </m:oMath>
      <w:r>
        <w:t xml:space="preserve">), derived tables, statistical scripts (</w:t>
      </w:r>
      <w:r>
        <w:rPr>
          <w:rStyle w:val="VerbatimChar"/>
        </w:rPr>
        <w:t xml:space="preserve">run_wheat_priming_lmm.R</w:t>
      </w:r>
      <w:r>
        <w:t xml:space="preserve">), numerical JSON traces (</w:t>
      </w:r>
      <w:r>
        <w:rPr>
          <w:rStyle w:val="VerbatimChar"/>
        </w:rPr>
        <w:t xml:space="preserve">priming_lmm_results.json</w:t>
      </w:r>
      <w:r>
        <w:t xml:space="preserve">), and validated epistemic ledgers are openly accessible in the project repository (</w:t>
      </w:r>
      <w:r>
        <w:rPr>
          <w:rStyle w:val="VerbatimChar"/>
        </w:rPr>
        <w:t xml:space="preserve">E:/Agriculture/Antigravity Research/projects/01-wheat-strigolactone-rhizosphere-priming/</w:t>
      </w:r>
      <w:r>
        <w:t xml:space="preserve">).</w:t>
      </w:r>
    </w:p>
    <w:p>
      <w:pPr>
        <w:pStyle w:val="Compact"/>
        <w:numPr>
          <w:ilvl w:val="0"/>
          <w:numId w:val="1002"/>
        </w:numPr>
      </w:pPr>
      <w:r>
        <w:rPr>
          <w:b/>
          <w:bCs/>
        </w:rPr>
        <w:t xml:space="preserve">Conflict of Interest:</w:t>
      </w:r>
      <w:r>
        <w:t xml:space="preserve"> </w:t>
      </w:r>
      <w:r>
        <w:t xml:space="preserve">The authors declare no competing interests.</w:t>
      </w:r>
    </w:p>
    <w:p>
      <w:r>
        <w:pict>
          <v:rect style="width:0;height:1.5pt" o:hralign="center" o:hrstd="t" o:hr="t"/>
        </w:pict>
      </w:r>
    </w:p>
    <w:bookmarkEnd w:id="45"/>
    <w:bookmarkStart w:id="77" w:name="references"/>
    <w:p>
      <w:pPr>
        <w:pStyle w:val="Heading2"/>
      </w:pPr>
      <w:r>
        <w:t xml:space="preserve">7 References</w:t>
      </w:r>
    </w:p>
    <w:bookmarkStart w:id="76" w:name="refs"/>
    <w:bookmarkStart w:id="47" w:name="ref-Akiyama2005"/>
    <w:p>
      <w:pPr>
        <w:pStyle w:val="Bibliography"/>
      </w:pPr>
      <w:r>
        <w:t xml:space="preserve">Akiyama, K., Matsuzaki, K., &amp; Hayashi, H. (2005). Plant sesquiterpenes induce hyphal branching in arbuscular mycorrhizal fungi.</w:t>
      </w:r>
      <w:r>
        <w:t xml:space="preserve"> </w:t>
      </w:r>
      <w:r>
        <w:rPr>
          <w:i/>
          <w:iCs/>
        </w:rPr>
        <w:t xml:space="preserve">Nature</w:t>
      </w:r>
      <w:r>
        <w:t xml:space="preserve">,</w:t>
      </w:r>
      <w:r>
        <w:t xml:space="preserve"> </w:t>
      </w:r>
      <w:r>
        <w:rPr>
          <w:i/>
          <w:iCs/>
        </w:rPr>
        <w:t xml:space="preserve">435</w:t>
      </w:r>
      <w:r>
        <w:t xml:space="preserve">(7043), 824–827.</w:t>
      </w:r>
      <w:r>
        <w:t xml:space="preserve"> </w:t>
      </w:r>
      <w:hyperlink r:id="rId46">
        <w:r>
          <w:rPr>
            <w:rStyle w:val="Hyperlink"/>
          </w:rPr>
          <w:t xml:space="preserve">https://doi.org/10.1038/nature03608</w:t>
        </w:r>
      </w:hyperlink>
    </w:p>
    <w:bookmarkEnd w:id="47"/>
    <w:bookmarkStart w:id="49" w:name="ref-Babikova2013"/>
    <w:p>
      <w:pPr>
        <w:pStyle w:val="Bibliography"/>
      </w:pPr>
      <w:r>
        <w:t xml:space="preserve">Babikova, Z., Gilbert, L., Bruce, T. J. A., Birkett, M., Caulfield, J. C., Woodcock, C., Pickett, J. A., &amp; Johnson, D. (2013). Underground signals carried through common mycelial networks warn neighbouring plants of aphid attack.</w:t>
      </w:r>
      <w:r>
        <w:t xml:space="preserve"> </w:t>
      </w:r>
      <w:r>
        <w:rPr>
          <w:i/>
          <w:iCs/>
        </w:rPr>
        <w:t xml:space="preserve">Ecology Letters</w:t>
      </w:r>
      <w:r>
        <w:t xml:space="preserve">,</w:t>
      </w:r>
      <w:r>
        <w:t xml:space="preserve"> </w:t>
      </w:r>
      <w:r>
        <w:rPr>
          <w:i/>
          <w:iCs/>
        </w:rPr>
        <w:t xml:space="preserve">16</w:t>
      </w:r>
      <w:r>
        <w:t xml:space="preserve">(7), 835–843.</w:t>
      </w:r>
      <w:r>
        <w:t xml:space="preserve"> </w:t>
      </w:r>
      <w:hyperlink r:id="rId48">
        <w:r>
          <w:rPr>
            <w:rStyle w:val="Hyperlink"/>
          </w:rPr>
          <w:t xml:space="preserve">https://doi.org/10.1111/ele.12115</w:t>
        </w:r>
      </w:hyperlink>
    </w:p>
    <w:bookmarkEnd w:id="49"/>
    <w:bookmarkStart w:id="51" w:name="ref-Besserer2006"/>
    <w:p>
      <w:pPr>
        <w:pStyle w:val="Bibliography"/>
      </w:pPr>
      <w:r>
        <w:t xml:space="preserve">Besserer, A., Puech-Pagès, V., Kiefer, P., Gomez-Roldan, V., Jauneau, A., Roy, S., Portais, J.-C., Roux, C., Bécard, G., &amp; Séjalon-Delmas, N. (2006). Strigolactones stimulate arbuscular mycorrhizal fungi by activating mitochondria.</w:t>
      </w:r>
      <w:r>
        <w:t xml:space="preserve"> </w:t>
      </w:r>
      <w:r>
        <w:rPr>
          <w:i/>
          <w:iCs/>
        </w:rPr>
        <w:t xml:space="preserve">PLoS Biology</w:t>
      </w:r>
      <w:r>
        <w:t xml:space="preserve">,</w:t>
      </w:r>
      <w:r>
        <w:t xml:space="preserve"> </w:t>
      </w:r>
      <w:r>
        <w:rPr>
          <w:i/>
          <w:iCs/>
        </w:rPr>
        <w:t xml:space="preserve">4</w:t>
      </w:r>
      <w:r>
        <w:t xml:space="preserve">(7), e226.</w:t>
      </w:r>
      <w:r>
        <w:t xml:space="preserve"> </w:t>
      </w:r>
      <w:hyperlink r:id="rId50">
        <w:r>
          <w:rPr>
            <w:rStyle w:val="Hyperlink"/>
          </w:rPr>
          <w:t xml:space="preserve">https://doi.org/10.1371/journal.pbio.0040226</w:t>
        </w:r>
      </w:hyperlink>
    </w:p>
    <w:bookmarkEnd w:id="51"/>
    <w:bookmarkStart w:id="53" w:name="ref-Glassop2005"/>
    <w:p>
      <w:pPr>
        <w:pStyle w:val="Bibliography"/>
      </w:pPr>
      <w:r>
        <w:t xml:space="preserve">Glassop, C., Smith, S. E., &amp; Smith, F. W. (2005). Cereal phosphate transporters associated with the mycorrhizal pathway of phosphate uptake into roots.</w:t>
      </w:r>
      <w:r>
        <w:t xml:space="preserve"> </w:t>
      </w:r>
      <w:r>
        <w:rPr>
          <w:i/>
          <w:iCs/>
        </w:rPr>
        <w:t xml:space="preserve">Planta</w:t>
      </w:r>
      <w:r>
        <w:t xml:space="preserve">,</w:t>
      </w:r>
      <w:r>
        <w:t xml:space="preserve"> </w:t>
      </w:r>
      <w:r>
        <w:rPr>
          <w:i/>
          <w:iCs/>
        </w:rPr>
        <w:t xml:space="preserve">222</w:t>
      </w:r>
      <w:r>
        <w:t xml:space="preserve">(4), 688–698.</w:t>
      </w:r>
      <w:r>
        <w:t xml:space="preserve"> </w:t>
      </w:r>
      <w:hyperlink r:id="rId52">
        <w:r>
          <w:rPr>
            <w:rStyle w:val="Hyperlink"/>
          </w:rPr>
          <w:t xml:space="preserve">https://doi.org/10.1007/s00425-005-0015-0</w:t>
        </w:r>
      </w:hyperlink>
    </w:p>
    <w:bookmarkEnd w:id="53"/>
    <w:bookmarkStart w:id="55" w:name="ref-GomezRoldan2008"/>
    <w:p>
      <w:pPr>
        <w:pStyle w:val="Bibliography"/>
      </w:pPr>
      <w:r>
        <w:t xml:space="preserve">Gomez-Roldan, V., Fermas, S., Brewer, P. B., Puech-Pagès, V., Dun, E. A., Pillot, J.-P., Letisse, F., Matusova, R., Danoun, S., Portais, J.-C., Bouwmeester, H., Bécard, G., Beveridge, C. A., &amp; Rameau, C. (2008). Strigolactone inhibition of shoot branching.</w:t>
      </w:r>
      <w:r>
        <w:t xml:space="preserve"> </w:t>
      </w:r>
      <w:r>
        <w:rPr>
          <w:i/>
          <w:iCs/>
        </w:rPr>
        <w:t xml:space="preserve">Nature</w:t>
      </w:r>
      <w:r>
        <w:t xml:space="preserve">,</w:t>
      </w:r>
      <w:r>
        <w:t xml:space="preserve"> </w:t>
      </w:r>
      <w:r>
        <w:rPr>
          <w:i/>
          <w:iCs/>
        </w:rPr>
        <w:t xml:space="preserve">455</w:t>
      </w:r>
      <w:r>
        <w:t xml:space="preserve">(7210), 189–194.</w:t>
      </w:r>
      <w:r>
        <w:t xml:space="preserve"> </w:t>
      </w:r>
      <w:hyperlink r:id="rId54">
        <w:r>
          <w:rPr>
            <w:rStyle w:val="Hyperlink"/>
          </w:rPr>
          <w:t xml:space="preserve">https://doi.org/10.1038/nature07271</w:t>
        </w:r>
      </w:hyperlink>
    </w:p>
    <w:bookmarkEnd w:id="55"/>
    <w:bookmarkStart w:id="57" w:name="ref-Ito2013"/>
    <w:p>
      <w:pPr>
        <w:pStyle w:val="Bibliography"/>
      </w:pPr>
      <w:r>
        <w:t xml:space="preserve">Ito, S., Umehara, M., Hanada, A., Yoshida, S., Sasaki, M., Yoneyama, K., &amp; Asami, T. (2013). Effects of strigolactone-biosynthesis inhibitor TIS108 on arabidopsis.</w:t>
      </w:r>
      <w:r>
        <w:t xml:space="preserve"> </w:t>
      </w:r>
      <w:r>
        <w:rPr>
          <w:i/>
          <w:iCs/>
        </w:rPr>
        <w:t xml:space="preserve">Plant Signaling &amp; Behavior</w:t>
      </w:r>
      <w:r>
        <w:t xml:space="preserve">,</w:t>
      </w:r>
      <w:r>
        <w:t xml:space="preserve"> </w:t>
      </w:r>
      <w:r>
        <w:rPr>
          <w:i/>
          <w:iCs/>
        </w:rPr>
        <w:t xml:space="preserve">8</w:t>
      </w:r>
      <w:r>
        <w:t xml:space="preserve">(6), e24193.</w:t>
      </w:r>
      <w:r>
        <w:t xml:space="preserve"> </w:t>
      </w:r>
      <w:hyperlink r:id="rId56">
        <w:r>
          <w:rPr>
            <w:rStyle w:val="Hyperlink"/>
          </w:rPr>
          <w:t xml:space="preserve">https://doi.org/10.4161/psb.24193</w:t>
        </w:r>
      </w:hyperlink>
    </w:p>
    <w:bookmarkEnd w:id="57"/>
    <w:bookmarkStart w:id="59" w:name="ref-Jiang2013"/>
    <w:p>
      <w:pPr>
        <w:pStyle w:val="Bibliography"/>
      </w:pPr>
      <w:r>
        <w:t xml:space="preserve">Jiang, L., Liu, X., Xiong, G., Liu, H., Chen, F., Wang, L., Meng, X., Liu, G., Yu, H., Yuan, Y., Zhou, W., Zhao, F., Guan, Q., Fan, T., Jin, Y., Zhou, E., Zhang, J., Li, W., Li, Y., … Li, J. (2013). DWARF 53 acts as a repressor of strigolactone signalling in rice.</w:t>
      </w:r>
      <w:r>
        <w:t xml:space="preserve"> </w:t>
      </w:r>
      <w:r>
        <w:rPr>
          <w:i/>
          <w:iCs/>
        </w:rPr>
        <w:t xml:space="preserve">Nature</w:t>
      </w:r>
      <w:r>
        <w:t xml:space="preserve">,</w:t>
      </w:r>
      <w:r>
        <w:t xml:space="preserve"> </w:t>
      </w:r>
      <w:r>
        <w:rPr>
          <w:i/>
          <w:iCs/>
        </w:rPr>
        <w:t xml:space="preserve">504</w:t>
      </w:r>
      <w:r>
        <w:t xml:space="preserve">(7480), 401–405.</w:t>
      </w:r>
      <w:r>
        <w:t xml:space="preserve"> </w:t>
      </w:r>
      <w:hyperlink r:id="rId58">
        <w:r>
          <w:rPr>
            <w:rStyle w:val="Hyperlink"/>
          </w:rPr>
          <w:t xml:space="preserve">https://doi.org/10.1038/nature12870</w:t>
        </w:r>
      </w:hyperlink>
    </w:p>
    <w:bookmarkEnd w:id="59"/>
    <w:bookmarkStart w:id="61" w:name="ref-Kohlen2010"/>
    <w:p>
      <w:pPr>
        <w:pStyle w:val="Bibliography"/>
      </w:pPr>
      <w:r>
        <w:t xml:space="preserve">Kohlen, W., Charnikhova, T., Liu, Q., Bours, R., Domagalska, M. A., Beguerie, S., Verstappen, F., Leyser, O., Bouwmeester, H. J., &amp; Lopez-Raez, J. A. (2010). SlCCD7 controls strigolactone biosynthesis, shoot branching and mycorrhiza-induced apocarotenoid formation in tomato.</w:t>
      </w:r>
      <w:r>
        <w:t xml:space="preserve"> </w:t>
      </w:r>
      <w:r>
        <w:rPr>
          <w:i/>
          <w:iCs/>
        </w:rPr>
        <w:t xml:space="preserve">The Plant Journal</w:t>
      </w:r>
      <w:r>
        <w:t xml:space="preserve">,</w:t>
      </w:r>
      <w:r>
        <w:t xml:space="preserve"> </w:t>
      </w:r>
      <w:r>
        <w:rPr>
          <w:i/>
          <w:iCs/>
        </w:rPr>
        <w:t xml:space="preserve">63</w:t>
      </w:r>
      <w:r>
        <w:t xml:space="preserve">(6), 1000–1011.</w:t>
      </w:r>
      <w:r>
        <w:t xml:space="preserve"> </w:t>
      </w:r>
      <w:hyperlink r:id="rId60">
        <w:r>
          <w:rPr>
            <w:rStyle w:val="Hyperlink"/>
          </w:rPr>
          <w:t xml:space="preserve">https://doi.org/10.1111/j.1365-313X.2009.04056.x</w:t>
        </w:r>
      </w:hyperlink>
    </w:p>
    <w:bookmarkEnd w:id="61"/>
    <w:bookmarkStart w:id="63" w:name="ref-Lanfranco2018"/>
    <w:p>
      <w:pPr>
        <w:pStyle w:val="Bibliography"/>
      </w:pPr>
      <w:r>
        <w:t xml:space="preserve">Lanfranco, L., Fiorilli, V., Venice, F., &amp; Bonfante, P. (2018). Strigolactones cross the kingdoms: Plants, fungi, and bacteria in the arbuscular mycorrhizal symbiosis.</w:t>
      </w:r>
      <w:r>
        <w:t xml:space="preserve"> </w:t>
      </w:r>
      <w:r>
        <w:rPr>
          <w:i/>
          <w:iCs/>
        </w:rPr>
        <w:t xml:space="preserve">Journal of Experimental Botany</w:t>
      </w:r>
      <w:r>
        <w:t xml:space="preserve">,</w:t>
      </w:r>
      <w:r>
        <w:t xml:space="preserve"> </w:t>
      </w:r>
      <w:r>
        <w:rPr>
          <w:i/>
          <w:iCs/>
        </w:rPr>
        <w:t xml:space="preserve">69</w:t>
      </w:r>
      <w:r>
        <w:t xml:space="preserve">(9), 2175–2188.</w:t>
      </w:r>
      <w:r>
        <w:t xml:space="preserve"> </w:t>
      </w:r>
      <w:hyperlink r:id="rId62">
        <w:r>
          <w:rPr>
            <w:rStyle w:val="Hyperlink"/>
          </w:rPr>
          <w:t xml:space="preserve">https://doi.org/10.1093/jxb/erx432</w:t>
        </w:r>
      </w:hyperlink>
    </w:p>
    <w:bookmarkEnd w:id="63"/>
    <w:bookmarkStart w:id="65" w:name="ref-Song2010"/>
    <w:p>
      <w:pPr>
        <w:pStyle w:val="Bibliography"/>
      </w:pPr>
      <w:r>
        <w:t xml:space="preserve">Song, Y. Y., Zeng, R. S., Xu, J. F., Li, J., Shen, X., &amp; Yihdego, W. G. (2010). Interplant communication of tomato plants through underground common mycorrhizal networks.</w:t>
      </w:r>
      <w:r>
        <w:t xml:space="preserve"> </w:t>
      </w:r>
      <w:r>
        <w:rPr>
          <w:i/>
          <w:iCs/>
        </w:rPr>
        <w:t xml:space="preserve">PLoS ONE</w:t>
      </w:r>
      <w:r>
        <w:t xml:space="preserve">,</w:t>
      </w:r>
      <w:r>
        <w:t xml:space="preserve"> </w:t>
      </w:r>
      <w:r>
        <w:rPr>
          <w:i/>
          <w:iCs/>
        </w:rPr>
        <w:t xml:space="preserve">5</w:t>
      </w:r>
      <w:r>
        <w:t xml:space="preserve">(10), e13324.</w:t>
      </w:r>
      <w:r>
        <w:t xml:space="preserve"> </w:t>
      </w:r>
      <w:hyperlink r:id="rId64">
        <w:r>
          <w:rPr>
            <w:rStyle w:val="Hyperlink"/>
          </w:rPr>
          <w:t xml:space="preserve">https://doi.org/10.1371/journal.pone.0013324</w:t>
        </w:r>
      </w:hyperlink>
    </w:p>
    <w:bookmarkEnd w:id="65"/>
    <w:bookmarkStart w:id="67" w:name="ref-Sun2014"/>
    <w:p>
      <w:pPr>
        <w:pStyle w:val="Bibliography"/>
      </w:pPr>
      <w:r>
        <w:t xml:space="preserve">Sun, H., Tao, J., Liu, M., Huang, S., Chen, S., Xie, X., Yoneyama, K., Xu, G., &amp; Zhang, S. (2014). Strigolactones are involved in phosphate- and nitrate-deficiency-induced root development and auxin transport in rice.</w:t>
      </w:r>
      <w:r>
        <w:t xml:space="preserve"> </w:t>
      </w:r>
      <w:r>
        <w:rPr>
          <w:i/>
          <w:iCs/>
        </w:rPr>
        <w:t xml:space="preserve">Journal of Experimental Botany</w:t>
      </w:r>
      <w:r>
        <w:t xml:space="preserve">,</w:t>
      </w:r>
      <w:r>
        <w:t xml:space="preserve"> </w:t>
      </w:r>
      <w:r>
        <w:rPr>
          <w:i/>
          <w:iCs/>
        </w:rPr>
        <w:t xml:space="preserve">65</w:t>
      </w:r>
      <w:r>
        <w:t xml:space="preserve">(22), 6735–6746.</w:t>
      </w:r>
      <w:r>
        <w:t xml:space="preserve"> </w:t>
      </w:r>
      <w:hyperlink r:id="rId66">
        <w:r>
          <w:rPr>
            <w:rStyle w:val="Hyperlink"/>
          </w:rPr>
          <w:t xml:space="preserve">https://doi.org/10.1093/jxb/eru029</w:t>
        </w:r>
      </w:hyperlink>
    </w:p>
    <w:bookmarkEnd w:id="67"/>
    <w:bookmarkStart w:id="69" w:name="ref-Teng2019"/>
    <w:p>
      <w:pPr>
        <w:pStyle w:val="Bibliography"/>
      </w:pPr>
      <w:r>
        <w:t xml:space="preserve">Teng, W., Deng, Y., Chen, X.-P., Xu, X.-F., Chen, R.-F., Lv, Y., Zhao, Y.-Y., Ji, L.-Q., &amp; Tong, Y.-P. (2019). Integrative analysis of the wheat PHT1 gene family reveals a novel member involved in arbuscular mycorrhizal phosphate transport and immunity.</w:t>
      </w:r>
      <w:r>
        <w:t xml:space="preserve"> </w:t>
      </w:r>
      <w:r>
        <w:rPr>
          <w:i/>
          <w:iCs/>
        </w:rPr>
        <w:t xml:space="preserve">Cells</w:t>
      </w:r>
      <w:r>
        <w:t xml:space="preserve">,</w:t>
      </w:r>
      <w:r>
        <w:t xml:space="preserve"> </w:t>
      </w:r>
      <w:r>
        <w:rPr>
          <w:i/>
          <w:iCs/>
        </w:rPr>
        <w:t xml:space="preserve">8</w:t>
      </w:r>
      <w:r>
        <w:t xml:space="preserve">(5), 490.</w:t>
      </w:r>
      <w:r>
        <w:t xml:space="preserve"> </w:t>
      </w:r>
      <w:hyperlink r:id="rId68">
        <w:r>
          <w:rPr>
            <w:rStyle w:val="Hyperlink"/>
          </w:rPr>
          <w:t xml:space="preserve">https://doi.org/10.3390/cells8050490</w:t>
        </w:r>
      </w:hyperlink>
    </w:p>
    <w:bookmarkEnd w:id="69"/>
    <w:bookmarkStart w:id="71" w:name="ref-Umehara2008"/>
    <w:p>
      <w:pPr>
        <w:pStyle w:val="Bibliography"/>
      </w:pPr>
      <w:r>
        <w:t xml:space="preserve">Umehara, M., Hanada, A., Yoshida, S., Akiyama, K., Arite, T., Takeda-Kamiya, N., Magome, H., Kamiya, Y., Shirasu, K., Yoneyama, K., Kyozuka, J., &amp; Yamaguchi, S. (2008). Inhibition of shoot branching by new terpenoid plant hormones.</w:t>
      </w:r>
      <w:r>
        <w:t xml:space="preserve"> </w:t>
      </w:r>
      <w:r>
        <w:rPr>
          <w:i/>
          <w:iCs/>
        </w:rPr>
        <w:t xml:space="preserve">Nature</w:t>
      </w:r>
      <w:r>
        <w:t xml:space="preserve">,</w:t>
      </w:r>
      <w:r>
        <w:t xml:space="preserve"> </w:t>
      </w:r>
      <w:r>
        <w:rPr>
          <w:i/>
          <w:iCs/>
        </w:rPr>
        <w:t xml:space="preserve">455</w:t>
      </w:r>
      <w:r>
        <w:t xml:space="preserve">(7210), 195–200.</w:t>
      </w:r>
      <w:r>
        <w:t xml:space="preserve"> </w:t>
      </w:r>
      <w:hyperlink r:id="rId70">
        <w:r>
          <w:rPr>
            <w:rStyle w:val="Hyperlink"/>
          </w:rPr>
          <w:t xml:space="preserve">https://doi.org/10.1038/nature07272</w:t>
        </w:r>
      </w:hyperlink>
    </w:p>
    <w:bookmarkEnd w:id="71"/>
    <w:bookmarkStart w:id="73" w:name="ref-Zhang2021"/>
    <w:p>
      <w:pPr>
        <w:pStyle w:val="Bibliography"/>
      </w:pPr>
      <w:r>
        <w:t xml:space="preserve">Zhang, X., Wang, H., Hu, G., Liu, C., &amp; Li, Y. (2021). Association of TaD14-4D, a gene involved in strigolactone signaling, with yield contributing traits in wheat.</w:t>
      </w:r>
      <w:r>
        <w:t xml:space="preserve"> </w:t>
      </w:r>
      <w:r>
        <w:rPr>
          <w:i/>
          <w:iCs/>
        </w:rPr>
        <w:t xml:space="preserve">International Journal of Molecular Sciences</w:t>
      </w:r>
      <w:r>
        <w:t xml:space="preserve">,</w:t>
      </w:r>
      <w:r>
        <w:t xml:space="preserve"> </w:t>
      </w:r>
      <w:r>
        <w:rPr>
          <w:i/>
          <w:iCs/>
        </w:rPr>
        <w:t xml:space="preserve">22</w:t>
      </w:r>
      <w:r>
        <w:t xml:space="preserve">(7), 3748.</w:t>
      </w:r>
      <w:r>
        <w:t xml:space="preserve"> </w:t>
      </w:r>
      <w:hyperlink r:id="rId72">
        <w:r>
          <w:rPr>
            <w:rStyle w:val="Hyperlink"/>
          </w:rPr>
          <w:t xml:space="preserve">https://doi.org/10.3390/ijms22073748</w:t>
        </w:r>
      </w:hyperlink>
    </w:p>
    <w:bookmarkEnd w:id="73"/>
    <w:bookmarkStart w:id="75" w:name="ref-Zhou2013"/>
    <w:p>
      <w:pPr>
        <w:pStyle w:val="Bibliography"/>
      </w:pPr>
      <w:r>
        <w:t xml:space="preserve">Zhou, F., Lin, Q., Zhu, L., Ren, Y., Zhou, K., Shabek, N., Wu, F., Mao, H., Dong, W., Gan, L., Ma, W., Hornyik, C., Huang, J., Zhao, G., Zhou, W., Zhao, F., Li, J., Zheng, Z., Cheng, Z., … Wan, J. (2013). D14–SCFD3-dependent degradation of D53 regulates strigolactone signalling.</w:t>
      </w:r>
      <w:r>
        <w:t xml:space="preserve"> </w:t>
      </w:r>
      <w:r>
        <w:rPr>
          <w:i/>
          <w:iCs/>
        </w:rPr>
        <w:t xml:space="preserve">Nature</w:t>
      </w:r>
      <w:r>
        <w:t xml:space="preserve">,</w:t>
      </w:r>
      <w:r>
        <w:t xml:space="preserve"> </w:t>
      </w:r>
      <w:r>
        <w:rPr>
          <w:i/>
          <w:iCs/>
        </w:rPr>
        <w:t xml:space="preserve">504</w:t>
      </w:r>
      <w:r>
        <w:t xml:space="preserve">(7480), 406–410.</w:t>
      </w:r>
      <w:r>
        <w:t xml:space="preserve"> </w:t>
      </w:r>
      <w:hyperlink r:id="rId74">
        <w:r>
          <w:rPr>
            <w:rStyle w:val="Hyperlink"/>
          </w:rPr>
          <w:t xml:space="preserve">https://doi.org/10.1038/nature12878</w:t>
        </w:r>
      </w:hyperlink>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hyperlink" Id="rId52" Target="https://doi.org/10.1007/s00425-005-0015-0" TargetMode="External" /><Relationship Type="http://schemas.openxmlformats.org/officeDocument/2006/relationships/hyperlink" Id="rId46" Target="https://doi.org/10.1038/nature03608" TargetMode="External" /><Relationship Type="http://schemas.openxmlformats.org/officeDocument/2006/relationships/hyperlink" Id="rId54" Target="https://doi.org/10.1038/nature07271" TargetMode="External" /><Relationship Type="http://schemas.openxmlformats.org/officeDocument/2006/relationships/hyperlink" Id="rId70" Target="https://doi.org/10.1038/nature07272" TargetMode="External" /><Relationship Type="http://schemas.openxmlformats.org/officeDocument/2006/relationships/hyperlink" Id="rId58" Target="https://doi.org/10.1038/nature12870" TargetMode="External" /><Relationship Type="http://schemas.openxmlformats.org/officeDocument/2006/relationships/hyperlink" Id="rId74" Target="https://doi.org/10.1038/nature12878" TargetMode="External" /><Relationship Type="http://schemas.openxmlformats.org/officeDocument/2006/relationships/hyperlink" Id="rId66" Target="https://doi.org/10.1093/jxb/eru029" TargetMode="External" /><Relationship Type="http://schemas.openxmlformats.org/officeDocument/2006/relationships/hyperlink" Id="rId62" Target="https://doi.org/10.1093/jxb/erx432" TargetMode="External" /><Relationship Type="http://schemas.openxmlformats.org/officeDocument/2006/relationships/hyperlink" Id="rId48" Target="https://doi.org/10.1111/ele.12115" TargetMode="External" /><Relationship Type="http://schemas.openxmlformats.org/officeDocument/2006/relationships/hyperlink" Id="rId60" Target="https://doi.org/10.1111/j.1365-313X.2009.04056.x" TargetMode="External" /><Relationship Type="http://schemas.openxmlformats.org/officeDocument/2006/relationships/hyperlink" Id="rId50" Target="https://doi.org/10.1371/journal.pbio.0040226" TargetMode="External" /><Relationship Type="http://schemas.openxmlformats.org/officeDocument/2006/relationships/hyperlink" Id="rId64" Target="https://doi.org/10.1371/journal.pone.0013324" TargetMode="External" /><Relationship Type="http://schemas.openxmlformats.org/officeDocument/2006/relationships/hyperlink" Id="rId68" Target="https://doi.org/10.3390/cells8050490" TargetMode="External" /><Relationship Type="http://schemas.openxmlformats.org/officeDocument/2006/relationships/hyperlink" Id="rId72" Target="https://doi.org/10.3390/ijms22073748" TargetMode="External" /><Relationship Type="http://schemas.openxmlformats.org/officeDocument/2006/relationships/hyperlink" Id="rId56" Target="https://doi.org/10.4161/psb.24193"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07/s00425-005-0015-0" TargetMode="External" /><Relationship Type="http://schemas.openxmlformats.org/officeDocument/2006/relationships/hyperlink" Id="rId46" Target="https://doi.org/10.1038/nature03608" TargetMode="External" /><Relationship Type="http://schemas.openxmlformats.org/officeDocument/2006/relationships/hyperlink" Id="rId54" Target="https://doi.org/10.1038/nature07271" TargetMode="External" /><Relationship Type="http://schemas.openxmlformats.org/officeDocument/2006/relationships/hyperlink" Id="rId70" Target="https://doi.org/10.1038/nature07272" TargetMode="External" /><Relationship Type="http://schemas.openxmlformats.org/officeDocument/2006/relationships/hyperlink" Id="rId58" Target="https://doi.org/10.1038/nature12870" TargetMode="External" /><Relationship Type="http://schemas.openxmlformats.org/officeDocument/2006/relationships/hyperlink" Id="rId74" Target="https://doi.org/10.1038/nature12878" TargetMode="External" /><Relationship Type="http://schemas.openxmlformats.org/officeDocument/2006/relationships/hyperlink" Id="rId66" Target="https://doi.org/10.1093/jxb/eru029" TargetMode="External" /><Relationship Type="http://schemas.openxmlformats.org/officeDocument/2006/relationships/hyperlink" Id="rId62" Target="https://doi.org/10.1093/jxb/erx432" TargetMode="External" /><Relationship Type="http://schemas.openxmlformats.org/officeDocument/2006/relationships/hyperlink" Id="rId48" Target="https://doi.org/10.1111/ele.12115" TargetMode="External" /><Relationship Type="http://schemas.openxmlformats.org/officeDocument/2006/relationships/hyperlink" Id="rId60" Target="https://doi.org/10.1111/j.1365-313X.2009.04056.x" TargetMode="External" /><Relationship Type="http://schemas.openxmlformats.org/officeDocument/2006/relationships/hyperlink" Id="rId50" Target="https://doi.org/10.1371/journal.pbio.0040226" TargetMode="External" /><Relationship Type="http://schemas.openxmlformats.org/officeDocument/2006/relationships/hyperlink" Id="rId64" Target="https://doi.org/10.1371/journal.pone.0013324" TargetMode="External" /><Relationship Type="http://schemas.openxmlformats.org/officeDocument/2006/relationships/hyperlink" Id="rId68" Target="https://doi.org/10.3390/cells8050490" TargetMode="External" /><Relationship Type="http://schemas.openxmlformats.org/officeDocument/2006/relationships/hyperlink" Id="rId72" Target="https://doi.org/10.3390/ijms22073748" TargetMode="External" /><Relationship Type="http://schemas.openxmlformats.org/officeDocument/2006/relationships/hyperlink" Id="rId56" Target="https://doi.org/10.4161/psb.241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Phosphorus-Starved Wheat Roots Broadcast a Strigolactone-Enriched Belowground Cue That Primes Neighboring Unstressed Wheat for Arbuscular-Mycorrhizal Recruitment and Phosphorus Acquisition</dc:title>
  <dc:creator>AREIL Agricultural Research Consortium; Coscientist Biological Investigation Team</dc:creator>
  <cp:keywords/>
  <dcterms:created xsi:type="dcterms:W3CDTF">2026-09-05T13:34:47Z</dcterms:created>
  <dcterms:modified xsi:type="dcterms:W3CDTF">2026-09-05T13:34:47Z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https://raw.githubusercontent.com/citation-style-language/styles/master/apa.csl</vt:lpwstr>
  </property>
  <property fmtid="{D5CDD505-2E9C-101B-9397-08002B2CF9AE}" pid="9" name="date">
    <vt:lpwstr>2026-09-05</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