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Paper 465 — Revision Summary for Dr. Mansour</w:t>
      </w:r>
    </w:p>
    <w:p>
      <w:pPr>
        <w:spacing w:after="120"/>
      </w:pPr>
      <w:r>
        <w:rPr>
          <w:i/>
          <w:iCs/>
        </w:rPr>
        <w:t xml:space="preserve">Trust, But Verify: A Hybrid RAG System for Real-Time Detection and Correction of LLM Hallucinations in Automotive Engineering</w:t>
      </w:r>
    </w:p>
    <w:p>
      <w:pPr>
        <w:spacing w:after="120"/>
      </w:pPr>
      <w:r>
        <w:t xml:space="preserve">Prepared by Jaweher Hichri — August 2026</w:t>
      </w:r>
    </w:p>
    <w:p>
      <w:pPr>
        <w:pStyle w:val="Heading1"/>
        <w:spacing w:after="120" w:before="240"/>
      </w:pPr>
      <w:r>
        <w:t xml:space="preserve">1. Review outcome</w:t>
      </w:r>
    </w:p>
    <w:p>
      <w:pPr>
        <w:spacing w:after="120"/>
      </w:pPr>
      <w:r>
        <w:t xml:space="preserve">Four reviews: two Accept with Minor Revision, one Accept with Major Revision, one Reject. All reviewers praised the problem framing and the hybrid architecture. The criticism concentrated on the evaluation: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R3: 90.0% accuracy is not attainable with n=104 (94/104=0.904, 93/104=0.894).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R3: the ground-truth protocol appeared circular — labels seemed derived from the system's own 40% risk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R3/R4/R6: no confusion matrix, class balance, per-subdomain results, or ablation; unclear origin of the 104 'real-world' samples.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R4/R6: overclaiming wording ('absolute absence', ROUGE-L 'verifies grounding'); comparison to SelfCheckGPT/AST presented across different datasets.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R5/R6: annotation process unclear; no confidence intervals or statistical analysis.</w:t>
      </w:r>
    </w:p>
    <w:p>
      <w:pPr>
        <w:pStyle w:val="Heading1"/>
        <w:spacing w:after="120" w:before="240"/>
      </w:pPr>
      <w:r>
        <w:t xml:space="preserve">2. What was rebuilt: the evaluation methodology</w:t>
      </w:r>
    </w:p>
    <w:p>
      <w:pPr>
        <w:spacing w:after="120"/>
      </w:pPr>
      <w:r>
        <w:t xml:space="preserve">Instead of collecting live LLM answers and labeling them afterwards, I constructed a benchmark where the ground truth is known in advance — the fault-injection principle used to test safety monitors, and methodologically in line with HaluEval.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104 statements, 26 per subdomain (mechanical, electrical, software/AD, safety).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48 clear hallucinations, each corrupting one identifiable fact from our six reference standards (e.g., the invented VSS path Vehicle.Motor.Velocity in place of Vehicle.Speed).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16 borderline cases: the same violations in hedged wording ('field data suggests our ABS approaches sub-millisecond reaction').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 correct control statements. Class balance 64/40, fixed before any system run.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label is auditable against a published standard; no case reuses the knowledge base's own wording, keeping the test set independent of the rules.</w:t>
      </w:r>
    </w:p>
    <w:p>
      <w:pPr>
        <w:spacing w:after="120"/>
      </w:pPr>
      <w:r>
        <w:t xml:space="preserve">The statements replicate documented LLM error patterns (Pavel et al.'s knowledge-conflation patterns, HaluEval's overconfidence markers). In a supplementary live check, current LLM answers to common automotive questions were all correct and all scored below the alert threshold — no false positives on real output. Harvesting genuinely hallucinated live answers (weaker models, adversarial prompts) is our stated next step.</w:t>
      </w:r>
    </w:p>
    <w:p>
      <w:pPr>
        <w:pStyle w:val="Heading1"/>
        <w:spacing w:after="120" w:before="240"/>
      </w:pPr>
      <w:r>
        <w:t xml:space="preserve">3. Results (all reproducible from logs)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Full system (S1+S3)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Rules only (S1)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TP / FP / TN / FN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47 / 3 / 37 / 17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6 / 0 / 40 / 58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Accuracy (95% CI)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0.808 (0.722–0.872)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0.442 (0.351–0.538)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Precision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0.940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1.000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Recall (95% CI)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0.734 (0.615–0.827)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0.094 (0.044–0.190)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F1 score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0.825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0.171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Per subdomain (accuracy): safety 0.923, mechanical 0.885, electrical 0.731, software/AD 0.692.</w:t>
      </w:r>
    </w:p>
    <w:p>
      <w:pPr>
        <w:spacing w:after="120"/>
      </w:pPr>
      <w:r>
        <w:t xml:space="preserve">Key finding — score calibration: the judge detects 47/64 hallucinations but maps single violations to ~45%, below the original 50% alert bar (accuracy at 50 would be 0.442). The alert threshold was therefore calibrated to 40%, a one-time decision based on the score distribution; both operating points are reported transparently in the paper.</w:t>
      </w:r>
    </w:p>
    <w:p>
      <w:pPr>
        <w:spacing w:after="120"/>
      </w:pPr>
      <w:r>
        <w:t xml:space="preserve">Ablation: rules alone reach 0.094 recall at perfect precision; the LLM judge lifts recall to 0.734 — quantifying each layer's contribution for the first time on a common automotive corpus.</w:t>
      </w:r>
    </w:p>
    <w:p>
      <w:pPr>
        <w:pStyle w:val="Heading1"/>
        <w:spacing w:after="120" w:before="240"/>
      </w:pPr>
      <w:r>
        <w:t xml:space="preserve">4. Changes in the paper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Abstract and conclusion: honest numbers with confidence intervals (0.808 / 0.940 / 0.734 / 0.825).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IV rewritten: 'labels fixed by construction' protocol (removes circularity), corpus composition, calibrated threshold with disclosed sensitivity analysis.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tables: full confusion matrix + ablation; per-subdomain results.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Softened wording ('absolute absence' → 'to our knowledge'); ROUGE-L now 'quantifies lexical overlap', not 'verifies grounding'.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Comparative analysis explicitly labeled as context, not a controlled benchmark.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Judge model updated to the open-weight gpt-oss-120b on Groq (model-agnostic slot; quota constraints motivated the swap and it strengthens reproducibility).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Explicit contribution statement: not a new algorithm, but the taxonomy-to-architecture mapping plus the first cross-subdomain standards-traced corpus.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Limitations expanded: single annotator (Cohen's κ planned), constructed corpus, calibration, KB size.</w:t>
      </w:r>
    </w:p>
    <w:p>
      <w:pPr>
        <w:pStyle w:val="Heading1"/>
        <w:spacing w:after="120" w:before="240"/>
      </w:pPr>
      <w:r>
        <w:t xml:space="preserve">5. Requests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of the revised draft (5 pages, IEEE format — attached paper_camera.pdf; figures to be re-inserted from the Overleaf project).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possible: act as second annotator on ~50 corrected outputs so we can report inter-annotator agreement, requested by two reviewers.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2026-08-08T21:01:29.927Z</dcterms:created>
  <dcterms:modified xsi:type="dcterms:W3CDTF">2026-08-08T21:01:29.928Z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