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Impact" w:cs="Impact" w:eastAsia="Impact" w:hAnsi="Impact"/>
          <w:sz w:val="32"/>
          <w:szCs w:val="32"/>
        </w:rPr>
      </w:pPr>
      <w:r w:rsidDel="00000000" w:rsidR="00000000" w:rsidRPr="00000000">
        <w:rPr>
          <w:rFonts w:ascii="Impact" w:cs="Impact" w:eastAsia="Impact" w:hAnsi="Impact"/>
          <w:sz w:val="32"/>
          <w:szCs w:val="32"/>
          <w:rtl w:val="0"/>
        </w:rPr>
        <w:t xml:space="preserve"> Client_Name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rPr>
          <w:rFonts w:ascii="Impact" w:cs="Impact" w:eastAsia="Impact" w:hAnsi="Impac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rPr>
          <w:b w:val="1"/>
          <w:color w:val="666666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I. Multi-Touch</w:t>
      </w:r>
      <w:r w:rsidDel="00000000" w:rsidR="00000000" w:rsidRPr="00000000">
        <w:rPr>
          <w:sz w:val="26"/>
          <w:szCs w:val="26"/>
          <w:rtl w:val="0"/>
        </w:rPr>
        <w:t xml:space="preserve"> Attribution Model: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i w:val="1"/>
          <w:color w:val="666666"/>
        </w:rPr>
      </w:pPr>
      <w:r w:rsidDel="00000000" w:rsidR="00000000" w:rsidRPr="00000000">
        <w:rPr>
          <w:b w:val="1"/>
          <w:i w:val="1"/>
          <w:color w:val="666666"/>
          <w:rtl w:val="0"/>
        </w:rPr>
        <w:t xml:space="preserve">Step 1:</w:t>
      </w:r>
      <w:r w:rsidDel="00000000" w:rsidR="00000000" w:rsidRPr="00000000">
        <w:rPr>
          <w:i w:val="1"/>
          <w:color w:val="666666"/>
          <w:rtl w:val="0"/>
        </w:rPr>
        <w:t xml:space="preserve"> Define your conversion events and tracking setup</w:t>
      </w:r>
    </w:p>
    <w:p w:rsidR="00000000" w:rsidDel="00000000" w:rsidP="00000000" w:rsidRDefault="00000000" w:rsidRPr="00000000" w14:paraId="00000005">
      <w:pPr>
        <w:spacing w:line="240" w:lineRule="auto"/>
        <w:rPr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Identify the conversion events that are important to your business, such as </w:t>
      </w:r>
      <w:r w:rsidDel="00000000" w:rsidR="00000000" w:rsidRPr="00000000">
        <w:rPr>
          <w:b w:val="1"/>
          <w:i w:val="1"/>
          <w:color w:val="666666"/>
          <w:rtl w:val="0"/>
        </w:rPr>
        <w:t xml:space="preserve">purchases/conversions</w:t>
      </w:r>
      <w:r w:rsidDel="00000000" w:rsidR="00000000" w:rsidRPr="00000000">
        <w:rPr>
          <w:i w:val="1"/>
          <w:color w:val="666666"/>
          <w:rtl w:val="0"/>
        </w:rPr>
        <w:t xml:space="preserve"> or </w:t>
      </w:r>
      <w:r w:rsidDel="00000000" w:rsidR="00000000" w:rsidRPr="00000000">
        <w:rPr>
          <w:b w:val="1"/>
          <w:i w:val="1"/>
          <w:color w:val="666666"/>
          <w:rtl w:val="0"/>
        </w:rPr>
        <w:t xml:space="preserve">leads</w:t>
      </w:r>
      <w:r w:rsidDel="00000000" w:rsidR="00000000" w:rsidRPr="00000000">
        <w:rPr>
          <w:i w:val="1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Ensure you have proper tracking set up for these events on both Facebook Ads and Google Ads. This may involve installing conversion pixels or setting up conversion tracking tags.</w:t>
      </w:r>
    </w:p>
    <w:p w:rsidR="00000000" w:rsidDel="00000000" w:rsidP="00000000" w:rsidRDefault="00000000" w:rsidRPr="00000000" w14:paraId="00000008">
      <w:pPr>
        <w:spacing w:line="240" w:lineRule="auto"/>
        <w:rPr>
          <w:i w:val="1"/>
          <w:color w:val="666666"/>
        </w:rPr>
      </w:pPr>
      <w:r w:rsidDel="00000000" w:rsidR="00000000" w:rsidRPr="00000000">
        <w:rPr>
          <w:b w:val="1"/>
          <w:i w:val="1"/>
          <w:color w:val="666666"/>
          <w:rtl w:val="0"/>
        </w:rPr>
        <w:t xml:space="preserve">Time required:</w:t>
      </w:r>
      <w:r w:rsidDel="00000000" w:rsidR="00000000" w:rsidRPr="00000000">
        <w:rPr>
          <w:i w:val="1"/>
          <w:color w:val="666666"/>
          <w:rtl w:val="0"/>
        </w:rPr>
        <w:t xml:space="preserve"> THIS IS PROBABLY ALREADY DONE - Just need to have an understanding of this is done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Gather data from Facebook Ads and Google Ads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Obtain data from Facebook Ads, including the ad spend and performance metrics such as impressions, clicks, and conversions, broken down by campaigns, ad sets, and ads.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Obtain data from Google Ads, including the ad spend and performance metrics such as impressions, clicks, and conversions, broken down by campaigns, ad groups, and keywords.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b w:val="1"/>
          <w:color w:val="e69138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Should be done in within 1 or 2 days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Combine and clean the data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the Facebook Ads and Google Ads data into a single dataset, ensuring that the data points align properly.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the data by removing any duplicates, inconsistencies, or irrelevant information. Verify that the data is accurate and complete.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b w:val="1"/>
          <w:color w:val="ff9900"/>
          <w:rtl w:val="0"/>
        </w:rPr>
        <w:t xml:space="preserve">Time required: </w:t>
      </w:r>
      <w:r w:rsidDel="00000000" w:rsidR="00000000" w:rsidRPr="00000000">
        <w:rPr>
          <w:rtl w:val="0"/>
        </w:rPr>
        <w:t xml:space="preserve">About 1-2 weeks (depends on data - if too many discrepancies - then will have to do data engineering to fix it - if not should be done within a week)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Implement a multi-touch attribution model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a suitable multi-touch attribution model, such as first-touch, last-touch, linear, or time decay, depending on your </w:t>
      </w:r>
      <w:r w:rsidDel="00000000" w:rsidR="00000000" w:rsidRPr="00000000">
        <w:rPr>
          <w:b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customer journey 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the attribution model to distribute conversions and associated revenue across the various touchpoints (campaigns, ad sets, ads, keywords) in your dataset.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b w:val="1"/>
          <w:color w:val="ff9900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Within 2 Weeks ideally, but 3 weeks with a buffer.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Calculate the spend decomposition and optimize budget allocation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ad spend decomposition by attributing the spent amount across the touchpoints based on the attribution model's results.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the performance and return on ad spend (ROAS) for each touchpoint to identify the most effective channels and campaigns.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Use optimization techniques, such as linear programming or mathematical optimization algorithms, to redistribute the budget allocation in a way that maximizes the desired outcome (e.g., revenue, conversions) within budget constraints.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b w:val="1"/>
          <w:color w:val="ff9900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Should be done within a 2 week - buffer 1 week (3 weeks)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Visualize and report the results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visualizations and reports to present the breakdown of ad spend, the optimized budget allocation, and any other relevant insights.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the findings to stakeholders, such as marketing teams or decision-makers, to facilitate informed decision-making and strategic planning.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b w:val="1"/>
          <w:color w:val="ff9900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This should take 2-3 days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*reference image</w:t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color w:val="ffffff"/>
          <w:sz w:val="32"/>
          <w:szCs w:val="32"/>
          <w:highlight w:val="black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72063" cy="45843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4584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ffffff"/>
          <w:sz w:val="32"/>
          <w:szCs w:val="32"/>
          <w:highlight w:val="black"/>
          <w:rtl w:val="0"/>
        </w:rPr>
        <w:t xml:space="preserve">      </w:t>
      </w:r>
    </w:p>
    <w:p w:rsidR="00000000" w:rsidDel="00000000" w:rsidP="00000000" w:rsidRDefault="00000000" w:rsidRPr="00000000" w14:paraId="000000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II. Optimizing Spend Predictively: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Gather historical data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Collect historical data on ad spend, impressions, clicks, conversions, and associated revenue from both Facebook Ads and Google Ads for a significant period (e.g., several months or a year).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Ensure the data includes weekly breakdowns to capture trends and seasonality.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Time required: </w:t>
      </w:r>
      <w:r w:rsidDel="00000000" w:rsidR="00000000" w:rsidRPr="00000000">
        <w:rPr>
          <w:rtl w:val="0"/>
        </w:rPr>
        <w:t xml:space="preserve">This step may take a few hours to collect and export the historical data from both platforms.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Calculate ROI and MROI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Calculate the ROI for each campaign, ad set, or ad by dividing the revenue generated by the associated ad spend and expressing it as a percentage.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Calculate the MROI by factoring in additional costs and expenses related to marketing, such as creative production costs or agency fees, into the ROI calculation.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The time needed to calculate ROI and MROI depends on the complexity of your dataset and the tools you use for analysis. It may take a few hours to perform the calculations.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Analyze weekly breakdown of ROI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Group the data by weeks and calculate the ROI for each week.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Analyze the weekly ROI trends to identify patterns, seasonality, or any significant fluctuations in performance.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Time required: This step may take a few hours to analyze the weekly breakdown and identify trends.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Determine optimal spend levels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Identify the relationship between ad spend and ROI/MROI by analyzing historical data.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Use statistical techniques, such as regression analysis, to model the relationship and determine the optimal ad spend levels that maximize ROI or MROI.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Time required: </w:t>
      </w:r>
      <w:r w:rsidDel="00000000" w:rsidR="00000000" w:rsidRPr="00000000">
        <w:rPr>
          <w:rtl w:val="0"/>
        </w:rPr>
        <w:t xml:space="preserve">The duration for this step can vary depending on the complexity of the analysis and the tools you use. It may take a few hours to build and validate the spend optimization model.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76888" cy="33336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33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Allocate spend for each week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Apply the spend optimization model to allocate the budget for each week, taking into account the predicted ROI or MROI for that period.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Consider budget constraints and other factors, such as seasonality or marketing goals, while allocating the spend.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Time required: </w:t>
      </w:r>
      <w:r w:rsidDel="00000000" w:rsidR="00000000" w:rsidRPr="00000000">
        <w:rPr>
          <w:rtl w:val="0"/>
        </w:rPr>
        <w:t xml:space="preserve">The time needed for spend allocation can vary depending on the complexity of your optimization model and the volume of data. It may take a few hours to perform the allocation.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Compare overall spend vs. spend breakdown for each week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Compare the overall ad spend against the allocated spend for each week to assess the distribution.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Analyze the spend breakdown across campaigns, ad sets, or ads for each week to evaluate the budget distribution's effectiveness.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Time required: </w:t>
      </w:r>
      <w:r w:rsidDel="00000000" w:rsidR="00000000" w:rsidRPr="00000000">
        <w:rPr>
          <w:rtl w:val="0"/>
        </w:rPr>
        <w:t xml:space="preserve">This step may take a few hours to analyze and compare the spend breakdowns for each week.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Monitor and iterate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Monitor the performance of your campaigns, regularly reviewing the ROI and MROI metrics.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Identify opportunities for further optimization, such as reallocating budget from underperforming channels to high-performing ones or adjusting spend levels based on changing trends or market conditions.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Time required: </w:t>
      </w:r>
      <w:r w:rsidDel="00000000" w:rsidR="00000000" w:rsidRPr="00000000">
        <w:rPr>
          <w:rtl w:val="0"/>
        </w:rPr>
        <w:t xml:space="preserve">Monitoring and iterating the spend allocation can be an ongoing process. Allocate a few hours each week to review and refine your budget allocation strategy.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Visualize and report the results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Create visualizations and reports that present the ROI, MROI, spend breakdown, and other relevant metrics.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Communicate the findings to stakeholders, highlighting the optimized spend allocation and the impact on ROI or MROI.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Time required: </w:t>
      </w:r>
      <w:r w:rsidDel="00000000" w:rsidR="00000000" w:rsidRPr="00000000">
        <w:rPr>
          <w:rtl w:val="0"/>
        </w:rPr>
        <w:t xml:space="preserve">The time needed for visualization and reporting can range from a few hours to a day, depending on the complexity of the visualizations and the depth of analysis.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