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Measurement</w:t>
      </w:r>
    </w:p>
    <w:p>
      <w:r>
        <w:t>From Attribution to Influence — Lecture Handout</w:t>
      </w:r>
    </w:p>
    <w:p>
      <w:r>
        <w:t>Universidad Galileo student conversation  •  October 28, 2026  •  Mohammed Jawhar</w:t>
      </w:r>
    </w:p>
    <w:p>
      <w:pPr>
        <w:pStyle w:val="Heading1"/>
      </w:pPr>
      <w:r>
        <w:t>Attribution is not incrementality</w:t>
      </w:r>
    </w:p>
    <w:p>
      <w:r>
        <w:t>Attribution assigns credit for a conversion to marketing touchpoints. Incrementality asks the counterfactual question: what would have happened without a particular intervention? The two questions are related but not interchangeable.</w:t>
      </w:r>
    </w:p>
    <w:p>
      <w:r>
        <w:t>Example: a buyer watches YouTube, sees a Meta reminder, then clicks Search to buy. Last-click attribution may credit Search even though earlier activities—and baseline interest—also influenced the decision.</w:t>
      </w:r>
    </w:p>
    <w:p>
      <w:pPr>
        <w:pStyle w:val="Heading1"/>
      </w:pPr>
      <w:r>
        <w:t>What Marketing Mix Modeling (MMM) contributes</w:t>
      </w:r>
    </w:p>
    <w:p>
      <w:r>
        <w:t>MMM uses aggregate time-series (and optionally geographic) variation to estimate contributions from media, baseline demand and carefully selected business conditions. It can support channel comparisons, spend-response curves, and budget scenarios.</w:t>
      </w:r>
    </w:p>
    <w:p>
      <w:r>
        <w:t>Business factors: seasonality, promotion, prices, consumer demand and competitor activity. The central modeling skill is choosing controls that address relevant confounding—not including every available metric or adjusting for variables caused by advertising.</w:t>
      </w:r>
    </w:p>
    <w:p>
      <w:pPr>
        <w:pStyle w:val="Heading1"/>
      </w:pPr>
      <w:r>
        <w:t>The Google Meridian classroom example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Data</w:t>
            </w:r>
          </w:p>
        </w:tc>
        <w:tc>
          <w:tcPr>
            <w:tcW w:type="dxa" w:w="4925"/>
          </w:tcPr>
          <w:p>
            <w:r>
              <w:t>156 weeks of synthetic US e-commerce data (2023–2025)</w:t>
            </w:r>
          </w:p>
        </w:tc>
      </w:tr>
      <w:tr>
        <w:tc>
          <w:tcPr>
            <w:tcW w:type="dxa" w:w="4925"/>
          </w:tcPr>
          <w:p>
            <w:r>
              <w:t>Channels</w:t>
            </w:r>
          </w:p>
        </w:tc>
        <w:tc>
          <w:tcPr>
            <w:tcW w:type="dxa" w:w="4925"/>
          </w:tcPr>
          <w:p>
            <w:r>
              <w:t>Google Search, Meta, YouTube</w:t>
            </w:r>
          </w:p>
        </w:tc>
      </w:tr>
      <w:tr>
        <w:tc>
          <w:tcPr>
            <w:tcW w:type="dxa" w:w="4925"/>
          </w:tcPr>
          <w:p>
            <w:r>
              <w:t>Outcome</w:t>
            </w:r>
          </w:p>
        </w:tc>
        <w:tc>
          <w:tcPr>
            <w:tcW w:type="dxa" w:w="4925"/>
          </w:tcPr>
          <w:p>
            <w:r>
              <w:t>Revenue in USD (not a conversion-count outcome)</w:t>
            </w:r>
          </w:p>
        </w:tc>
      </w:tr>
      <w:tr>
        <w:tc>
          <w:tcPr>
            <w:tcW w:type="dxa" w:w="4925"/>
          </w:tcPr>
          <w:p>
            <w:r>
              <w:t>Other inputs</w:t>
            </w:r>
          </w:p>
        </w:tc>
        <w:tc>
          <w:tcPr>
            <w:tcW w:type="dxa" w:w="4925"/>
          </w:tcPr>
          <w:p>
            <w:r>
              <w:t>Impressions, spend, demand index, promotion flag</w:t>
            </w:r>
          </w:p>
        </w:tc>
      </w:tr>
      <w:tr>
        <w:tc>
          <w:tcPr>
            <w:tcW w:type="dxa" w:w="4925"/>
          </w:tcPr>
          <w:p>
            <w:r>
              <w:t>Outputs</w:t>
            </w:r>
          </w:p>
        </w:tc>
        <w:tc>
          <w:tcPr>
            <w:tcW w:type="dxa" w:w="4925"/>
          </w:tcPr>
          <w:p>
            <w:r>
              <w:t>Model fit, R-hat, contributions, response curves, budget scenarios</w:t>
            </w:r>
          </w:p>
        </w:tc>
      </w:tr>
    </w:tbl>
    <w:p>
      <w:r>
        <w:t>Teaching rule: if you increase budget, estimated incremental revenue may increase while additional revenue per new dollar decreases. For a clean reallocation example, hold total spend fixed.</w:t>
      </w:r>
    </w:p>
    <w:p>
      <w:pPr>
        <w:pStyle w:val="Heading1"/>
      </w:pPr>
      <w:r>
        <w:t>Frequentist vs. Bayesian: quick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</w:tcPr>
          <w:p>
            <w:r>
              <w:t>Question</w:t>
            </w:r>
          </w:p>
        </w:tc>
        <w:tc>
          <w:tcPr>
            <w:tcW w:type="dxa" w:w="3283"/>
          </w:tcPr>
          <w:p>
            <w:r>
              <w:t>Frequentist</w:t>
            </w:r>
          </w:p>
        </w:tc>
        <w:tc>
          <w:tcPr>
            <w:tcW w:type="dxa" w:w="3283"/>
          </w:tcPr>
          <w:p>
            <w:r>
              <w:t>Bayesian</w:t>
            </w:r>
          </w:p>
        </w:tc>
      </w:tr>
      <w:tr>
        <w:tc>
          <w:tcPr>
            <w:tcW w:type="dxa" w:w="3283"/>
          </w:tcPr>
          <w:p>
            <w:r>
              <w:t>Unknown parameters</w:t>
            </w:r>
          </w:p>
        </w:tc>
        <w:tc>
          <w:tcPr>
            <w:tcW w:type="dxa" w:w="3283"/>
          </w:tcPr>
          <w:p>
            <w:r>
              <w:t>Fixed unknown coefficients</w:t>
            </w:r>
          </w:p>
        </w:tc>
        <w:tc>
          <w:tcPr>
            <w:tcW w:type="dxa" w:w="3283"/>
          </w:tcPr>
          <w:p>
            <w:r>
              <w:t>Posterior distributions</w:t>
            </w:r>
          </w:p>
        </w:tc>
      </w:tr>
      <w:tr>
        <w:tc>
          <w:tcPr>
            <w:tcW w:type="dxa" w:w="3283"/>
          </w:tcPr>
          <w:p>
            <w:r>
              <w:t>Uncertainty</w:t>
            </w:r>
          </w:p>
        </w:tc>
        <w:tc>
          <w:tcPr>
            <w:tcW w:type="dxa" w:w="3283"/>
          </w:tcPr>
          <w:p>
            <w:r>
              <w:t>Confidence intervals</w:t>
            </w:r>
          </w:p>
        </w:tc>
        <w:tc>
          <w:tcPr>
            <w:tcW w:type="dxa" w:w="3283"/>
          </w:tcPr>
          <w:p>
            <w:r>
              <w:t>Credible intervals</w:t>
            </w:r>
          </w:p>
        </w:tc>
      </w:tr>
      <w:tr>
        <w:tc>
          <w:tcPr>
            <w:tcW w:type="dxa" w:w="3283"/>
          </w:tcPr>
          <w:p>
            <w:r>
              <w:t>Advantage</w:t>
            </w:r>
          </w:p>
        </w:tc>
        <w:tc>
          <w:tcPr>
            <w:tcW w:type="dxa" w:w="3283"/>
          </w:tcPr>
          <w:p>
            <w:r>
              <w:t>Efficiency and long-run error properties</w:t>
            </w:r>
          </w:p>
        </w:tc>
        <w:tc>
          <w:tcPr>
            <w:tcW w:type="dxa" w:w="3283"/>
          </w:tcPr>
          <w:p>
            <w:r>
              <w:t>Priors and direct probability statements</w:t>
            </w:r>
          </w:p>
        </w:tc>
      </w:tr>
      <w:tr>
        <w:tc>
          <w:tcPr>
            <w:tcW w:type="dxa" w:w="3283"/>
          </w:tcPr>
          <w:p>
            <w:r>
              <w:t>Caution</w:t>
            </w:r>
          </w:p>
        </w:tc>
        <w:tc>
          <w:tcPr>
            <w:tcW w:type="dxa" w:w="3283"/>
          </w:tcPr>
          <w:p>
            <w:r>
              <w:t>Not assumption-free</w:t>
            </w:r>
          </w:p>
        </w:tc>
        <w:tc>
          <w:tcPr>
            <w:tcW w:type="dxa" w:w="3283"/>
          </w:tcPr>
          <w:p>
            <w:r>
              <w:t>Not automatically causal</w:t>
            </w:r>
          </w:p>
        </w:tc>
      </w:tr>
    </w:tbl>
    <w:p>
      <w:r>
        <w:t>Coin illustration: 7 heads in 10 tosses. The frequentist point estimate of heads probability is 0.70. With a uniform Beta(1,1) prior, the Bayesian posterior is Beta(8,4), implying about an 88.7% probability the coin favors heads (given the prior and binomial model).</w:t>
      </w:r>
    </w:p>
    <w:p>
      <w:pPr>
        <w:pStyle w:val="Heading1"/>
      </w:pPr>
      <w:r>
        <w:t>How should we read Meridian diagnostics?</w:t>
      </w:r>
    </w:p>
    <w:p>
      <w:r>
        <w:t>An R-hat near 1 suggests different MCMC sampling chains agree. A high R² or low MAPE suggests good descriptive fit. Neither alone verifies causal attribution. Check priors, credible intervals, effective sample sizes, divergences, calibration, and model assumptions.</w:t>
      </w:r>
    </w:p>
    <w:p>
      <w:pPr>
        <w:pStyle w:val="Heading1"/>
      </w:pPr>
      <w:r>
        <w:t>From the 4Ps to the 7Ps to the proposed 7Gs</w:t>
      </w:r>
    </w:p>
    <w:p>
      <w:r>
        <w:t>4Ps: Product, Price, Place, Promotion. 7Ps adds People, Process, Physical Evidence. A recent research paper proposes 7Gs to discuss AI-generated offerings, value calibration, access, persuasion, agency networks, experiences and trust signals.</w:t>
      </w:r>
    </w:p>
    <w:p>
      <w:r>
        <w:t>This proposed 7G marketing-strategy framework is distinct from Meridian’s statistical Marketing Mix Modeling. The paper raises conceptual questions rather than establishing that AI improves marketing results.</w:t>
      </w:r>
    </w:p>
    <w:p>
      <w:pPr>
        <w:pStyle w:val="Heading1"/>
      </w:pPr>
      <w:r>
        <w:t>The closing question</w:t>
      </w:r>
    </w:p>
    <w:p>
      <w:r>
        <w:t>If generative AI can influence what customers see and buy, how do we measure genuine incremental value—while preserving accuracy, privacy, fairness and trust?</w:t>
      </w:r>
    </w:p>
    <w:p>
      <w:pPr>
        <w:pStyle w:val="Heading1"/>
      </w:pPr>
      <w:r>
        <w:t>Open the full materials</w:t>
      </w:r>
    </w:p>
    <w:p>
      <w:r>
        <w:t>Slides, Jupyter notebook, synthetic dataset, summaries and reading notes are included in this project. Research paper: https://www.researchgate.net/publication/399671440_Marketing_mix_rebuilding_for_the_age_of_generative_AI_From_7P_to_7G_marketing_mix_model</w:t>
      </w:r>
    </w:p>
    <w:p>
      <w:r>
        <w:t>Reminder: the dataset is synthetic, and the notebook’s posterior calculations should be run and validated in a compatible Meridian environment before presenting them as reproducible results.</w:t>
      </w:r>
    </w:p>
    <w:sectPr w:rsidR="00FC693F" w:rsidRPr="0006063C" w:rsidSect="00034616">
      <w:pgSz w:w="12240" w:h="15840"/>
      <w:pgMar w:top="979" w:right="1195" w:bottom="950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9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9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95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Measurement: From Attribution to Influence — Summary Handout</dc:title>
  <dc:subject/>
  <dc:creator>Mohammed Jawhar</dc:creator>
  <cp:keywords>Marketing Mix Modeling, Meridian, Bayesian, lecture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