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5B3FA8"/>
          <w:sz w:val="30"/>
          <w:szCs w:val="30"/>
        </w:rPr>
        <w:t xml:space="preserve">GAME &amp; SIMULATION FOUNDATIONS</w:t>
      </w:r>
    </w:p>
    <w:p>
      <w:pPr>
        <w:spacing w:after="2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Florida Course Code 82081100 · Unity Certified User: Programmer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  ·  Standards &amp; Administrator Reference</w:t>
      </w:r>
    </w:p>
    <w:p>
      <w:pPr>
        <w:shd w:fill="FBF0DC" w:val="clear"/>
        <w:spacing w:after="200"/>
      </w:pPr>
      <w:r>
        <w:rPr>
          <w:rFonts w:ascii="Arial" w:cs="Arial" w:eastAsia="Arial" w:hAnsi="Arial"/>
          <w:i/>
          <w:iCs/>
          <w:color w:val="8A5900"/>
          <w:sz w:val="19"/>
          <w:szCs w:val="19"/>
        </w:rPr>
        <w:t xml:space="preserve">⚠ Every resource in this set is cert-tagged (Programmer / Artist / Both) and currently filtered to the Unity Certified User: Programmer track. Which certification Cypress Bay actually administers has not yet been confirmed with the instructor of record — the Artist track exists in the underlying data and can be activated without a rebuild once confirmed.</w:t>
      </w:r>
    </w:p>
    <w:p>
      <w:pPr>
        <w:shd w:fill="EEEAFD" w:val="clear"/>
        <w:spacing w:after="180" w:before="320"/>
      </w:pPr>
      <w:r>
        <w:rPr>
          <w:rFonts w:ascii="Arial" w:cs="Arial" w:eastAsia="Arial" w:hAnsi="Arial"/>
          <w:b/>
          <w:bCs/>
          <w:color w:val="5B3FA8"/>
          <w:sz w:val="24"/>
          <w:szCs w:val="24"/>
        </w:rPr>
        <w:t xml:space="preserve">Governing Framework</w:t>
      </w:r>
    </w:p>
    <w:p>
      <w:pPr>
        <w:spacing w:after="140"/>
      </w:pPr>
      <w:r>
        <w:rPr>
          <w:rFonts w:ascii="Georgia" w:cs="Georgia" w:eastAsia="Georgia" w:hAnsi="Georgia"/>
          <w:i w:val="false"/>
          <w:iCs w:val="false"/>
          <w:sz w:val="21"/>
          <w:szCs w:val="21"/>
        </w:rPr>
        <w:t xml:space="preserve">Game &amp; Simulation Foundations is built on Unity Certified User: Programmer certification objectives. The resource set below covers five content areas — Engine &amp; Editor, C# Scripting, Gameplay &amp; Physics, UI &amp; Audio, and Design &amp; Production — with every term, question, and code example drawn from the course's own material rather than a generic game-development glossary.</w:t>
      </w:r>
    </w:p>
    <w:p>
      <w:pPr>
        <w:shd w:fill="EEEAFD" w:val="clear"/>
        <w:spacing w:after="180" w:before="320"/>
      </w:pPr>
      <w:r>
        <w:rPr>
          <w:rFonts w:ascii="Arial" w:cs="Arial" w:eastAsia="Arial" w:hAnsi="Arial"/>
          <w:b/>
          <w:bCs/>
          <w:color w:val="5B3FA8"/>
          <w:sz w:val="24"/>
          <w:szCs w:val="24"/>
        </w:rPr>
        <w:t xml:space="preserve">Resource Set at a Glance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60"/>
      </w:tblGrid>
      <w:tr>
        <w:tc>
          <w:tcPr>
            <w:tcW w:type="dxa" w:w="2600"/>
            <w:shd w:fill="5B3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6860"/>
            <w:shd w:fill="5B3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Provides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Master Glossary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79 terms (Programmer track) with definitions and worked examples; 37 include real Unity C# code snippets. Includes a spaced-repetition Flashcard Quiz and a Focus Review mode.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Drill Trainer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42 questions, including code-reading items, across 3 modes: Practice (spaced-repetition weighted), timed Exam Mode, and Stamina Mode.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Common Confusions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20 frequently confused pairs (e.g., Awake vs Start, = vs ==, Collider vs Trigger) shown side-by-side with a memory device.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Mistakes Autopsy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16 beginner bugs dissected with real code — missing Time.deltaTime, physics logic in the wrong lifecycle method — with a Find My Mistake diagnostic.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Self-Grader</w:t>
            </w:r>
          </w:p>
        </w:tc>
        <w:tc>
          <w:tcPr>
            <w:tcW w:type="dxa" w:w="6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11 free-response prompts (5 code-writing, 4 debug/explain, 2 design-reasoning) — the only tool requiring students to actually write code rather than recognize it.</w:t>
            </w:r>
          </w:p>
        </w:tc>
      </w:tr>
    </w:tbl>
    <w:p>
      <w:pPr>
        <w:shd w:fill="EEEAFD" w:val="clear"/>
        <w:spacing w:after="180" w:before="320"/>
      </w:pPr>
      <w:r>
        <w:rPr>
          <w:rFonts w:ascii="Arial" w:cs="Arial" w:eastAsia="Arial" w:hAnsi="Arial"/>
          <w:b/>
          <w:bCs/>
          <w:color w:val="5B3FA8"/>
          <w:sz w:val="24"/>
          <w:szCs w:val="24"/>
        </w:rPr>
        <w:t xml:space="preserve">Category Coverage &amp; Suggested Pacing Weight</w:t>
      </w:r>
    </w:p>
    <w:p>
      <w:pPr>
        <w:spacing w:after="160"/>
      </w:pPr>
      <w:r>
        <w:rPr>
          <w:rFonts w:ascii="Georgia" w:cs="Georgia" w:eastAsia="Georgia" w:hAnsi="Georgia"/>
          <w:i/>
          <w:iCs/>
          <w:sz w:val="21"/>
          <w:szCs w:val="21"/>
        </w:rPr>
        <w:t xml:space="preserve">Weights below are proportional to vocabulary density per category — a starting point for allocating instructional time, not a fixed calendar. Calibrate against your actual term length and project schedule.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00"/>
        <w:gridCol w:w="1400"/>
        <w:gridCol w:w="2360"/>
      </w:tblGrid>
      <w:tr>
        <w:tc>
          <w:tcPr>
            <w:tcW w:type="dxa" w:w="5700"/>
            <w:shd w:fill="5B3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400"/>
            <w:shd w:fill="5B3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Terms</w:t>
            </w:r>
          </w:p>
        </w:tc>
        <w:tc>
          <w:tcPr>
            <w:tcW w:type="dxa" w:w="2360"/>
            <w:shd w:fill="5B3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Suggested Weight</w:t>
            </w:r>
          </w:p>
        </w:tc>
      </w:tr>
      <w:tr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Engine &amp; Editor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~18%</w:t>
            </w:r>
          </w:p>
        </w:tc>
      </w:tr>
      <w:tr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C# Scripting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28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~35%</w:t>
            </w:r>
          </w:p>
        </w:tc>
      </w:tr>
      <w:tr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Gameplay &amp; Physics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~23%</w:t>
            </w:r>
          </w:p>
        </w:tc>
      </w:tr>
      <w:tr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UI &amp; Audio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~10%</w:t>
            </w:r>
          </w:p>
        </w:tc>
      </w:tr>
      <w:tr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Design &amp; Production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9"/>
                <w:szCs w:val="19"/>
              </w:rPr>
              <w:t xml:space="preserve">~14%</w:t>
            </w:r>
          </w:p>
        </w:tc>
      </w:tr>
    </w:tbl>
    <w:p>
      <w:pPr>
        <w:shd w:fill="EEEAFD" w:val="clear"/>
        <w:spacing w:after="180" w:before="320"/>
      </w:pPr>
      <w:r>
        <w:rPr>
          <w:rFonts w:ascii="Arial" w:cs="Arial" w:eastAsia="Arial" w:hAnsi="Arial"/>
          <w:b/>
          <w:bCs/>
          <w:color w:val="5B3FA8"/>
          <w:sz w:val="24"/>
          <w:szCs w:val="24"/>
        </w:rPr>
        <w:t xml:space="preserve">What Each Tool Supports</w:t>
      </w:r>
    </w:p>
    <w:p>
      <w:pPr>
        <w:spacing w:after="90"/>
        <w:ind w:left="260"/>
      </w:pPr>
      <w:r>
        <w:rPr>
          <w:rFonts w:ascii="Arial" w:cs="Arial" w:eastAsia="Arial" w:hAnsi="Arial"/>
          <w:b/>
          <w:bCs/>
          <w:color w:val="5B3FA8"/>
          <w:sz w:val="21"/>
          <w:szCs w:val="21"/>
        </w:rPr>
        <w:t xml:space="preserve">•  </w:t>
      </w:r>
      <w:r>
        <w:rPr>
          <w:rFonts w:ascii="Georgia" w:cs="Georgia" w:eastAsia="Georgia" w:hAnsi="Georgia"/>
          <w:sz w:val="21"/>
          <w:szCs w:val="21"/>
        </w:rPr>
        <w:t xml:space="preserve">Master Glossary's code examples are drawn from real Unity syntax students will encounter directly in the editor, not abstracted pseudocode.</w:t>
      </w:r>
    </w:p>
    <w:p>
      <w:pPr>
        <w:spacing w:after="90"/>
        <w:ind w:left="260"/>
      </w:pPr>
      <w:r>
        <w:rPr>
          <w:rFonts w:ascii="Arial" w:cs="Arial" w:eastAsia="Arial" w:hAnsi="Arial"/>
          <w:b/>
          <w:bCs/>
          <w:color w:val="5B3FA8"/>
          <w:sz w:val="21"/>
          <w:szCs w:val="21"/>
        </w:rPr>
        <w:t xml:space="preserve">•  </w:t>
      </w:r>
      <w:r>
        <w:rPr>
          <w:rFonts w:ascii="Georgia" w:cs="Georgia" w:eastAsia="Georgia" w:hAnsi="Georgia"/>
          <w:sz w:val="21"/>
          <w:szCs w:val="21"/>
        </w:rPr>
        <w:t xml:space="preserve">Drill Trainer's Practice mode weights toward previously-missed questions via spaced repetition; code-reading questions specifically test whether students can trace what a script actually does, not just recall a definition.</w:t>
      </w:r>
    </w:p>
    <w:p>
      <w:pPr>
        <w:spacing w:after="90"/>
        <w:ind w:left="260"/>
      </w:pPr>
      <w:r>
        <w:rPr>
          <w:rFonts w:ascii="Arial" w:cs="Arial" w:eastAsia="Arial" w:hAnsi="Arial"/>
          <w:b/>
          <w:bCs/>
          <w:color w:val="5B3FA8"/>
          <w:sz w:val="21"/>
          <w:szCs w:val="21"/>
        </w:rPr>
        <w:t xml:space="preserve">•  </w:t>
      </w:r>
      <w:r>
        <w:rPr>
          <w:rFonts w:ascii="Georgia" w:cs="Georgia" w:eastAsia="Georgia" w:hAnsi="Georgia"/>
          <w:sz w:val="21"/>
          <w:szCs w:val="21"/>
        </w:rPr>
        <w:t xml:space="preserve">Self-Grader is the only tool that requires students to actually produce working code (TakeDamage methods, movement with Time.deltaTime, PlayerPrefs calls) rather than select or recognize a correct answer — closest to what a certification practical exam requires.</w:t>
      </w:r>
    </w:p>
    <w:p>
      <w:pPr>
        <w:spacing w:after="90"/>
        <w:ind w:left="260"/>
      </w:pPr>
      <w:r>
        <w:rPr>
          <w:rFonts w:ascii="Arial" w:cs="Arial" w:eastAsia="Arial" w:hAnsi="Arial"/>
          <w:b/>
          <w:bCs/>
          <w:color w:val="5B3FA8"/>
          <w:sz w:val="21"/>
          <w:szCs w:val="21"/>
        </w:rPr>
        <w:t xml:space="preserve">•  </w:t>
      </w:r>
      <w:r>
        <w:rPr>
          <w:rFonts w:ascii="Georgia" w:cs="Georgia" w:eastAsia="Georgia" w:hAnsi="Georgia"/>
          <w:sz w:val="21"/>
          <w:szCs w:val="21"/>
        </w:rPr>
        <w:t xml:space="preserve">Common Confusions is most useful immediately before a certification practice exam, since several pairs (= vs ==, Collider vs Trigger) are exactly the kind of distinction certification exams test directly.</w:t>
      </w:r>
    </w:p>
    <w:p>
      <w:pPr>
        <w:shd w:fill="EEEAFD" w:val="clear"/>
        <w:spacing w:after="180" w:before="320"/>
      </w:pPr>
      <w:r>
        <w:rPr>
          <w:rFonts w:ascii="Arial" w:cs="Arial" w:eastAsia="Arial" w:hAnsi="Arial"/>
          <w:b/>
          <w:bCs/>
          <w:color w:val="5B3FA8"/>
          <w:sz w:val="24"/>
          <w:szCs w:val="24"/>
        </w:rPr>
        <w:t xml:space="preserve">Administrator Look-Fors</w:t>
      </w:r>
    </w:p>
    <w:p>
      <w:pPr>
        <w:spacing w:after="120"/>
      </w:pPr>
      <w:r>
        <w:rPr>
          <w:rFonts w:ascii="Georgia" w:cs="Georgia" w:eastAsia="Georgia" w:hAnsi="Georgia"/>
          <w:i w:val="false"/>
          <w:iCs w:val="false"/>
          <w:sz w:val="21"/>
          <w:szCs w:val="21"/>
        </w:rPr>
        <w:t xml:space="preserve">Observable indicators that students are using the resource set as designed, not just clicking through it:</w:t>
      </w:r>
    </w:p>
    <w:p>
      <w:pPr>
        <w:spacing w:after="90"/>
        <w:ind w:left="260"/>
      </w:pPr>
      <w:r>
        <w:rPr>
          <w:rFonts w:ascii="Arial" w:cs="Arial" w:eastAsia="Arial" w:hAnsi="Arial"/>
          <w:b/>
          <w:bCs/>
          <w:color w:val="5B3FA8"/>
          <w:sz w:val="21"/>
          <w:szCs w:val="21"/>
        </w:rPr>
        <w:t xml:space="preserve">•  </w:t>
      </w:r>
      <w:r>
        <w:rPr>
          <w:rFonts w:ascii="Georgia" w:cs="Georgia" w:eastAsia="Georgia" w:hAnsi="Georgia"/>
          <w:sz w:val="21"/>
          <w:szCs w:val="21"/>
        </w:rPr>
        <w:t xml:space="preserve">Students moving between the Glossary's code examples and the Self-Grader's code-writing prompts — evidence of connecting recognition to production.</w:t>
      </w:r>
    </w:p>
    <w:p>
      <w:pPr>
        <w:spacing w:after="90"/>
        <w:ind w:left="260"/>
      </w:pPr>
      <w:r>
        <w:rPr>
          <w:rFonts w:ascii="Arial" w:cs="Arial" w:eastAsia="Arial" w:hAnsi="Arial"/>
          <w:b/>
          <w:bCs/>
          <w:color w:val="5B3FA8"/>
          <w:sz w:val="21"/>
          <w:szCs w:val="21"/>
        </w:rPr>
        <w:t xml:space="preserve">•  </w:t>
      </w:r>
      <w:r>
        <w:rPr>
          <w:rFonts w:ascii="Georgia" w:cs="Georgia" w:eastAsia="Georgia" w:hAnsi="Georgia"/>
          <w:sz w:val="21"/>
          <w:szCs w:val="21"/>
        </w:rPr>
        <w:t xml:space="preserve">Focus Review or Find My Mistake sessions targeting categories a student has previously struggled with, rather than uniform review.</w:t>
      </w:r>
    </w:p>
    <w:p>
      <w:pPr>
        <w:spacing w:after="90"/>
        <w:ind w:left="260"/>
      </w:pPr>
      <w:r>
        <w:rPr>
          <w:rFonts w:ascii="Arial" w:cs="Arial" w:eastAsia="Arial" w:hAnsi="Arial"/>
          <w:b/>
          <w:bCs/>
          <w:color w:val="5B3FA8"/>
          <w:sz w:val="21"/>
          <w:szCs w:val="21"/>
        </w:rPr>
        <w:t xml:space="preserve">•  </w:t>
      </w:r>
      <w:r>
        <w:rPr>
          <w:rFonts w:ascii="Georgia" w:cs="Georgia" w:eastAsia="Georgia" w:hAnsi="Georgia"/>
          <w:sz w:val="21"/>
          <w:szCs w:val="21"/>
        </w:rPr>
        <w:t xml:space="preserve">Self-Grader code responses being compared against the model answer's rubric criteria (correct method signature, correct logic, correct syntax) before marking mastered.</w:t>
      </w:r>
    </w:p>
    <w:p>
      <w:pPr>
        <w:spacing w:after="90"/>
        <w:ind w:left="260"/>
      </w:pPr>
      <w:r>
        <w:rPr>
          <w:rFonts w:ascii="Arial" w:cs="Arial" w:eastAsia="Arial" w:hAnsi="Arial"/>
          <w:b/>
          <w:bCs/>
          <w:color w:val="5B3FA8"/>
          <w:sz w:val="21"/>
          <w:szCs w:val="21"/>
        </w:rPr>
        <w:t xml:space="preserve">•  </w:t>
      </w:r>
      <w:r>
        <w:rPr>
          <w:rFonts w:ascii="Georgia" w:cs="Georgia" w:eastAsia="Georgia" w:hAnsi="Georgia"/>
          <w:sz w:val="21"/>
          <w:szCs w:val="21"/>
        </w:rPr>
        <w:t xml:space="preserve">Use of Common Confusions in the days before a certification practice exam.</w:t>
      </w:r>
    </w:p>
    <w:p>
      <w:pPr>
        <w:shd w:fill="EEEAFD" w:val="clear"/>
        <w:spacing w:after="180" w:before="320"/>
      </w:pPr>
      <w:r>
        <w:rPr>
          <w:rFonts w:ascii="Arial" w:cs="Arial" w:eastAsia="Arial" w:hAnsi="Arial"/>
          <w:b/>
          <w:bCs/>
          <w:color w:val="5B3FA8"/>
          <w:sz w:val="24"/>
          <w:szCs w:val="24"/>
        </w:rPr>
        <w:t xml:space="preserve">Data &amp; Access Notes</w:t>
      </w:r>
    </w:p>
    <w:p>
      <w:pPr>
        <w:spacing w:after="140"/>
      </w:pPr>
      <w:r>
        <w:rPr>
          <w:rFonts w:ascii="Georgia" w:cs="Georgia" w:eastAsia="Georgia" w:hAnsi="Georgia"/>
          <w:i w:val="false"/>
          <w:iCs w:val="false"/>
          <w:sz w:val="21"/>
          <w:szCs w:val="21"/>
        </w:rPr>
        <w:t xml:space="preserve">All tools run entirely client-side as standalone HTML — no account, login, or internet connection required after the page loads. Student progress (starred terms, quiz scores, mastery tracking) is stored in the browser's local storage on that device only; no data is transmitted to any server. There is currently no teacher-facing dashboard aggregating usage across students — each student's progress is visible only on their own device.</w:t>
      </w:r>
    </w:p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5"/>
        <w:szCs w:val="15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5"/>
        <w:szCs w:val="15"/>
      </w:rPr>
      <w:t xml:space="preserve">Game &amp; Simulation Foundations · Standards &amp; Administrator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2026-08-17T11:24:46.084Z</dcterms:created>
  <dcterms:modified xsi:type="dcterms:W3CDTF">2026-08-17T11:24:46.084Z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