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8A5900"/>
          <w:sz w:val="30"/>
          <w:szCs w:val="30"/>
        </w:rPr>
        <w:t xml:space="preserve">PRE-AP WORLD HISTORY &amp; GEOGRAPHY</w:t>
      </w:r>
    </w:p>
    <w:p>
      <w:pPr>
        <w:spacing w:after="200"/>
      </w:pPr>
      <w:r>
        <w:rPr>
          <w:rFonts w:ascii="Arial" w:cs="Arial" w:eastAsia="Arial" w:hAnsi="Arial"/>
          <w:color w:val="555555"/>
          <w:sz w:val="21"/>
          <w:szCs w:val="21"/>
        </w:rPr>
        <w:t xml:space="preserve">Florida Course Code 21094150 · College Board Pre-AP Framework</w:t>
      </w:r>
      <w:r>
        <w:rPr>
          <w:rFonts w:ascii="Arial" w:cs="Arial" w:eastAsia="Arial" w:hAnsi="Arial"/>
          <w:i/>
          <w:iCs/>
          <w:color w:val="555555"/>
          <w:sz w:val="21"/>
          <w:szCs w:val="21"/>
        </w:rPr>
        <w:t xml:space="preserve">  ·  Standards &amp; Administrator Reference</w:t>
      </w:r>
    </w:p>
    <w:p>
      <w:pPr>
        <w:shd w:fill="FBF0DC" w:val="clear"/>
        <w:spacing w:after="200"/>
      </w:pPr>
      <w:r>
        <w:rPr>
          <w:rFonts w:ascii="Arial" w:cs="Arial" w:eastAsia="Arial" w:hAnsi="Arial"/>
          <w:i/>
          <w:iCs/>
          <w:color w:val="8A5900"/>
          <w:sz w:val="19"/>
          <w:szCs w:val="19"/>
        </w:rPr>
        <w:t xml:space="preserve">⚠ This resource set is built on College Board Pre-AP Pathway 2 (Early Modern → Modern → Contemporary), based on a Florida course-code match to a comparable district's pathway selection. This has not yet been directly confirmed with the Cypress Bay instructor of record. If the actual pathway differs (e.g., Pathway 1: Ancient → Classical → Postclassical), the Geography unit remains valid but the three historical-period units would need rebuilding.</w:t>
      </w:r>
    </w:p>
    <w:p>
      <w:pPr>
        <w:shd w:fill="FBF0DC" w:val="clear"/>
        <w:spacing w:after="180" w:before="320"/>
      </w:pPr>
      <w:r>
        <w:rPr>
          <w:rFonts w:ascii="Arial" w:cs="Arial" w:eastAsia="Arial" w:hAnsi="Arial"/>
          <w:b/>
          <w:bCs/>
          <w:color w:val="8A5900"/>
          <w:sz w:val="24"/>
          <w:szCs w:val="24"/>
        </w:rPr>
        <w:t xml:space="preserve">Governing Framework</w:t>
      </w:r>
    </w:p>
    <w:p>
      <w:pPr>
        <w:spacing w:after="140"/>
      </w:pPr>
      <w:r>
        <w:rPr>
          <w:rFonts w:ascii="Georgia" w:cs="Georgia" w:eastAsia="Georgia" w:hAnsi="Georgia"/>
          <w:i w:val="false"/>
          <w:iCs w:val="false"/>
          <w:sz w:val="21"/>
          <w:szCs w:val="21"/>
        </w:rPr>
        <w:t xml:space="preserve">Pre-AP World History &amp; Geography follows the College Board Pre-AP framework, built here on Pathway 2 — Geography and World Regions, then the Early Modern, Modern, and Contemporary periods in sequence. The resource set below covers all four units with vocabulary, practice, and diagnostic tools built from the course's own term set rather than a generic world history glossary.</w:t>
      </w:r>
    </w:p>
    <w:p>
      <w:pPr>
        <w:shd w:fill="FBF0DC" w:val="clear"/>
        <w:spacing w:after="180" w:before="320"/>
      </w:pPr>
      <w:r>
        <w:rPr>
          <w:rFonts w:ascii="Arial" w:cs="Arial" w:eastAsia="Arial" w:hAnsi="Arial"/>
          <w:b/>
          <w:bCs/>
          <w:color w:val="8A5900"/>
          <w:sz w:val="24"/>
          <w:szCs w:val="24"/>
        </w:rPr>
        <w:t xml:space="preserve">Resource Set at a Glance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6860"/>
      </w:tblGrid>
      <w:tr>
        <w:tc>
          <w:tcPr>
            <w:tcW w:type="dxa" w:w="2600"/>
            <w:shd w:fill="8A5900" w:val="clear"/>
            <w:tcMar>
              <w:top w:type="dxa" w:w="80"/>
              <w:left w:type="dxa" w:w="120"/>
              <w:bottom w:type="dxa" w:w="80"/>
              <w:right w:type="dxa" w:w="120"/>
            </w:tcMar>
            <w:vAlign w:val="center"/>
          </w:tcPr>
          <w:p>
            <w:r>
              <w:rPr>
                <w:rFonts w:ascii="Arial" w:cs="Arial" w:eastAsia="Arial" w:hAnsi="Arial"/>
                <w:b/>
                <w:bCs/>
                <w:color w:val="FFFFFF"/>
                <w:sz w:val="19"/>
                <w:szCs w:val="19"/>
              </w:rPr>
              <w:t xml:space="preserve">Resource</w:t>
            </w:r>
          </w:p>
        </w:tc>
        <w:tc>
          <w:tcPr>
            <w:tcW w:type="dxa" w:w="6860"/>
            <w:shd w:fill="8A5900"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Provides</w:t>
            </w:r>
          </w:p>
        </w:tc>
      </w:tr>
      <w:tr>
        <w:tc>
          <w:tcPr>
            <w:tcW w:type="dxa" w:w="26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Master Glossary</w:t>
            </w:r>
          </w:p>
        </w:tc>
        <w:tc>
          <w:tcPr>
            <w:tcW w:type="dxa" w:w="686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106 terms with plain-language definitions and a real historical example for every term. Includes a spaced-repetition Flashcard Quiz and a Focus Review mode.</w:t>
            </w:r>
          </w:p>
        </w:tc>
      </w:tr>
      <w:tr>
        <w:tc>
          <w:tcPr>
            <w:tcW w:type="dxa" w:w="26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Drill Trainer</w:t>
            </w:r>
          </w:p>
        </w:tc>
        <w:tc>
          <w:tcPr>
            <w:tcW w:type="dxa" w:w="686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58 questions across 3 difficulty tiers and 3 modes: Practice (spaced-repetition weighted), timed Exam Mode, and Stamina Mode.</w:t>
            </w:r>
          </w:p>
        </w:tc>
      </w:tr>
      <w:tr>
        <w:tc>
          <w:tcPr>
            <w:tcW w:type="dxa" w:w="26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Common Confusions</w:t>
            </w:r>
          </w:p>
        </w:tc>
        <w:tc>
          <w:tcPr>
            <w:tcW w:type="dxa" w:w="686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19 frequently confused pairs (e.g., League of Nations vs United Nations, Socialism vs Communism) shown side-by-side with a memory device.</w:t>
            </w:r>
          </w:p>
        </w:tc>
      </w:tr>
      <w:tr>
        <w:tc>
          <w:tcPr>
            <w:tcW w:type="dxa" w:w="26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Mistakes Autopsy</w:t>
            </w:r>
          </w:p>
        </w:tc>
        <w:tc>
          <w:tcPr>
            <w:tcW w:type="dxa" w:w="686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17 conceptual errors dissected — confused empires, reversed chronology, cause/effect swaps — with a Find My Mistake diagnostic.</w:t>
            </w:r>
          </w:p>
        </w:tc>
      </w:tr>
      <w:tr>
        <w:tc>
          <w:tcPr>
            <w:tcW w:type="dxa" w:w="26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Self-Grader</w:t>
            </w:r>
          </w:p>
        </w:tc>
        <w:tc>
          <w:tcPr>
            <w:tcW w:type="dxa" w:w="686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10 short-answer and DBQ-style prompts (4 explain, 3 compare, 3 short argument) — the only tool testing constructed written response rather than recognition.</w:t>
            </w:r>
          </w:p>
        </w:tc>
      </w:tr>
    </w:tbl>
    <w:p>
      <w:pPr>
        <w:shd w:fill="FBF0DC" w:val="clear"/>
        <w:spacing w:after="180" w:before="320"/>
      </w:pPr>
      <w:r>
        <w:rPr>
          <w:rFonts w:ascii="Arial" w:cs="Arial" w:eastAsia="Arial" w:hAnsi="Arial"/>
          <w:b/>
          <w:bCs/>
          <w:color w:val="8A5900"/>
          <w:sz w:val="24"/>
          <w:szCs w:val="24"/>
        </w:rPr>
        <w:t xml:space="preserve">Unit Coverage &amp; Suggested Pacing Weight</w:t>
      </w:r>
    </w:p>
    <w:p>
      <w:pPr>
        <w:spacing w:after="160"/>
      </w:pPr>
      <w:r>
        <w:rPr>
          <w:rFonts w:ascii="Georgia" w:cs="Georgia" w:eastAsia="Georgia" w:hAnsi="Georgia"/>
          <w:i/>
          <w:iCs/>
          <w:sz w:val="21"/>
          <w:szCs w:val="21"/>
        </w:rPr>
        <w:t xml:space="preserve">Weights below are proportional to vocabulary density per unit — a starting point for allocating instructional time, not a fixed calendar. Calibrate against your actual term length and the confirmed pathway sequence.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400"/>
        <w:gridCol w:w="2360"/>
      </w:tblGrid>
      <w:tr>
        <w:tc>
          <w:tcPr>
            <w:tcW w:type="dxa" w:w="900"/>
            <w:shd w:fill="8A5900" w:val="clear"/>
            <w:tcMar>
              <w:top w:type="dxa" w:w="80"/>
              <w:left w:type="dxa" w:w="120"/>
              <w:bottom w:type="dxa" w:w="80"/>
              <w:right w:type="dxa" w:w="120"/>
            </w:tcMar>
            <w:vAlign w:val="center"/>
          </w:tcPr>
          <w:p>
            <w:r>
              <w:rPr>
                <w:rFonts w:ascii="Arial" w:cs="Arial" w:eastAsia="Arial" w:hAnsi="Arial"/>
                <w:b/>
                <w:bCs/>
                <w:color w:val="FFFFFF"/>
                <w:sz w:val="19"/>
                <w:szCs w:val="19"/>
              </w:rPr>
              <w:t xml:space="preserve">Unit</w:t>
            </w:r>
          </w:p>
        </w:tc>
        <w:tc>
          <w:tcPr>
            <w:tcW w:type="dxa" w:w="4800"/>
            <w:shd w:fill="8A5900" w:val="clear"/>
            <w:tcMar>
              <w:top w:type="dxa" w:w="80"/>
              <w:left w:type="dxa" w:w="120"/>
              <w:bottom w:type="dxa" w:w="80"/>
              <w:right w:type="dxa" w:w="120"/>
            </w:tcMar>
            <w:vAlign w:val="center"/>
          </w:tcPr>
          <w:p>
            <w:r>
              <w:rPr>
                <w:rFonts w:ascii="Arial" w:cs="Arial" w:eastAsia="Arial" w:hAnsi="Arial"/>
                <w:b/>
                <w:bCs/>
                <w:color w:val="FFFFFF"/>
                <w:sz w:val="19"/>
                <w:szCs w:val="19"/>
              </w:rPr>
              <w:t xml:space="preserve">Topic</w:t>
            </w:r>
          </w:p>
        </w:tc>
        <w:tc>
          <w:tcPr>
            <w:tcW w:type="dxa" w:w="1400"/>
            <w:shd w:fill="8A5900" w:val="clear"/>
            <w:tcMar>
              <w:top w:type="dxa" w:w="80"/>
              <w:left w:type="dxa" w:w="120"/>
              <w:bottom w:type="dxa" w:w="80"/>
              <w:right w:type="dxa" w:w="120"/>
            </w:tcMar>
            <w:vAlign w:val="center"/>
          </w:tcPr>
          <w:p>
            <w:r>
              <w:rPr>
                <w:rFonts w:ascii="Arial" w:cs="Arial" w:eastAsia="Arial" w:hAnsi="Arial"/>
                <w:b/>
                <w:bCs/>
                <w:color w:val="FFFFFF"/>
                <w:sz w:val="19"/>
                <w:szCs w:val="19"/>
              </w:rPr>
              <w:t xml:space="preserve">Terms</w:t>
            </w:r>
          </w:p>
        </w:tc>
        <w:tc>
          <w:tcPr>
            <w:tcW w:type="dxa" w:w="2360"/>
            <w:shd w:fill="8A5900" w:val="clear"/>
            <w:tcMar>
              <w:top w:type="dxa" w:w="80"/>
              <w:left w:type="dxa" w:w="120"/>
              <w:bottom w:type="dxa" w:w="80"/>
              <w:right w:type="dxa" w:w="120"/>
            </w:tcMar>
            <w:vAlign w:val="center"/>
          </w:tcPr>
          <w:p>
            <w:r>
              <w:rPr>
                <w:rFonts w:ascii="Arial" w:cs="Arial" w:eastAsia="Arial" w:hAnsi="Arial"/>
                <w:b/>
                <w:bCs/>
                <w:color w:val="FFFFFF"/>
                <w:sz w:val="19"/>
                <w:szCs w:val="19"/>
              </w:rPr>
              <w:t xml:space="preserve">Suggested Weight</w:t>
            </w:r>
          </w:p>
        </w:tc>
      </w:tr>
      <w:tr>
        <w:tc>
          <w:tcPr>
            <w:tcW w:type="dxa" w:w="9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U1</w:t>
            </w:r>
          </w:p>
        </w:tc>
        <w:tc>
          <w:tcPr>
            <w:tcW w:type="dxa" w:w="48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Geography &amp; World Regions</w:t>
            </w:r>
          </w:p>
        </w:tc>
        <w:tc>
          <w:tcPr>
            <w:tcW w:type="dxa" w:w="14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21</w:t>
            </w:r>
          </w:p>
        </w:tc>
        <w:tc>
          <w:tcPr>
            <w:tcW w:type="dxa" w:w="236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~20%</w:t>
            </w:r>
          </w:p>
        </w:tc>
      </w:tr>
      <w:tr>
        <w:tc>
          <w:tcPr>
            <w:tcW w:type="dxa" w:w="9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U2</w:t>
            </w:r>
          </w:p>
        </w:tc>
        <w:tc>
          <w:tcPr>
            <w:tcW w:type="dxa" w:w="48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Early Modern Period</w:t>
            </w:r>
          </w:p>
        </w:tc>
        <w:tc>
          <w:tcPr>
            <w:tcW w:type="dxa" w:w="14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28</w:t>
            </w:r>
          </w:p>
        </w:tc>
        <w:tc>
          <w:tcPr>
            <w:tcW w:type="dxa" w:w="236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~26%</w:t>
            </w:r>
          </w:p>
        </w:tc>
      </w:tr>
      <w:tr>
        <w:tc>
          <w:tcPr>
            <w:tcW w:type="dxa" w:w="9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U3</w:t>
            </w:r>
          </w:p>
        </w:tc>
        <w:tc>
          <w:tcPr>
            <w:tcW w:type="dxa" w:w="48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Modern Period</w:t>
            </w:r>
          </w:p>
        </w:tc>
        <w:tc>
          <w:tcPr>
            <w:tcW w:type="dxa" w:w="14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28</w:t>
            </w:r>
          </w:p>
        </w:tc>
        <w:tc>
          <w:tcPr>
            <w:tcW w:type="dxa" w:w="236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~26%</w:t>
            </w:r>
          </w:p>
        </w:tc>
      </w:tr>
      <w:tr>
        <w:tc>
          <w:tcPr>
            <w:tcW w:type="dxa" w:w="9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U4</w:t>
            </w:r>
          </w:p>
        </w:tc>
        <w:tc>
          <w:tcPr>
            <w:tcW w:type="dxa" w:w="48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Contemporary Period</w:t>
            </w:r>
          </w:p>
        </w:tc>
        <w:tc>
          <w:tcPr>
            <w:tcW w:type="dxa" w:w="140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29</w:t>
            </w:r>
          </w:p>
        </w:tc>
        <w:tc>
          <w:tcPr>
            <w:tcW w:type="dxa" w:w="2360"/>
            <w:tcMar>
              <w:top w:type="dxa" w:w="80"/>
              <w:left w:type="dxa" w:w="120"/>
              <w:bottom w:type="dxa" w:w="80"/>
              <w:right w:type="dxa" w:w="120"/>
            </w:tcMar>
            <w:vAlign w:val="center"/>
          </w:tcPr>
          <w:p>
            <w:r>
              <w:rPr>
                <w:rFonts w:ascii="Georgia" w:cs="Georgia" w:eastAsia="Georgia" w:hAnsi="Georgia"/>
                <w:b w:val="false"/>
                <w:bCs w:val="false"/>
                <w:color w:val="1A1A1A"/>
                <w:sz w:val="19"/>
                <w:szCs w:val="19"/>
              </w:rPr>
              <w:t xml:space="preserve">~27%</w:t>
            </w:r>
          </w:p>
        </w:tc>
      </w:tr>
    </w:tbl>
    <w:p>
      <w:pPr>
        <w:shd w:fill="FBF0DC" w:val="clear"/>
        <w:spacing w:after="180" w:before="320"/>
      </w:pPr>
      <w:r>
        <w:rPr>
          <w:rFonts w:ascii="Arial" w:cs="Arial" w:eastAsia="Arial" w:hAnsi="Arial"/>
          <w:b/>
          <w:bCs/>
          <w:color w:val="8A5900"/>
          <w:sz w:val="24"/>
          <w:szCs w:val="24"/>
        </w:rPr>
        <w:t xml:space="preserve">What Each Tool Supports</w:t>
      </w:r>
    </w:p>
    <w:p>
      <w:pPr>
        <w:spacing w:after="90"/>
        <w:ind w:left="260"/>
      </w:pPr>
      <w:r>
        <w:rPr>
          <w:rFonts w:ascii="Arial" w:cs="Arial" w:eastAsia="Arial" w:hAnsi="Arial"/>
          <w:b/>
          <w:bCs/>
          <w:color w:val="8A5900"/>
          <w:sz w:val="21"/>
          <w:szCs w:val="21"/>
        </w:rPr>
        <w:t xml:space="preserve">•  </w:t>
      </w:r>
      <w:r>
        <w:rPr>
          <w:rFonts w:ascii="Georgia" w:cs="Georgia" w:eastAsia="Georgia" w:hAnsi="Georgia"/>
          <w:sz w:val="21"/>
          <w:szCs w:val="21"/>
        </w:rPr>
        <w:t xml:space="preserve">Master Glossary supports self-paced vocabulary acquisition; the Focus Review mode specifically targets terms a student has missed before.</w:t>
      </w:r>
    </w:p>
    <w:p>
      <w:pPr>
        <w:spacing w:after="90"/>
        <w:ind w:left="260"/>
      </w:pPr>
      <w:r>
        <w:rPr>
          <w:rFonts w:ascii="Arial" w:cs="Arial" w:eastAsia="Arial" w:hAnsi="Arial"/>
          <w:b/>
          <w:bCs/>
          <w:color w:val="8A5900"/>
          <w:sz w:val="21"/>
          <w:szCs w:val="21"/>
        </w:rPr>
        <w:t xml:space="preserve">•  </w:t>
      </w:r>
      <w:r>
        <w:rPr>
          <w:rFonts w:ascii="Georgia" w:cs="Georgia" w:eastAsia="Georgia" w:hAnsi="Georgia"/>
          <w:sz w:val="21"/>
          <w:szCs w:val="21"/>
        </w:rPr>
        <w:t xml:space="preserve">Drill Trainer's Practice mode weights toward previously-missed questions via spaced repetition. Many questions test cause-and-effect relationships between events, not just date recall.</w:t>
      </w:r>
    </w:p>
    <w:p>
      <w:pPr>
        <w:spacing w:after="90"/>
        <w:ind w:left="260"/>
      </w:pPr>
      <w:r>
        <w:rPr>
          <w:rFonts w:ascii="Arial" w:cs="Arial" w:eastAsia="Arial" w:hAnsi="Arial"/>
          <w:b/>
          <w:bCs/>
          <w:color w:val="8A5900"/>
          <w:sz w:val="21"/>
          <w:szCs w:val="21"/>
        </w:rPr>
        <w:t xml:space="preserve">•  </w:t>
      </w:r>
      <w:r>
        <w:rPr>
          <w:rFonts w:ascii="Georgia" w:cs="Georgia" w:eastAsia="Georgia" w:hAnsi="Georgia"/>
          <w:sz w:val="21"/>
          <w:szCs w:val="21"/>
        </w:rPr>
        <w:t xml:space="preserve">Common Confusions works best as a quick review pass immediately before an assessment — many pairs (chronology reversals, similar-sounding institutions) are exactly the kind of mix-up that costs points under time pressure.</w:t>
      </w:r>
    </w:p>
    <w:p>
      <w:pPr>
        <w:spacing w:after="90"/>
        <w:ind w:left="260"/>
      </w:pPr>
      <w:r>
        <w:rPr>
          <w:rFonts w:ascii="Arial" w:cs="Arial" w:eastAsia="Arial" w:hAnsi="Arial"/>
          <w:b/>
          <w:bCs/>
          <w:color w:val="8A5900"/>
          <w:sz w:val="21"/>
          <w:szCs w:val="21"/>
        </w:rPr>
        <w:t xml:space="preserve">•  </w:t>
      </w:r>
      <w:r>
        <w:rPr>
          <w:rFonts w:ascii="Georgia" w:cs="Georgia" w:eastAsia="Georgia" w:hAnsi="Georgia"/>
          <w:sz w:val="21"/>
          <w:szCs w:val="21"/>
        </w:rPr>
        <w:t xml:space="preserve">Mistakes Autopsy's Find My Mistake mode surfaces which specific conceptual confusions a student still holds — useful for identifying whether an error is a factual gap or a reasoning pattern.</w:t>
      </w:r>
    </w:p>
    <w:p>
      <w:pPr>
        <w:spacing w:after="90"/>
        <w:ind w:left="260"/>
      </w:pPr>
      <w:r>
        <w:rPr>
          <w:rFonts w:ascii="Arial" w:cs="Arial" w:eastAsia="Arial" w:hAnsi="Arial"/>
          <w:b/>
          <w:bCs/>
          <w:color w:val="8A5900"/>
          <w:sz w:val="21"/>
          <w:szCs w:val="21"/>
        </w:rPr>
        <w:t xml:space="preserve">•  </w:t>
      </w:r>
      <w:r>
        <w:rPr>
          <w:rFonts w:ascii="Georgia" w:cs="Georgia" w:eastAsia="Georgia" w:hAnsi="Georgia"/>
          <w:sz w:val="21"/>
          <w:szCs w:val="21"/>
        </w:rPr>
        <w:t xml:space="preserve">Self-Grader is the only tool exercising short-answer and argumentative writing — the format an actual free-response or DBQ-style assessment is likely to require.</w:t>
      </w:r>
    </w:p>
    <w:p>
      <w:pPr>
        <w:shd w:fill="FBF0DC" w:val="clear"/>
        <w:spacing w:after="180" w:before="320"/>
      </w:pPr>
      <w:r>
        <w:rPr>
          <w:rFonts w:ascii="Arial" w:cs="Arial" w:eastAsia="Arial" w:hAnsi="Arial"/>
          <w:b/>
          <w:bCs/>
          <w:color w:val="8A5900"/>
          <w:sz w:val="24"/>
          <w:szCs w:val="24"/>
        </w:rPr>
        <w:t xml:space="preserve">Administrator Look-Fors</w:t>
      </w:r>
    </w:p>
    <w:p>
      <w:pPr>
        <w:spacing w:after="120"/>
      </w:pPr>
      <w:r>
        <w:rPr>
          <w:rFonts w:ascii="Georgia" w:cs="Georgia" w:eastAsia="Georgia" w:hAnsi="Georgia"/>
          <w:i w:val="false"/>
          <w:iCs w:val="false"/>
          <w:sz w:val="21"/>
          <w:szCs w:val="21"/>
        </w:rPr>
        <w:t xml:space="preserve">Observable indicators that students are using the resource set as designed, not just clicking through it:</w:t>
      </w:r>
    </w:p>
    <w:p>
      <w:pPr>
        <w:spacing w:after="90"/>
        <w:ind w:left="260"/>
      </w:pPr>
      <w:r>
        <w:rPr>
          <w:rFonts w:ascii="Arial" w:cs="Arial" w:eastAsia="Arial" w:hAnsi="Arial"/>
          <w:b/>
          <w:bCs/>
          <w:color w:val="8A5900"/>
          <w:sz w:val="21"/>
          <w:szCs w:val="21"/>
        </w:rPr>
        <w:t xml:space="preserve">•  </w:t>
      </w:r>
      <w:r>
        <w:rPr>
          <w:rFonts w:ascii="Georgia" w:cs="Georgia" w:eastAsia="Georgia" w:hAnsi="Georgia"/>
          <w:sz w:val="21"/>
          <w:szCs w:val="21"/>
        </w:rPr>
        <w:t xml:space="preserve">Students moving between resources via the Study Hub rather than only ever opening one tool.</w:t>
      </w:r>
    </w:p>
    <w:p>
      <w:pPr>
        <w:spacing w:after="90"/>
        <w:ind w:left="260"/>
      </w:pPr>
      <w:r>
        <w:rPr>
          <w:rFonts w:ascii="Arial" w:cs="Arial" w:eastAsia="Arial" w:hAnsi="Arial"/>
          <w:b/>
          <w:bCs/>
          <w:color w:val="8A5900"/>
          <w:sz w:val="21"/>
          <w:szCs w:val="21"/>
        </w:rPr>
        <w:t xml:space="preserve">•  </w:t>
      </w:r>
      <w:r>
        <w:rPr>
          <w:rFonts w:ascii="Georgia" w:cs="Georgia" w:eastAsia="Georgia" w:hAnsi="Georgia"/>
          <w:sz w:val="21"/>
          <w:szCs w:val="21"/>
        </w:rPr>
        <w:t xml:space="preserve">Focus Review or Find My Mistake sessions targeting a specific unit or period rather than uniform review across all four.</w:t>
      </w:r>
    </w:p>
    <w:p>
      <w:pPr>
        <w:spacing w:after="90"/>
        <w:ind w:left="260"/>
      </w:pPr>
      <w:r>
        <w:rPr>
          <w:rFonts w:ascii="Arial" w:cs="Arial" w:eastAsia="Arial" w:hAnsi="Arial"/>
          <w:b/>
          <w:bCs/>
          <w:color w:val="8A5900"/>
          <w:sz w:val="21"/>
          <w:szCs w:val="21"/>
        </w:rPr>
        <w:t xml:space="preserve">•  </w:t>
      </w:r>
      <w:r>
        <w:rPr>
          <w:rFonts w:ascii="Georgia" w:cs="Georgia" w:eastAsia="Georgia" w:hAnsi="Georgia"/>
          <w:sz w:val="21"/>
          <w:szCs w:val="21"/>
        </w:rPr>
        <w:t xml:space="preserve">Self-Grader written responses being checked against the rubric criteria before a student marks a prompt mastered — evidence of genuine self-assessment of argument quality, not just length.</w:t>
      </w:r>
    </w:p>
    <w:p>
      <w:pPr>
        <w:spacing w:after="90"/>
        <w:ind w:left="260"/>
      </w:pPr>
      <w:r>
        <w:rPr>
          <w:rFonts w:ascii="Arial" w:cs="Arial" w:eastAsia="Arial" w:hAnsi="Arial"/>
          <w:b/>
          <w:bCs/>
          <w:color w:val="8A5900"/>
          <w:sz w:val="21"/>
          <w:szCs w:val="21"/>
        </w:rPr>
        <w:t xml:space="preserve">•  </w:t>
      </w:r>
      <w:r>
        <w:rPr>
          <w:rFonts w:ascii="Georgia" w:cs="Georgia" w:eastAsia="Georgia" w:hAnsi="Georgia"/>
          <w:sz w:val="21"/>
          <w:szCs w:val="21"/>
        </w:rPr>
        <w:t xml:space="preserve">Common Confusions consulted in the days before an assessment, particularly for chronology-sensitive pairs.</w:t>
      </w:r>
    </w:p>
    <w:p>
      <w:pPr>
        <w:shd w:fill="FBF0DC" w:val="clear"/>
        <w:spacing w:after="180" w:before="320"/>
      </w:pPr>
      <w:r>
        <w:rPr>
          <w:rFonts w:ascii="Arial" w:cs="Arial" w:eastAsia="Arial" w:hAnsi="Arial"/>
          <w:b/>
          <w:bCs/>
          <w:color w:val="8A5900"/>
          <w:sz w:val="24"/>
          <w:szCs w:val="24"/>
        </w:rPr>
        <w:t xml:space="preserve">Data &amp; Access Notes</w:t>
      </w:r>
    </w:p>
    <w:p>
      <w:pPr>
        <w:spacing w:after="140"/>
      </w:pPr>
      <w:r>
        <w:rPr>
          <w:rFonts w:ascii="Georgia" w:cs="Georgia" w:eastAsia="Georgia" w:hAnsi="Georgia"/>
          <w:i w:val="false"/>
          <w:iCs w:val="false"/>
          <w:sz w:val="21"/>
          <w:szCs w:val="21"/>
        </w:rPr>
        <w:t xml:space="preserve">All tools run entirely client-side as standalone HTML — no account, login, or internet connection required after the page loads. Student progress (starred terms, quiz scores, mastery tracking) is stored in the browser's local storage on that device only; no data is transmitted to any server. There is currently no teacher-facing dashboard aggregating usage across students — each student's progress is visible only on their own device.</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5"/>
        <w:szCs w:val="15"/>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5"/>
        <w:szCs w:val="15"/>
      </w:rPr>
      <w:t xml:space="preserve">Pre-AP World History &amp; Geography · Standards &amp; Administrator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2026-08-17T11:25:25.931Z</dcterms:created>
  <dcterms:modified xsi:type="dcterms:W3CDTF">2026-08-17T11:25:25.932Z</dcterms:modified>
</cp:coreProperties>
</file>

<file path=docProps/custom.xml><?xml version="1.0" encoding="utf-8"?>
<Properties xmlns="http://schemas.openxmlformats.org/officeDocument/2006/custom-properties" xmlns:vt="http://schemas.openxmlformats.org/officeDocument/2006/docPropsVTypes"/>
</file>