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Brand Style Guide</w:t>
      </w:r>
    </w:p>
    <w:p>
      <w:r>
        <w:br/>
        <w:t>Brand Direction: Balanced – Professional and Technology-Forward</w:t>
        <w:br/>
        <w:br/>
        <w:t>Tone:</w:t>
        <w:br/>
        <w:t>• Confident, clear, and solutions-focused</w:t>
        <w:br/>
        <w:t>• Professional without marketing hype</w:t>
        <w:br/>
        <w:br/>
        <w:t>Color Palette:</w:t>
        <w:br/>
        <w:t>• Primary: Deep Navy Blue</w:t>
        <w:br/>
        <w:t>• Secondary: Slate Gray</w:t>
        <w:br/>
        <w:t>• Accent: Steel Blue or Teal</w:t>
        <w:br/>
        <w:br/>
        <w:t>Typography:</w:t>
        <w:br/>
        <w:t>• Headings: Inter or IBM Plex Sans</w:t>
        <w:br/>
        <w:t>• Body: Source Sans Pro or Open Sans</w:t>
        <w:br/>
        <w:br/>
        <w:t>Imagery:</w:t>
        <w:br/>
        <w:t>• Facilities, infrastructure, and real-world technology</w:t>
        <w:br/>
        <w:t>• Diagrams and system visuals over stock imagery</w:t>
        <w:br/>
        <w:br/>
        <w:t>This style reinforces trust, competence, and technical leadership.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