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22"/>
          <w:szCs w:val="22"/>
        </w:rPr>
        <w:t xml:space="preserve">JADI Dashboard</w:t>
      </w:r>
    </w:p>
    <w:p>
      <w:pPr>
        <w:spacing w:after="60"/>
      </w:pPr>
      <w:r>
        <w:rPr>
          <w:b/>
          <w:bCs/>
          <w:sz w:val="36"/>
          <w:szCs w:val="36"/>
        </w:rPr>
        <w:t xml:space="preserve">Deployment Steps: Report Catalog and Student Reclaim</w:t>
      </w:r>
    </w:p>
    <w:p>
      <w:pPr>
        <w:pBdr>
          <w:bottom w:val="single" w:color="999999" w:sz="6"/>
        </w:pBdr>
        <w:spacing w:after="360"/>
      </w:pPr>
      <w:r>
        <w:rPr>
          <w:color w:val="666666"/>
          <w:sz w:val="20"/>
          <w:szCs w:val="20"/>
        </w:rPr>
        <w:t xml:space="preserve">Prepared for J. Wilson  ·  29 September 2026  ·  Phase 7a and Phase 5g</w:t>
      </w:r>
    </w:p>
    <w:p>
      <w:pPr>
        <w:spacing w:after="120" w:before="0"/>
      </w:pPr>
      <w:r>
        <w:rPr>
          <w:sz w:val="22"/>
          <w:szCs w:val="22"/>
        </w:rPr>
        <w:t xml:space="preserve">This document lists everything that must happen on your workstation and on the production SQL Server before the Phase 7a report catalog and the Phase 5g student reclaim feature can be trusted. It also specifies the one new stored procedure that must be installed, and the objects the production server is assumed to already have.</w:t>
      </w:r>
    </w:p>
    <w:p>
      <w:pPr>
        <w:pBdr>
          <w:top w:val="single" w:color="D9A441" w:sz="2"/>
          <w:bottom w:val="single" w:color="D9A441" w:sz="2"/>
          <w:left w:val="single" w:color="D9A441" w:sz="12"/>
          <w:right w:val="single" w:color="D9A441" w:sz="2"/>
        </w:pBdr>
        <w:shd w:fill="FFF4E5" w:val="clear"/>
        <w:spacing w:after="160" w:before="120"/>
        <w:ind w:left="215" w:right="215"/>
      </w:pPr>
      <w:r>
        <w:rPr>
          <w:b/>
          <w:bCs/>
          <w:sz w:val="22"/>
          <w:szCs w:val="22"/>
        </w:rPr>
        <w:t xml:space="preserve">Read first.  </w:t>
      </w:r>
      <w:r>
        <w:rPr>
          <w:sz w:val="22"/>
          <w:szCs w:val="22"/>
        </w:rPr>
        <w:t xml:space="preserve">None of the application code delivered in this round has ever executed. It is typechecked and linted, but not run. Step 2 is therefore the most important step in this document, not a formality.</w:t>
      </w:r>
    </w:p>
    <w:p>
      <w:pPr>
        <w:pStyle w:val="Heading1"/>
        <w:spacing w:after="160" w:before="360"/>
      </w:pPr>
      <w:r>
        <w:t xml:space="preserve">Summary of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900"/>
        <w:gridCol w:w="2560"/>
      </w:tblGrid>
      <w:tr>
        <w:trPr>
          <w:tblHeader/>
        </w:trPr>
        <w:tc>
          <w:tcPr>
            <w:tcW w:type="dxa" w:w="700"/>
            <w:shd w:fill="E8E8E8" w:val="clear"/>
            <w:tcMar>
              <w:top w:type="dxa" w:w="60"/>
              <w:left w:type="dxa" w:w="100"/>
              <w:bottom w:type="dxa" w:w="60"/>
              <w:right w:type="dxa" w:w="100"/>
            </w:tcMar>
          </w:tcPr>
          <w:p>
            <w:pPr>
              <w:spacing w:after="0"/>
            </w:pPr>
            <w:r>
              <w:rPr>
                <w:b/>
                <w:bCs/>
                <w:sz w:val="20"/>
                <w:szCs w:val="20"/>
              </w:rPr>
              <w:t xml:space="preserve">#</w:t>
            </w:r>
          </w:p>
        </w:tc>
        <w:tc>
          <w:tcPr>
            <w:tcW w:type="dxa" w:w="4200"/>
            <w:shd w:fill="E8E8E8" w:val="clear"/>
            <w:tcMar>
              <w:top w:type="dxa" w:w="60"/>
              <w:left w:type="dxa" w:w="100"/>
              <w:bottom w:type="dxa" w:w="60"/>
              <w:right w:type="dxa" w:w="100"/>
            </w:tcMar>
          </w:tcPr>
          <w:p>
            <w:pPr>
              <w:spacing w:after="0"/>
            </w:pPr>
            <w:r>
              <w:rPr>
                <w:b/>
                <w:bCs/>
                <w:sz w:val="20"/>
                <w:szCs w:val="20"/>
              </w:rPr>
              <w:t xml:space="preserve">Step</w:t>
            </w:r>
          </w:p>
        </w:tc>
        <w:tc>
          <w:tcPr>
            <w:tcW w:type="dxa" w:w="1900"/>
            <w:shd w:fill="E8E8E8" w:val="clear"/>
            <w:tcMar>
              <w:top w:type="dxa" w:w="60"/>
              <w:left w:type="dxa" w:w="100"/>
              <w:bottom w:type="dxa" w:w="60"/>
              <w:right w:type="dxa" w:w="100"/>
            </w:tcMar>
          </w:tcPr>
          <w:p>
            <w:pPr>
              <w:spacing w:after="0"/>
            </w:pPr>
            <w:r>
              <w:rPr>
                <w:b/>
                <w:bCs/>
                <w:sz w:val="20"/>
                <w:szCs w:val="20"/>
              </w:rPr>
              <w:t xml:space="preserve">Who</w:t>
            </w:r>
          </w:p>
        </w:tc>
        <w:tc>
          <w:tcPr>
            <w:tcW w:type="dxa" w:w="2560"/>
            <w:shd w:fill="E8E8E8" w:val="clear"/>
            <w:tcMar>
              <w:top w:type="dxa" w:w="60"/>
              <w:left w:type="dxa" w:w="100"/>
              <w:bottom w:type="dxa" w:w="60"/>
              <w:right w:type="dxa" w:w="100"/>
            </w:tcMar>
          </w:tcPr>
          <w:p>
            <w:pPr>
              <w:spacing w:after="0"/>
            </w:pPr>
            <w:r>
              <w:rPr>
                <w:b/>
                <w:bCs/>
                <w:sz w:val="20"/>
                <w:szCs w:val="20"/>
              </w:rPr>
              <w:t xml:space="preserve">Blocks what</w:t>
            </w:r>
          </w:p>
        </w:tc>
      </w:tr>
      <w:tr>
        <w:trPr>
          <w:tblHeader w:val="false"/>
        </w:trPr>
        <w:tc>
          <w:tcPr>
            <w:tcW w:type="dxa" w:w="700"/>
            <w:tcMar>
              <w:top w:type="dxa" w:w="60"/>
              <w:left w:type="dxa" w:w="100"/>
              <w:bottom w:type="dxa" w:w="60"/>
              <w:right w:type="dxa" w:w="100"/>
            </w:tcMar>
          </w:tcPr>
          <w:p>
            <w:pPr>
              <w:spacing w:after="0"/>
            </w:pPr>
            <w:r>
              <w:rPr>
                <w:b w:val="false"/>
                <w:bCs w:val="false"/>
                <w:sz w:val="20"/>
                <w:szCs w:val="20"/>
              </w:rPr>
              <w:t xml:space="preserve">1</w:t>
            </w:r>
          </w:p>
        </w:tc>
        <w:tc>
          <w:tcPr>
            <w:tcW w:type="dxa" w:w="4200"/>
            <w:tcMar>
              <w:top w:type="dxa" w:w="60"/>
              <w:left w:type="dxa" w:w="100"/>
              <w:bottom w:type="dxa" w:w="60"/>
              <w:right w:type="dxa" w:w="100"/>
            </w:tcMar>
          </w:tcPr>
          <w:p>
            <w:pPr>
              <w:spacing w:after="0"/>
            </w:pPr>
            <w:r>
              <w:rPr>
                <w:b w:val="false"/>
                <w:bCs w:val="false"/>
                <w:sz w:val="20"/>
                <w:szCs w:val="20"/>
              </w:rPr>
              <w:t xml:space="preserve">npm install — reconcile the lockfile</w:t>
            </w:r>
          </w:p>
        </w:tc>
        <w:tc>
          <w:tcPr>
            <w:tcW w:type="dxa" w:w="1900"/>
            <w:tcMar>
              <w:top w:type="dxa" w:w="60"/>
              <w:left w:type="dxa" w:w="100"/>
              <w:bottom w:type="dxa" w:w="60"/>
              <w:right w:type="dxa" w:w="100"/>
            </w:tcMar>
          </w:tcPr>
          <w:p>
            <w:pPr>
              <w:spacing w:after="0"/>
            </w:pPr>
            <w:r>
              <w:rPr>
                <w:b w:val="false"/>
                <w:bCs w:val="false"/>
                <w:sz w:val="20"/>
                <w:szCs w:val="20"/>
              </w:rPr>
              <w:t xml:space="preserve">You</w:t>
            </w:r>
          </w:p>
        </w:tc>
        <w:tc>
          <w:tcPr>
            <w:tcW w:type="dxa" w:w="2560"/>
            <w:tcMar>
              <w:top w:type="dxa" w:w="60"/>
              <w:left w:type="dxa" w:w="100"/>
              <w:bottom w:type="dxa" w:w="60"/>
              <w:right w:type="dxa" w:w="100"/>
            </w:tcMar>
          </w:tcPr>
          <w:p>
            <w:pPr>
              <w:spacing w:after="0"/>
            </w:pPr>
            <w:r>
              <w:rPr>
                <w:b w:val="false"/>
                <w:bCs w:val="false"/>
                <w:sz w:val="20"/>
                <w:szCs w:val="20"/>
              </w:rPr>
              <w:t xml:space="preserve">Clean installs, CI</w:t>
            </w:r>
          </w:p>
        </w:tc>
      </w:tr>
      <w:tr>
        <w:trPr>
          <w:tblHeader w:val="false"/>
        </w:trPr>
        <w:tc>
          <w:tcPr>
            <w:tcW w:type="dxa" w:w="700"/>
            <w:tcMar>
              <w:top w:type="dxa" w:w="60"/>
              <w:left w:type="dxa" w:w="100"/>
              <w:bottom w:type="dxa" w:w="60"/>
              <w:right w:type="dxa" w:w="100"/>
            </w:tcMar>
          </w:tcPr>
          <w:p>
            <w:pPr>
              <w:spacing w:after="0"/>
            </w:pPr>
            <w:r>
              <w:rPr>
                <w:b w:val="false"/>
                <w:bCs w:val="false"/>
                <w:sz w:val="20"/>
                <w:szCs w:val="20"/>
              </w:rPr>
              <w:t xml:space="preserve">2</w:t>
            </w:r>
          </w:p>
        </w:tc>
        <w:tc>
          <w:tcPr>
            <w:tcW w:type="dxa" w:w="4200"/>
            <w:tcMar>
              <w:top w:type="dxa" w:w="60"/>
              <w:left w:type="dxa" w:w="100"/>
              <w:bottom w:type="dxa" w:w="60"/>
              <w:right w:type="dxa" w:w="100"/>
            </w:tcMar>
          </w:tcPr>
          <w:p>
            <w:pPr>
              <w:spacing w:after="0"/>
            </w:pPr>
            <w:r>
              <w:rPr>
                <w:b w:val="false"/>
                <w:bCs w:val="false"/>
                <w:sz w:val="20"/>
                <w:szCs w:val="20"/>
              </w:rPr>
              <w:t xml:space="preserve">npm test — first execution of new code</w:t>
            </w:r>
          </w:p>
        </w:tc>
        <w:tc>
          <w:tcPr>
            <w:tcW w:type="dxa" w:w="1900"/>
            <w:tcMar>
              <w:top w:type="dxa" w:w="60"/>
              <w:left w:type="dxa" w:w="100"/>
              <w:bottom w:type="dxa" w:w="60"/>
              <w:right w:type="dxa" w:w="100"/>
            </w:tcMar>
          </w:tcPr>
          <w:p>
            <w:pPr>
              <w:spacing w:after="0"/>
            </w:pPr>
            <w:r>
              <w:rPr>
                <w:b w:val="false"/>
                <w:bCs w:val="false"/>
                <w:sz w:val="20"/>
                <w:szCs w:val="20"/>
              </w:rPr>
              <w:t xml:space="preserve">You</w:t>
            </w:r>
          </w:p>
        </w:tc>
        <w:tc>
          <w:tcPr>
            <w:tcW w:type="dxa" w:w="2560"/>
            <w:tcMar>
              <w:top w:type="dxa" w:w="60"/>
              <w:left w:type="dxa" w:w="100"/>
              <w:bottom w:type="dxa" w:w="60"/>
              <w:right w:type="dxa" w:w="100"/>
            </w:tcMar>
          </w:tcPr>
          <w:p>
            <w:pPr>
              <w:spacing w:after="0"/>
            </w:pPr>
            <w:r>
              <w:rPr>
                <w:b w:val="false"/>
                <w:bCs w:val="false"/>
                <w:sz w:val="20"/>
                <w:szCs w:val="20"/>
              </w:rPr>
              <w:t xml:space="preserve">Everything</w:t>
            </w:r>
          </w:p>
        </w:tc>
      </w:tr>
      <w:tr>
        <w:trPr>
          <w:tblHeader w:val="false"/>
        </w:trPr>
        <w:tc>
          <w:tcPr>
            <w:tcW w:type="dxa" w:w="700"/>
            <w:tcMar>
              <w:top w:type="dxa" w:w="60"/>
              <w:left w:type="dxa" w:w="100"/>
              <w:bottom w:type="dxa" w:w="60"/>
              <w:right w:type="dxa" w:w="100"/>
            </w:tcMar>
          </w:tcPr>
          <w:p>
            <w:pPr>
              <w:spacing w:after="0"/>
            </w:pPr>
            <w:r>
              <w:rPr>
                <w:b w:val="false"/>
                <w:bCs w:val="false"/>
                <w:sz w:val="20"/>
                <w:szCs w:val="20"/>
              </w:rPr>
              <w:t xml:space="preserve">3</w:t>
            </w:r>
          </w:p>
        </w:tc>
        <w:tc>
          <w:tcPr>
            <w:tcW w:type="dxa" w:w="4200"/>
            <w:tcMar>
              <w:top w:type="dxa" w:w="60"/>
              <w:left w:type="dxa" w:w="100"/>
              <w:bottom w:type="dxa" w:w="60"/>
              <w:right w:type="dxa" w:w="100"/>
            </w:tcMar>
          </w:tcPr>
          <w:p>
            <w:pPr>
              <w:spacing w:after="0"/>
            </w:pPr>
            <w:r>
              <w:rPr>
                <w:b w:val="false"/>
                <w:bCs w:val="false"/>
                <w:sz w:val="20"/>
                <w:szCs w:val="20"/>
              </w:rPr>
              <w:t xml:space="preserve">npm run db:migrate — migration 005</w:t>
            </w:r>
          </w:p>
        </w:tc>
        <w:tc>
          <w:tcPr>
            <w:tcW w:type="dxa" w:w="1900"/>
            <w:tcMar>
              <w:top w:type="dxa" w:w="60"/>
              <w:left w:type="dxa" w:w="100"/>
              <w:bottom w:type="dxa" w:w="60"/>
              <w:right w:type="dxa" w:w="100"/>
            </w:tcMar>
          </w:tcPr>
          <w:p>
            <w:pPr>
              <w:spacing w:after="0"/>
            </w:pPr>
            <w:r>
              <w:rPr>
                <w:b w:val="false"/>
                <w:bCs w:val="false"/>
                <w:sz w:val="20"/>
                <w:szCs w:val="20"/>
              </w:rPr>
              <w:t xml:space="preserve">You</w:t>
            </w:r>
          </w:p>
        </w:tc>
        <w:tc>
          <w:tcPr>
            <w:tcW w:type="dxa" w:w="2560"/>
            <w:tcMar>
              <w:top w:type="dxa" w:w="60"/>
              <w:left w:type="dxa" w:w="100"/>
              <w:bottom w:type="dxa" w:w="60"/>
              <w:right w:type="dxa" w:w="100"/>
            </w:tcMar>
          </w:tcPr>
          <w:p>
            <w:pPr>
              <w:spacing w:after="0"/>
            </w:pPr>
            <w:r>
              <w:rPr>
                <w:b w:val="false"/>
                <w:bCs w:val="false"/>
                <w:sz w:val="20"/>
                <w:szCs w:val="20"/>
              </w:rPr>
              <w:t xml:space="preserve">Reclaim flag table</w:t>
            </w:r>
          </w:p>
        </w:tc>
      </w:tr>
      <w:tr>
        <w:trPr>
          <w:tblHeader w:val="false"/>
        </w:trPr>
        <w:tc>
          <w:tcPr>
            <w:tcW w:type="dxa" w:w="700"/>
            <w:tcMar>
              <w:top w:type="dxa" w:w="60"/>
              <w:left w:type="dxa" w:w="100"/>
              <w:bottom w:type="dxa" w:w="60"/>
              <w:right w:type="dxa" w:w="100"/>
            </w:tcMar>
          </w:tcPr>
          <w:p>
            <w:pPr>
              <w:spacing w:after="0"/>
            </w:pPr>
            <w:r>
              <w:rPr>
                <w:b w:val="false"/>
                <w:bCs w:val="false"/>
                <w:sz w:val="20"/>
                <w:szCs w:val="20"/>
              </w:rPr>
              <w:t xml:space="preserve">4</w:t>
            </w:r>
          </w:p>
        </w:tc>
        <w:tc>
          <w:tcPr>
            <w:tcW w:type="dxa" w:w="4200"/>
            <w:tcMar>
              <w:top w:type="dxa" w:w="60"/>
              <w:left w:type="dxa" w:w="100"/>
              <w:bottom w:type="dxa" w:w="60"/>
              <w:right w:type="dxa" w:w="100"/>
            </w:tcMar>
          </w:tcPr>
          <w:p>
            <w:pPr>
              <w:spacing w:after="0"/>
            </w:pPr>
            <w:r>
              <w:rPr>
                <w:b w:val="false"/>
                <w:bCs w:val="false"/>
                <w:sz w:val="20"/>
                <w:szCs w:val="20"/>
              </w:rPr>
              <w:t xml:space="preserve">Capture the five report populations</w:t>
            </w:r>
          </w:p>
        </w:tc>
        <w:tc>
          <w:tcPr>
            <w:tcW w:type="dxa" w:w="1900"/>
            <w:tcMar>
              <w:top w:type="dxa" w:w="60"/>
              <w:left w:type="dxa" w:w="100"/>
              <w:bottom w:type="dxa" w:w="60"/>
              <w:right w:type="dxa" w:w="100"/>
            </w:tcMar>
          </w:tcPr>
          <w:p>
            <w:pPr>
              <w:spacing w:after="0"/>
            </w:pPr>
            <w:r>
              <w:rPr>
                <w:b w:val="false"/>
                <w:bCs w:val="false"/>
                <w:sz w:val="20"/>
                <w:szCs w:val="20"/>
              </w:rPr>
              <w:t xml:space="preserve">You</w:t>
            </w:r>
          </w:p>
        </w:tc>
        <w:tc>
          <w:tcPr>
            <w:tcW w:type="dxa" w:w="2560"/>
            <w:tcMar>
              <w:top w:type="dxa" w:w="60"/>
              <w:left w:type="dxa" w:w="100"/>
              <w:bottom w:type="dxa" w:w="60"/>
              <w:right w:type="dxa" w:w="100"/>
            </w:tcMar>
          </w:tcPr>
          <w:p>
            <w:pPr>
              <w:spacing w:after="0"/>
            </w:pPr>
            <w:r>
              <w:rPr>
                <w:b w:val="false"/>
                <w:bCs w:val="false"/>
                <w:sz w:val="20"/>
                <w:szCs w:val="20"/>
              </w:rPr>
              <w:t xml:space="preserve">Report pages showing rows</w:t>
            </w:r>
          </w:p>
        </w:tc>
      </w:tr>
      <w:tr>
        <w:trPr>
          <w:tblHeader w:val="false"/>
        </w:trPr>
        <w:tc>
          <w:tcPr>
            <w:tcW w:type="dxa" w:w="700"/>
            <w:tcMar>
              <w:top w:type="dxa" w:w="60"/>
              <w:left w:type="dxa" w:w="100"/>
              <w:bottom w:type="dxa" w:w="60"/>
              <w:right w:type="dxa" w:w="100"/>
            </w:tcMar>
          </w:tcPr>
          <w:p>
            <w:pPr>
              <w:spacing w:after="0"/>
            </w:pPr>
            <w:r>
              <w:rPr>
                <w:b w:val="false"/>
                <w:bCs w:val="false"/>
                <w:sz w:val="20"/>
                <w:szCs w:val="20"/>
              </w:rPr>
              <w:t xml:space="preserve">5</w:t>
            </w:r>
          </w:p>
        </w:tc>
        <w:tc>
          <w:tcPr>
            <w:tcW w:type="dxa" w:w="4200"/>
            <w:tcMar>
              <w:top w:type="dxa" w:w="60"/>
              <w:left w:type="dxa" w:w="100"/>
              <w:bottom w:type="dxa" w:w="60"/>
              <w:right w:type="dxa" w:w="100"/>
            </w:tcMar>
          </w:tcPr>
          <w:p>
            <w:pPr>
              <w:spacing w:after="0"/>
            </w:pPr>
            <w:r>
              <w:rPr>
                <w:b w:val="false"/>
                <w:bCs w:val="false"/>
                <w:sz w:val="20"/>
                <w:szCs w:val="20"/>
              </w:rPr>
              <w:t xml:space="preserve">npm run test:staging — equivalence</w:t>
            </w:r>
          </w:p>
        </w:tc>
        <w:tc>
          <w:tcPr>
            <w:tcW w:type="dxa" w:w="1900"/>
            <w:tcMar>
              <w:top w:type="dxa" w:w="60"/>
              <w:left w:type="dxa" w:w="100"/>
              <w:bottom w:type="dxa" w:w="60"/>
              <w:right w:type="dxa" w:w="100"/>
            </w:tcMar>
          </w:tcPr>
          <w:p>
            <w:pPr>
              <w:spacing w:after="0"/>
            </w:pPr>
            <w:r>
              <w:rPr>
                <w:b w:val="false"/>
                <w:bCs w:val="false"/>
                <w:sz w:val="20"/>
                <w:szCs w:val="20"/>
              </w:rPr>
              <w:t xml:space="preserve">You</w:t>
            </w:r>
          </w:p>
        </w:tc>
        <w:tc>
          <w:tcPr>
            <w:tcW w:type="dxa" w:w="2560"/>
            <w:tcMar>
              <w:top w:type="dxa" w:w="60"/>
              <w:left w:type="dxa" w:w="100"/>
              <w:bottom w:type="dxa" w:w="60"/>
              <w:right w:type="dxa" w:w="100"/>
            </w:tcMar>
          </w:tcPr>
          <w:p>
            <w:pPr>
              <w:spacing w:after="0"/>
            </w:pPr>
            <w:r>
              <w:rPr>
                <w:b w:val="false"/>
                <w:bCs w:val="false"/>
                <w:sz w:val="20"/>
                <w:szCs w:val="20"/>
              </w:rPr>
              <w:t xml:space="preserve">Trusting reports R1, R3, R4, R6</w:t>
            </w:r>
          </w:p>
        </w:tc>
      </w:tr>
      <w:tr>
        <w:trPr>
          <w:tblHeader w:val="false"/>
        </w:trPr>
        <w:tc>
          <w:tcPr>
            <w:tcW w:type="dxa" w:w="700"/>
            <w:tcMar>
              <w:top w:type="dxa" w:w="60"/>
              <w:left w:type="dxa" w:w="100"/>
              <w:bottom w:type="dxa" w:w="60"/>
              <w:right w:type="dxa" w:w="100"/>
            </w:tcMar>
          </w:tcPr>
          <w:p>
            <w:pPr>
              <w:spacing w:after="0"/>
            </w:pPr>
            <w:r>
              <w:rPr>
                <w:b w:val="false"/>
                <w:bCs w:val="false"/>
                <w:sz w:val="20"/>
                <w:szCs w:val="20"/>
              </w:rPr>
              <w:t xml:space="preserve">6</w:t>
            </w:r>
          </w:p>
        </w:tc>
        <w:tc>
          <w:tcPr>
            <w:tcW w:type="dxa" w:w="4200"/>
            <w:tcMar>
              <w:top w:type="dxa" w:w="60"/>
              <w:left w:type="dxa" w:w="100"/>
              <w:bottom w:type="dxa" w:w="60"/>
              <w:right w:type="dxa" w:w="100"/>
            </w:tcMar>
          </w:tcPr>
          <w:p>
            <w:pPr>
              <w:spacing w:after="0"/>
            </w:pPr>
            <w:r>
              <w:rPr>
                <w:b w:val="false"/>
                <w:bCs w:val="false"/>
                <w:sz w:val="20"/>
                <w:szCs w:val="20"/>
              </w:rPr>
              <w:t xml:space="preserve">Install the stored procedure</w:t>
            </w:r>
          </w:p>
        </w:tc>
        <w:tc>
          <w:tcPr>
            <w:tcW w:type="dxa" w:w="1900"/>
            <w:tcMar>
              <w:top w:type="dxa" w:w="60"/>
              <w:left w:type="dxa" w:w="100"/>
              <w:bottom w:type="dxa" w:w="60"/>
              <w:right w:type="dxa" w:w="100"/>
            </w:tcMar>
          </w:tcPr>
          <w:p>
            <w:pPr>
              <w:spacing w:after="0"/>
            </w:pPr>
            <w:r>
              <w:rPr>
                <w:b w:val="false"/>
                <w:bCs w:val="false"/>
                <w:sz w:val="20"/>
                <w:szCs w:val="20"/>
              </w:rPr>
              <w:t xml:space="preserve">DBA</w:t>
            </w:r>
          </w:p>
        </w:tc>
        <w:tc>
          <w:tcPr>
            <w:tcW w:type="dxa" w:w="2560"/>
            <w:tcMar>
              <w:top w:type="dxa" w:w="60"/>
              <w:left w:type="dxa" w:w="100"/>
              <w:bottom w:type="dxa" w:w="60"/>
              <w:right w:type="dxa" w:w="100"/>
            </w:tcMar>
          </w:tcPr>
          <w:p>
            <w:pPr>
              <w:spacing w:after="0"/>
            </w:pPr>
            <w:r>
              <w:rPr>
                <w:b w:val="false"/>
                <w:bCs w:val="false"/>
                <w:sz w:val="20"/>
                <w:szCs w:val="20"/>
              </w:rPr>
              <w:t xml:space="preserve">The reclaim write</w:t>
            </w:r>
          </w:p>
        </w:tc>
      </w:tr>
      <w:tr>
        <w:trPr>
          <w:tblHeader w:val="false"/>
        </w:trPr>
        <w:tc>
          <w:tcPr>
            <w:tcW w:type="dxa" w:w="700"/>
            <w:tcMar>
              <w:top w:type="dxa" w:w="60"/>
              <w:left w:type="dxa" w:w="100"/>
              <w:bottom w:type="dxa" w:w="60"/>
              <w:right w:type="dxa" w:w="100"/>
            </w:tcMar>
          </w:tcPr>
          <w:p>
            <w:pPr>
              <w:spacing w:after="0"/>
            </w:pPr>
            <w:r>
              <w:rPr>
                <w:b w:val="false"/>
                <w:bCs w:val="false"/>
                <w:sz w:val="20"/>
                <w:szCs w:val="20"/>
              </w:rPr>
              <w:t xml:space="preserve">7</w:t>
            </w:r>
          </w:p>
        </w:tc>
        <w:tc>
          <w:tcPr>
            <w:tcW w:type="dxa" w:w="4200"/>
            <w:tcMar>
              <w:top w:type="dxa" w:w="60"/>
              <w:left w:type="dxa" w:w="100"/>
              <w:bottom w:type="dxa" w:w="60"/>
              <w:right w:type="dxa" w:w="100"/>
            </w:tcMar>
          </w:tcPr>
          <w:p>
            <w:pPr>
              <w:spacing w:after="0"/>
            </w:pPr>
            <w:r>
              <w:rPr>
                <w:b w:val="false"/>
                <w:bCs w:val="false"/>
                <w:sz w:val="20"/>
                <w:szCs w:val="20"/>
              </w:rPr>
              <w:t xml:space="preserve">Prove one reclaim on staging</w:t>
            </w:r>
          </w:p>
        </w:tc>
        <w:tc>
          <w:tcPr>
            <w:tcW w:type="dxa" w:w="1900"/>
            <w:tcMar>
              <w:top w:type="dxa" w:w="60"/>
              <w:left w:type="dxa" w:w="100"/>
              <w:bottom w:type="dxa" w:w="60"/>
              <w:right w:type="dxa" w:w="100"/>
            </w:tcMar>
          </w:tcPr>
          <w:p>
            <w:pPr>
              <w:spacing w:after="0"/>
            </w:pPr>
            <w:r>
              <w:rPr>
                <w:b w:val="false"/>
                <w:bCs w:val="false"/>
                <w:sz w:val="20"/>
                <w:szCs w:val="20"/>
              </w:rPr>
              <w:t xml:space="preserve">You</w:t>
            </w:r>
          </w:p>
        </w:tc>
        <w:tc>
          <w:tcPr>
            <w:tcW w:type="dxa" w:w="2560"/>
            <w:tcMar>
              <w:top w:type="dxa" w:w="60"/>
              <w:left w:type="dxa" w:w="100"/>
              <w:bottom w:type="dxa" w:w="60"/>
              <w:right w:type="dxa" w:w="100"/>
            </w:tcMar>
          </w:tcPr>
          <w:p>
            <w:pPr>
              <w:spacing w:after="0"/>
            </w:pPr>
            <w:r>
              <w:rPr>
                <w:b w:val="false"/>
                <w:bCs w:val="false"/>
                <w:sz w:val="20"/>
                <w:szCs w:val="20"/>
              </w:rPr>
              <w:t xml:space="preserve">Sign-off</w:t>
            </w:r>
          </w:p>
        </w:tc>
      </w:tr>
      <w:tr>
        <w:trPr>
          <w:tblHeader w:val="false"/>
        </w:trPr>
        <w:tc>
          <w:tcPr>
            <w:tcW w:type="dxa" w:w="700"/>
            <w:tcMar>
              <w:top w:type="dxa" w:w="60"/>
              <w:left w:type="dxa" w:w="100"/>
              <w:bottom w:type="dxa" w:w="60"/>
              <w:right w:type="dxa" w:w="100"/>
            </w:tcMar>
          </w:tcPr>
          <w:p>
            <w:pPr>
              <w:spacing w:after="0"/>
            </w:pPr>
            <w:r>
              <w:rPr>
                <w:b w:val="false"/>
                <w:bCs w:val="false"/>
                <w:sz w:val="20"/>
                <w:szCs w:val="20"/>
              </w:rPr>
              <w:t xml:space="preserve">8</w:t>
            </w:r>
          </w:p>
        </w:tc>
        <w:tc>
          <w:tcPr>
            <w:tcW w:type="dxa" w:w="4200"/>
            <w:tcMar>
              <w:top w:type="dxa" w:w="60"/>
              <w:left w:type="dxa" w:w="100"/>
              <w:bottom w:type="dxa" w:w="60"/>
              <w:right w:type="dxa" w:w="100"/>
            </w:tcMar>
          </w:tcPr>
          <w:p>
            <w:pPr>
              <w:spacing w:after="0"/>
            </w:pPr>
            <w:r>
              <w:rPr>
                <w:b w:val="false"/>
                <w:bCs w:val="false"/>
                <w:sz w:val="20"/>
                <w:szCs w:val="20"/>
              </w:rPr>
              <w:t xml:space="preserve">Commit in reviewable chunks</w:t>
            </w:r>
          </w:p>
        </w:tc>
        <w:tc>
          <w:tcPr>
            <w:tcW w:type="dxa" w:w="1900"/>
            <w:tcMar>
              <w:top w:type="dxa" w:w="60"/>
              <w:left w:type="dxa" w:w="100"/>
              <w:bottom w:type="dxa" w:w="60"/>
              <w:right w:type="dxa" w:w="100"/>
            </w:tcMar>
          </w:tcPr>
          <w:p>
            <w:pPr>
              <w:spacing w:after="0"/>
            </w:pPr>
            <w:r>
              <w:rPr>
                <w:b w:val="false"/>
                <w:bCs w:val="false"/>
                <w:sz w:val="20"/>
                <w:szCs w:val="20"/>
              </w:rPr>
              <w:t xml:space="preserve">You</w:t>
            </w:r>
          </w:p>
        </w:tc>
        <w:tc>
          <w:tcPr>
            <w:tcW w:type="dxa" w:w="2560"/>
            <w:tcMar>
              <w:top w:type="dxa" w:w="60"/>
              <w:left w:type="dxa" w:w="100"/>
              <w:bottom w:type="dxa" w:w="60"/>
              <w:right w:type="dxa" w:w="100"/>
            </w:tcMar>
          </w:tcPr>
          <w:p>
            <w:pPr>
              <w:spacing w:after="0"/>
            </w:pPr>
            <w:r>
              <w:rPr>
                <w:b w:val="false"/>
                <w:bCs w:val="false"/>
                <w:sz w:val="20"/>
                <w:szCs w:val="20"/>
              </w:rPr>
              <w:t xml:space="preserve">Nothing, but do it</w:t>
            </w:r>
          </w:p>
        </w:tc>
      </w:tr>
    </w:tbl>
    <w:p>
      <w:pPr>
        <w:spacing w:after="200" w:before="0"/>
      </w:pPr>
      <w:r>
        <w:rPr>
          <w:sz w:val="22"/>
          <w:szCs w:val="22"/>
        </w:rPr>
        <w:t xml:space="preserve"/>
      </w:r>
    </w:p>
    <w:p>
      <w:pPr>
        <w:pStyle w:val="Heading1"/>
        <w:spacing w:after="160" w:before="360"/>
      </w:pPr>
      <w:r>
        <w:t xml:space="preserve">Step 1 — Reconcile the lockfile</w:t>
      </w:r>
    </w:p>
    <w:p>
      <w:pPr>
        <w:spacing w:after="120" w:before="0"/>
      </w:pPr>
      <w:r>
        <w:rPr>
          <w:rFonts w:ascii="Consolas" w:cs="Consolas" w:eastAsia="Consolas" w:hAnsi="Consolas"/>
          <w:sz w:val="22"/>
          <w:szCs w:val="22"/>
        </w:rPr>
        <w:t xml:space="preserve">exceljs</w:t>
      </w:r>
      <w:r>
        <w:rPr>
          <w:sz w:val="22"/>
          <w:szCs w:val="22"/>
        </w:rPr>
        <w:t xml:space="preserve"> was added to </w:t>
      </w:r>
      <w:r>
        <w:rPr>
          <w:rFonts w:ascii="Consolas" w:cs="Consolas" w:eastAsia="Consolas" w:hAnsi="Consolas"/>
          <w:sz w:val="22"/>
          <w:szCs w:val="22"/>
        </w:rPr>
        <w:t xml:space="preserve">package.json</w:t>
      </w:r>
      <w:r>
        <w:rPr>
          <w:sz w:val="22"/>
          <w:szCs w:val="22"/>
        </w:rPr>
        <w:t xml:space="preserve"> for XLSX export (assumption A-31), but </w:t>
      </w:r>
      <w:r>
        <w:rPr>
          <w:b/>
          <w:bCs/>
          <w:sz w:val="22"/>
          <w:szCs w:val="22"/>
        </w:rPr>
        <w:t xml:space="preserve">package-lock.json was not updated</w:t>
      </w:r>
      <w:r>
        <w:rPr>
          <w:sz w:val="22"/>
          <w:szCs w:val="22"/>
        </w:rPr>
        <w:t xml:space="preserve"> — the install was run from the Linux side of the session and timed out before writing it. The package is physically present in </w:t>
      </w:r>
      <w:r>
        <w:rPr>
          <w:rFonts w:ascii="Consolas" w:cs="Consolas" w:eastAsia="Consolas" w:hAnsi="Consolas"/>
          <w:sz w:val="22"/>
          <w:szCs w:val="22"/>
        </w:rPr>
        <w:t xml:space="preserve">node_modules</w:t>
      </w:r>
      <w:r>
        <w:rPr>
          <w:sz w:val="22"/>
          <w:szCs w:val="22"/>
        </w:rPr>
        <w:t xml:space="preserve">, so the application may appear to work while the lockfile is wrong. That breaks the next clean install and any CI run.</w:t>
      </w:r>
    </w:p>
    <w:p>
      <w:pPr>
        <w:shd w:fill="F2F2F2" w:val="clear"/>
        <w:spacing w:after="0" w:before="40"/>
        <w:ind w:left="288" w:right="288"/>
      </w:pPr>
      <w:r>
        <w:rPr>
          <w:rFonts w:ascii="Consolas" w:cs="Consolas" w:eastAsia="Consolas" w:hAnsi="Consolas"/>
          <w:sz w:val="18"/>
          <w:szCs w:val="18"/>
        </w:rPr>
        <w:t xml:space="preserve">cd C:\jadiDashboard</w:t>
      </w:r>
    </w:p>
    <w:p>
      <w:pPr>
        <w:shd w:fill="F2F2F2" w:val="clear"/>
        <w:spacing w:after="160" w:before="0"/>
        <w:ind w:left="288" w:right="288"/>
      </w:pPr>
      <w:r>
        <w:rPr>
          <w:rFonts w:ascii="Consolas" w:cs="Consolas" w:eastAsia="Consolas" w:hAnsi="Consolas"/>
          <w:sz w:val="18"/>
          <w:szCs w:val="18"/>
        </w:rPr>
        <w:t xml:space="preserve">npm install</w:t>
      </w:r>
    </w:p>
    <w:p>
      <w:pPr>
        <w:spacing w:after="120" w:before="0"/>
      </w:pPr>
      <w:r>
        <w:rPr>
          <w:sz w:val="22"/>
          <w:szCs w:val="22"/>
        </w:rPr>
        <w:t xml:space="preserve">Confirm afterwards that </w:t>
      </w:r>
      <w:r>
        <w:rPr>
          <w:rFonts w:ascii="Consolas" w:cs="Consolas" w:eastAsia="Consolas" w:hAnsi="Consolas"/>
          <w:sz w:val="22"/>
          <w:szCs w:val="22"/>
        </w:rPr>
        <w:t xml:space="preserve">package-lock.json</w:t>
      </w:r>
      <w:r>
        <w:rPr>
          <w:sz w:val="22"/>
          <w:szCs w:val="22"/>
        </w:rPr>
        <w:t xml:space="preserve"> contains an entry for </w:t>
      </w:r>
      <w:r>
        <w:rPr>
          <w:rFonts w:ascii="Consolas" w:cs="Consolas" w:eastAsia="Consolas" w:hAnsi="Consolas"/>
          <w:sz w:val="22"/>
          <w:szCs w:val="22"/>
        </w:rPr>
        <w:t xml:space="preserve">"node_modules/exceljs"</w:t>
      </w:r>
      <w:r>
        <w:rPr>
          <w:sz w:val="22"/>
          <w:szCs w:val="22"/>
        </w:rPr>
        <w:t xml:space="preserve">.</w:t>
      </w:r>
    </w:p>
    <w:p>
      <w:pPr>
        <w:pStyle w:val="Heading1"/>
        <w:spacing w:after="160" w:before="360"/>
      </w:pPr>
      <w:r>
        <w:t xml:space="preserve">Step 2 — Run the tests</w:t>
      </w:r>
    </w:p>
    <w:p>
      <w:pPr>
        <w:spacing w:after="120" w:before="0"/>
      </w:pPr>
      <w:r>
        <w:rPr>
          <w:sz w:val="22"/>
          <w:szCs w:val="22"/>
        </w:rPr>
        <w:t xml:space="preserve">Approximately 1,800 lines of application code and 330 lines of test were written in this round and have never been executed. The session's Linux VM cannot run vitest against a Windows node_modules, so every line was typechecked and linted but never run.</w:t>
      </w:r>
    </w:p>
    <w:p>
      <w:pPr>
        <w:shd w:fill="F2F2F2" w:val="clear"/>
        <w:spacing w:after="0" w:before="40"/>
        <w:ind w:left="288" w:right="288"/>
      </w:pPr>
      <w:r>
        <w:rPr>
          <w:rFonts w:ascii="Consolas" w:cs="Consolas" w:eastAsia="Consolas" w:hAnsi="Consolas"/>
          <w:sz w:val="18"/>
          <w:szCs w:val="18"/>
        </w:rPr>
        <w:t xml:space="preserve">npm run typecheck</w:t>
      </w:r>
    </w:p>
    <w:p>
      <w:pPr>
        <w:shd w:fill="F2F2F2" w:val="clear"/>
        <w:spacing w:after="0" w:before="0"/>
        <w:ind w:left="288" w:right="288"/>
      </w:pPr>
      <w:r>
        <w:rPr>
          <w:rFonts w:ascii="Consolas" w:cs="Consolas" w:eastAsia="Consolas" w:hAnsi="Consolas"/>
          <w:sz w:val="18"/>
          <w:szCs w:val="18"/>
        </w:rPr>
        <w:t xml:space="preserve">npm run lint</w:t>
      </w:r>
    </w:p>
    <w:p>
      <w:pPr>
        <w:shd w:fill="F2F2F2" w:val="clear"/>
        <w:spacing w:after="160" w:before="0"/>
        <w:ind w:left="288" w:right="288"/>
      </w:pPr>
      <w:r>
        <w:rPr>
          <w:rFonts w:ascii="Consolas" w:cs="Consolas" w:eastAsia="Consolas" w:hAnsi="Consolas"/>
          <w:sz w:val="18"/>
          <w:szCs w:val="18"/>
        </w:rPr>
        <w:t xml:space="preserve">npm test</w:t>
      </w:r>
    </w:p>
    <w:p>
      <w:pPr>
        <w:pBdr>
          <w:top w:val="single" w:color="D9A441" w:sz="2"/>
          <w:bottom w:val="single" w:color="D9A441" w:sz="2"/>
          <w:left w:val="single" w:color="D9A441" w:sz="12"/>
          <w:right w:val="single" w:color="D9A441" w:sz="2"/>
        </w:pBdr>
        <w:shd w:fill="FFF4E5" w:val="clear"/>
        <w:spacing w:after="160" w:before="120"/>
        <w:ind w:left="215" w:right="215"/>
      </w:pPr>
      <w:r>
        <w:rPr>
          <w:b/>
          <w:bCs/>
          <w:sz w:val="22"/>
          <w:szCs w:val="22"/>
        </w:rPr>
        <w:t xml:space="preserve">Expect failures.  </w:t>
      </w:r>
      <w:r>
        <w:rPr>
          <w:sz w:val="22"/>
          <w:szCs w:val="22"/>
        </w:rPr>
        <w:t xml:space="preserve">The MOST_RECNT_YR_ENR defect already found — a numeric column the provider called .trim() on — is the shape of what may remain. TypeScript cannot catch that class of bug, because the raw row types are hand-written declarations rather than anything derived from the schema. The four rewritten report queries (R1, R3, R4, R6) carry the most risk, since they have never met real data.</w:t>
      </w:r>
    </w:p>
    <w:p>
      <w:pPr>
        <w:pStyle w:val="Heading1"/>
        <w:spacing w:after="160" w:before="360"/>
      </w:pPr>
      <w:r>
        <w:t xml:space="preserve">Step 3 — Apply migration 005</w:t>
      </w:r>
    </w:p>
    <w:p>
      <w:pPr>
        <w:spacing w:after="120" w:before="0"/>
      </w:pPr>
      <w:r>
        <w:rPr>
          <w:sz w:val="22"/>
          <w:szCs w:val="22"/>
        </w:rPr>
        <w:t xml:space="preserve">Adds </w:t>
      </w:r>
      <w:r>
        <w:rPr>
          <w:rFonts w:ascii="Consolas" w:cs="Consolas" w:eastAsia="Consolas" w:hAnsi="Consolas"/>
          <w:sz w:val="22"/>
          <w:szCs w:val="22"/>
        </w:rPr>
        <w:t xml:space="preserve">dash.ReclaimedStudent</w:t>
      </w:r>
      <w:r>
        <w:rPr>
          <w:sz w:val="22"/>
          <w:szCs w:val="22"/>
        </w:rPr>
        <w:t xml:space="preserve">, the table that flags a student record created from Jenzabar with gaps. Idempotent and safe to re-run.</w:t>
      </w:r>
    </w:p>
    <w:p>
      <w:pPr>
        <w:shd w:fill="F2F2F2" w:val="clear"/>
        <w:spacing w:after="0" w:before="40"/>
        <w:ind w:left="288" w:right="288"/>
      </w:pPr>
      <w:r>
        <w:rPr>
          <w:rFonts w:ascii="Consolas" w:cs="Consolas" w:eastAsia="Consolas" w:hAnsi="Consolas"/>
          <w:sz w:val="18"/>
          <w:szCs w:val="18"/>
        </w:rPr>
        <w:t xml:space="preserve">npm run db:migrate            # staging</w:t>
      </w:r>
    </w:p>
    <w:p>
      <w:pPr>
        <w:shd w:fill="F2F2F2" w:val="clear"/>
        <w:spacing w:after="160" w:before="0"/>
        <w:ind w:left="288" w:right="288"/>
      </w:pPr>
      <w:r>
        <w:rPr>
          <w:rFonts w:ascii="Consolas" w:cs="Consolas" w:eastAsia="Consolas" w:hAnsi="Consolas"/>
          <w:sz w:val="18"/>
          <w:szCs w:val="18"/>
        </w:rPr>
        <w:t xml:space="preserve">npm run db:migrate:prod       # production, when you are ready</w:t>
      </w:r>
    </w:p>
    <w:p>
      <w:pPr>
        <w:spacing w:after="120" w:before="0"/>
      </w:pPr>
      <w:r>
        <w:rPr>
          <w:sz w:val="22"/>
          <w:szCs w:val="22"/>
        </w:rPr>
        <w:t xml:space="preserve">Note: </w:t>
      </w:r>
      <w:r>
        <w:rPr>
          <w:rFonts w:ascii="Consolas" w:cs="Consolas" w:eastAsia="Consolas" w:hAnsi="Consolas"/>
          <w:sz w:val="22"/>
          <w:szCs w:val="22"/>
        </w:rPr>
        <w:t xml:space="preserve">db/production/README.md</w:t>
      </w:r>
      <w:r>
        <w:rPr>
          <w:sz w:val="22"/>
          <w:szCs w:val="22"/>
        </w:rPr>
        <w:t xml:space="preserve"> states that production's </w:t>
      </w:r>
      <w:r>
        <w:rPr>
          <w:rFonts w:ascii="Consolas" w:cs="Consolas" w:eastAsia="Consolas" w:hAnsi="Consolas"/>
          <w:sz w:val="22"/>
          <w:szCs w:val="22"/>
        </w:rPr>
        <w:t xml:space="preserve">dash</w:t>
      </w:r>
      <w:r>
        <w:rPr>
          <w:sz w:val="22"/>
          <w:szCs w:val="22"/>
        </w:rPr>
        <w:t xml:space="preserve"> schema is managed entirely with T-SQL run by a DBA, and that </w:t>
      </w:r>
      <w:r>
        <w:rPr>
          <w:rFonts w:ascii="Consolas" w:cs="Consolas" w:eastAsia="Consolas" w:hAnsi="Consolas"/>
          <w:sz w:val="22"/>
          <w:szCs w:val="22"/>
        </w:rPr>
        <w:t xml:space="preserve">npm run db:migrate</w:t>
      </w:r>
      <w:r>
        <w:rPr>
          <w:sz w:val="22"/>
          <w:szCs w:val="22"/>
        </w:rPr>
        <w:t xml:space="preserve"> is for development and staging only. Follow that convention — hand </w:t>
      </w:r>
      <w:r>
        <w:rPr>
          <w:rFonts w:ascii="Consolas" w:cs="Consolas" w:eastAsia="Consolas" w:hAnsi="Consolas"/>
          <w:sz w:val="22"/>
          <w:szCs w:val="22"/>
        </w:rPr>
        <w:t xml:space="preserve">db/migrations/005_reclaim.sql</w:t>
      </w:r>
      <w:r>
        <w:rPr>
          <w:sz w:val="22"/>
          <w:szCs w:val="22"/>
        </w:rPr>
        <w:t xml:space="preserve"> to the DBA for production rather than pointing the migrate script at it.</w:t>
      </w:r>
    </w:p>
    <w:p>
      <w:pPr>
        <w:pStyle w:val="Heading1"/>
        <w:spacing w:after="160" w:before="360"/>
      </w:pPr>
      <w:r>
        <w:t xml:space="preserve">Step 4 — Capture the report populations</w:t>
      </w:r>
    </w:p>
    <w:p>
      <w:pPr>
        <w:spacing w:after="120" w:before="0"/>
      </w:pPr>
      <w:r>
        <w:rPr>
          <w:sz w:val="22"/>
          <w:szCs w:val="22"/>
        </w:rPr>
        <w:t xml:space="preserve">Five of the six reports read a snapshot rather than querying the slow source views on page load. Until each has been captured once, its page reports “not yet captured” instead of showing rows.</w:t>
      </w:r>
    </w:p>
    <w:p>
      <w:pPr>
        <w:spacing w:after="120" w:before="0"/>
      </w:pPr>
      <w:r>
        <w:rPr>
          <w:sz w:val="22"/>
          <w:szCs w:val="22"/>
        </w:rPr>
        <w:t xml:space="preserve">Either wait for the overnight schedule, or force each one now from Administration → Refresh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E8E8E8" w:val="clear"/>
            <w:tcMar>
              <w:top w:type="dxa" w:w="60"/>
              <w:left w:type="dxa" w:w="100"/>
              <w:bottom w:type="dxa" w:w="60"/>
              <w:right w:type="dxa" w:w="100"/>
            </w:tcMar>
          </w:tcPr>
          <w:p>
            <w:pPr>
              <w:spacing w:after="0"/>
            </w:pPr>
            <w:r>
              <w:rPr>
                <w:b/>
                <w:bCs/>
                <w:sz w:val="20"/>
                <w:szCs w:val="20"/>
              </w:rPr>
              <w:t xml:space="preserve">Job key</w:t>
            </w:r>
          </w:p>
        </w:tc>
        <w:tc>
          <w:tcPr>
            <w:tcW w:type="dxa" w:w="2400"/>
            <w:shd w:fill="E8E8E8" w:val="clear"/>
            <w:tcMar>
              <w:top w:type="dxa" w:w="60"/>
              <w:left w:type="dxa" w:w="100"/>
              <w:bottom w:type="dxa" w:w="60"/>
              <w:right w:type="dxa" w:w="100"/>
            </w:tcMar>
          </w:tcPr>
          <w:p>
            <w:pPr>
              <w:spacing w:after="0"/>
            </w:pPr>
            <w:r>
              <w:rPr>
                <w:b/>
                <w:bCs/>
                <w:sz w:val="20"/>
                <w:szCs w:val="20"/>
              </w:rPr>
              <w:t xml:space="preserve">Default schedule</w:t>
            </w:r>
          </w:p>
        </w:tc>
        <w:tc>
          <w:tcPr>
            <w:tcW w:type="dxa" w:w="3560"/>
            <w:shd w:fill="E8E8E8" w:val="clear"/>
            <w:tcMar>
              <w:top w:type="dxa" w:w="60"/>
              <w:left w:type="dxa" w:w="100"/>
              <w:bottom w:type="dxa" w:w="60"/>
              <w:right w:type="dxa" w:w="100"/>
            </w:tcMar>
          </w:tcPr>
          <w:p>
            <w:pPr>
              <w:spacing w:after="0"/>
            </w:pPr>
            <w:r>
              <w:rPr>
                <w:b/>
                <w:bCs/>
                <w:sz w:val="20"/>
                <w:szCs w:val="20"/>
              </w:rPr>
              <w:t xml:space="preserve">Report</w:t>
            </w:r>
          </w:p>
        </w:tc>
      </w:tr>
      <w:tr>
        <w:trPr>
          <w:tblHeader w:val="false"/>
        </w:trPr>
        <w:tc>
          <w:tcPr>
            <w:tcW w:type="dxa" w:w="3400"/>
            <w:tcMar>
              <w:top w:type="dxa" w:w="60"/>
              <w:left w:type="dxa" w:w="100"/>
              <w:bottom w:type="dxa" w:w="60"/>
              <w:right w:type="dxa" w:w="100"/>
            </w:tcMar>
          </w:tcPr>
          <w:p>
            <w:pPr>
              <w:spacing w:after="0"/>
            </w:pPr>
            <w:r>
              <w:rPr>
                <w:b w:val="false"/>
                <w:bCs w:val="false"/>
                <w:sz w:val="20"/>
                <w:szCs w:val="20"/>
              </w:rPr>
              <w:t xml:space="preserve">report.unclassified</w:t>
            </w:r>
          </w:p>
        </w:tc>
        <w:tc>
          <w:tcPr>
            <w:tcW w:type="dxa" w:w="2400"/>
            <w:tcMar>
              <w:top w:type="dxa" w:w="60"/>
              <w:left w:type="dxa" w:w="100"/>
              <w:bottom w:type="dxa" w:w="60"/>
              <w:right w:type="dxa" w:w="100"/>
            </w:tcMar>
          </w:tcPr>
          <w:p>
            <w:pPr>
              <w:spacing w:after="0"/>
            </w:pPr>
            <w:r>
              <w:rPr>
                <w:b w:val="false"/>
                <w:bCs w:val="false"/>
                <w:sz w:val="20"/>
                <w:szCs w:val="20"/>
              </w:rPr>
              <w:t xml:space="preserve">02:15 daily</w:t>
            </w:r>
          </w:p>
        </w:tc>
        <w:tc>
          <w:tcPr>
            <w:tcW w:type="dxa" w:w="3560"/>
            <w:tcMar>
              <w:top w:type="dxa" w:w="60"/>
              <w:left w:type="dxa" w:w="100"/>
              <w:bottom w:type="dxa" w:w="60"/>
              <w:right w:type="dxa" w:w="100"/>
            </w:tcMar>
          </w:tcPr>
          <w:p>
            <w:pPr>
              <w:spacing w:after="0"/>
            </w:pPr>
            <w:r>
              <w:rPr>
                <w:b w:val="false"/>
                <w:bCs w:val="false"/>
                <w:sz w:val="20"/>
                <w:szCs w:val="20"/>
              </w:rPr>
              <w:t xml:space="preserve">R1 Unclassified Students</w:t>
            </w:r>
          </w:p>
        </w:tc>
      </w:tr>
      <w:tr>
        <w:trPr>
          <w:tblHeader w:val="false"/>
        </w:trPr>
        <w:tc>
          <w:tcPr>
            <w:tcW w:type="dxa" w:w="3400"/>
            <w:tcMar>
              <w:top w:type="dxa" w:w="60"/>
              <w:left w:type="dxa" w:w="100"/>
              <w:bottom w:type="dxa" w:w="60"/>
              <w:right w:type="dxa" w:w="100"/>
            </w:tcMar>
          </w:tcPr>
          <w:p>
            <w:pPr>
              <w:spacing w:after="0"/>
            </w:pPr>
            <w:r>
              <w:rPr>
                <w:b w:val="false"/>
                <w:bCs w:val="false"/>
                <w:sz w:val="20"/>
                <w:szCs w:val="20"/>
              </w:rPr>
              <w:t xml:space="preserve">report.freshmanAnalysis</w:t>
            </w:r>
          </w:p>
        </w:tc>
        <w:tc>
          <w:tcPr>
            <w:tcW w:type="dxa" w:w="2400"/>
            <w:tcMar>
              <w:top w:type="dxa" w:w="60"/>
              <w:left w:type="dxa" w:w="100"/>
              <w:bottom w:type="dxa" w:w="60"/>
              <w:right w:type="dxa" w:w="100"/>
            </w:tcMar>
          </w:tcPr>
          <w:p>
            <w:pPr>
              <w:spacing w:after="0"/>
            </w:pPr>
            <w:r>
              <w:rPr>
                <w:b w:val="false"/>
                <w:bCs w:val="false"/>
                <w:sz w:val="20"/>
                <w:szCs w:val="20"/>
              </w:rPr>
              <w:t xml:space="preserve">every 4 hours</w:t>
            </w:r>
          </w:p>
        </w:tc>
        <w:tc>
          <w:tcPr>
            <w:tcW w:type="dxa" w:w="3560"/>
            <w:tcMar>
              <w:top w:type="dxa" w:w="60"/>
              <w:left w:type="dxa" w:w="100"/>
              <w:bottom w:type="dxa" w:w="60"/>
              <w:right w:type="dxa" w:w="100"/>
            </w:tcMar>
          </w:tcPr>
          <w:p>
            <w:pPr>
              <w:spacing w:after="0"/>
            </w:pPr>
            <w:r>
              <w:rPr>
                <w:b w:val="false"/>
                <w:bCs w:val="false"/>
                <w:sz w:val="20"/>
                <w:szCs w:val="20"/>
              </w:rPr>
              <w:t xml:space="preserve">R2 Freshman Classification Analysis</w:t>
            </w:r>
          </w:p>
        </w:tc>
      </w:tr>
      <w:tr>
        <w:trPr>
          <w:tblHeader w:val="false"/>
        </w:trPr>
        <w:tc>
          <w:tcPr>
            <w:tcW w:type="dxa" w:w="3400"/>
            <w:tcMar>
              <w:top w:type="dxa" w:w="60"/>
              <w:left w:type="dxa" w:w="100"/>
              <w:bottom w:type="dxa" w:w="60"/>
              <w:right w:type="dxa" w:w="100"/>
            </w:tcMar>
          </w:tcPr>
          <w:p>
            <w:pPr>
              <w:spacing w:after="0"/>
            </w:pPr>
            <w:r>
              <w:rPr>
                <w:b w:val="false"/>
                <w:bCs w:val="false"/>
                <w:sz w:val="20"/>
                <w:szCs w:val="20"/>
              </w:rPr>
              <w:t xml:space="preserve">report.clearedMoreThanOnce</w:t>
            </w:r>
          </w:p>
        </w:tc>
        <w:tc>
          <w:tcPr>
            <w:tcW w:type="dxa" w:w="2400"/>
            <w:tcMar>
              <w:top w:type="dxa" w:w="60"/>
              <w:left w:type="dxa" w:w="100"/>
              <w:bottom w:type="dxa" w:w="60"/>
              <w:right w:type="dxa" w:w="100"/>
            </w:tcMar>
          </w:tcPr>
          <w:p>
            <w:pPr>
              <w:spacing w:after="0"/>
            </w:pPr>
            <w:r>
              <w:rPr>
                <w:b w:val="false"/>
                <w:bCs w:val="false"/>
                <w:sz w:val="20"/>
                <w:szCs w:val="20"/>
              </w:rPr>
              <w:t xml:space="preserve">02:35 daily</w:t>
            </w:r>
          </w:p>
        </w:tc>
        <w:tc>
          <w:tcPr>
            <w:tcW w:type="dxa" w:w="3560"/>
            <w:tcMar>
              <w:top w:type="dxa" w:w="60"/>
              <w:left w:type="dxa" w:w="100"/>
              <w:bottom w:type="dxa" w:w="60"/>
              <w:right w:type="dxa" w:w="100"/>
            </w:tcMar>
          </w:tcPr>
          <w:p>
            <w:pPr>
              <w:spacing w:after="0"/>
            </w:pPr>
            <w:r>
              <w:rPr>
                <w:b w:val="false"/>
                <w:bCs w:val="false"/>
                <w:sz w:val="20"/>
                <w:szCs w:val="20"/>
              </w:rPr>
              <w:t xml:space="preserve">R3 Cleared More Than Once</w:t>
            </w:r>
          </w:p>
        </w:tc>
      </w:tr>
      <w:tr>
        <w:trPr>
          <w:tblHeader w:val="false"/>
        </w:trPr>
        <w:tc>
          <w:tcPr>
            <w:tcW w:type="dxa" w:w="3400"/>
            <w:tcMar>
              <w:top w:type="dxa" w:w="60"/>
              <w:left w:type="dxa" w:w="100"/>
              <w:bottom w:type="dxa" w:w="60"/>
              <w:right w:type="dxa" w:w="100"/>
            </w:tcMar>
          </w:tcPr>
          <w:p>
            <w:pPr>
              <w:spacing w:after="0"/>
            </w:pPr>
            <w:r>
              <w:rPr>
                <w:b w:val="false"/>
                <w:bCs w:val="false"/>
                <w:sz w:val="20"/>
                <w:szCs w:val="20"/>
              </w:rPr>
              <w:t xml:space="preserve">report.enrolleeBalance</w:t>
            </w:r>
          </w:p>
        </w:tc>
        <w:tc>
          <w:tcPr>
            <w:tcW w:type="dxa" w:w="2400"/>
            <w:tcMar>
              <w:top w:type="dxa" w:w="60"/>
              <w:left w:type="dxa" w:w="100"/>
              <w:bottom w:type="dxa" w:w="60"/>
              <w:right w:type="dxa" w:w="100"/>
            </w:tcMar>
          </w:tcPr>
          <w:p>
            <w:pPr>
              <w:spacing w:after="0"/>
            </w:pPr>
            <w:r>
              <w:rPr>
                <w:b w:val="false"/>
                <w:bCs w:val="false"/>
                <w:sz w:val="20"/>
                <w:szCs w:val="20"/>
              </w:rPr>
              <w:t xml:space="preserve">02:45 daily</w:t>
            </w:r>
          </w:p>
        </w:tc>
        <w:tc>
          <w:tcPr>
            <w:tcW w:type="dxa" w:w="3560"/>
            <w:tcMar>
              <w:top w:type="dxa" w:w="60"/>
              <w:left w:type="dxa" w:w="100"/>
              <w:bottom w:type="dxa" w:w="60"/>
              <w:right w:type="dxa" w:w="100"/>
            </w:tcMar>
          </w:tcPr>
          <w:p>
            <w:pPr>
              <w:spacing w:after="0"/>
            </w:pPr>
            <w:r>
              <w:rPr>
                <w:b w:val="false"/>
                <w:bCs w:val="false"/>
                <w:sz w:val="20"/>
                <w:szCs w:val="20"/>
              </w:rPr>
              <w:t xml:space="preserve">R4 Enrollee Account Balance</w:t>
            </w:r>
          </w:p>
        </w:tc>
      </w:tr>
      <w:tr>
        <w:trPr>
          <w:tblHeader w:val="false"/>
        </w:trPr>
        <w:tc>
          <w:tcPr>
            <w:tcW w:type="dxa" w:w="3400"/>
            <w:tcMar>
              <w:top w:type="dxa" w:w="60"/>
              <w:left w:type="dxa" w:w="100"/>
              <w:bottom w:type="dxa" w:w="60"/>
              <w:right w:type="dxa" w:w="100"/>
            </w:tcMar>
          </w:tcPr>
          <w:p>
            <w:pPr>
              <w:spacing w:after="0"/>
            </w:pPr>
            <w:r>
              <w:rPr>
                <w:b w:val="false"/>
                <w:bCs w:val="false"/>
                <w:sz w:val="20"/>
                <w:szCs w:val="20"/>
              </w:rPr>
              <w:t xml:space="preserve">report.currentlyCleared</w:t>
            </w:r>
          </w:p>
        </w:tc>
        <w:tc>
          <w:tcPr>
            <w:tcW w:type="dxa" w:w="2400"/>
            <w:tcMar>
              <w:top w:type="dxa" w:w="60"/>
              <w:left w:type="dxa" w:w="100"/>
              <w:bottom w:type="dxa" w:w="60"/>
              <w:right w:type="dxa" w:w="100"/>
            </w:tcMar>
          </w:tcPr>
          <w:p>
            <w:pPr>
              <w:spacing w:after="0"/>
            </w:pPr>
            <w:r>
              <w:rPr>
                <w:b w:val="false"/>
                <w:bCs w:val="false"/>
                <w:sz w:val="20"/>
                <w:szCs w:val="20"/>
              </w:rPr>
              <w:t xml:space="preserve">02:55 daily</w:t>
            </w:r>
          </w:p>
        </w:tc>
        <w:tc>
          <w:tcPr>
            <w:tcW w:type="dxa" w:w="3560"/>
            <w:tcMar>
              <w:top w:type="dxa" w:w="60"/>
              <w:left w:type="dxa" w:w="100"/>
              <w:bottom w:type="dxa" w:w="60"/>
              <w:right w:type="dxa" w:w="100"/>
            </w:tcMar>
          </w:tcPr>
          <w:p>
            <w:pPr>
              <w:spacing w:after="0"/>
            </w:pPr>
            <w:r>
              <w:rPr>
                <w:b w:val="false"/>
                <w:bCs w:val="false"/>
                <w:sz w:val="20"/>
                <w:szCs w:val="20"/>
              </w:rPr>
              <w:t xml:space="preserve">R6 Currently Cleared</w:t>
            </w:r>
          </w:p>
        </w:tc>
      </w:tr>
    </w:tbl>
    <w:p>
      <w:pPr>
        <w:spacing w:after="120" w:before="0"/>
      </w:pPr>
      <w:r>
        <w:rPr>
          <w:sz w:val="22"/>
          <w:szCs w:val="22"/>
        </w:rPr>
        <w:t xml:space="preserve"/>
      </w:r>
    </w:p>
    <w:p>
      <w:pPr>
        <w:spacing w:after="120" w:before="0"/>
      </w:pPr>
      <w:r>
        <w:rPr>
          <w:sz w:val="22"/>
          <w:szCs w:val="22"/>
        </w:rPr>
        <w:t xml:space="preserve">R5 (DNC/DNR Collection) has no job — it reads the live DNR/DNC population, so that the collection letters and the dashboard card cannot disagree about who owes money.</w:t>
      </w:r>
    </w:p>
    <w:p>
      <w:pPr>
        <w:pBdr>
          <w:top w:val="single" w:color="D9A441" w:sz="2"/>
          <w:bottom w:val="single" w:color="D9A441" w:sz="2"/>
          <w:left w:val="single" w:color="D9A441" w:sz="12"/>
          <w:right w:val="single" w:color="D9A441" w:sz="2"/>
        </w:pBdr>
        <w:shd w:fill="FFF4E5" w:val="clear"/>
        <w:spacing w:after="160" w:before="120"/>
        <w:ind w:left="215" w:right="215"/>
      </w:pPr>
      <w:r>
        <w:rPr>
          <w:b/>
          <w:bCs/>
          <w:sz w:val="22"/>
          <w:szCs w:val="22"/>
        </w:rPr>
        <w:t xml:space="preserve">Confirm the window with your DBA.  </w:t>
      </w:r>
      <w:r>
        <w:rPr>
          <w:sz w:val="22"/>
          <w:szCs w:val="22"/>
        </w:rPr>
        <w:t xml:space="preserve">Five new queries run against ousadb between 02:00 and 03:00, two of them lasting a minute or more. Check this does not collide with the 21:00 SQL Agent job or a backup window.</w:t>
      </w:r>
    </w:p>
    <w:p>
      <w:pPr>
        <w:pStyle w:val="Heading1"/>
        <w:spacing w:after="160" w:before="360"/>
      </w:pPr>
      <w:r>
        <w:t xml:space="preserve">Step 5 — The equivalence test</w:t>
      </w:r>
    </w:p>
    <w:p>
      <w:pPr>
        <w:spacing w:after="120" w:before="0"/>
      </w:pPr>
      <w:r>
        <w:rPr>
          <w:sz w:val="22"/>
          <w:szCs w:val="22"/>
        </w:rPr>
        <w:t xml:space="preserve">This is the control the entire report phase rests on. Four of the six supplied scripts read VIEW_OURM_FCA or VIEW_OURM_STATS, which take 40 to 120 seconds. The application replaces them with queries over the underlying objects. That substitution is only safe if something fails when the two disagree.</w:t>
      </w:r>
    </w:p>
    <w:p>
      <w:pPr>
        <w:shd w:fill="F2F2F2" w:val="clear"/>
        <w:spacing w:after="0" w:before="40"/>
        <w:ind w:left="288" w:right="288"/>
      </w:pPr>
      <w:r>
        <w:rPr>
          <w:rFonts w:ascii="Consolas" w:cs="Consolas" w:eastAsia="Consolas" w:hAnsi="Consolas"/>
          <w:sz w:val="18"/>
          <w:szCs w:val="18"/>
        </w:rPr>
        <w:t xml:space="preserve">$env:OUSADB_CONNECTION_STRING = "&lt;staging connection string&gt;"</w:t>
      </w:r>
    </w:p>
    <w:p>
      <w:pPr>
        <w:shd w:fill="F2F2F2" w:val="clear"/>
        <w:spacing w:after="160" w:before="0"/>
        <w:ind w:left="288" w:right="288"/>
      </w:pPr>
      <w:r>
        <w:rPr>
          <w:rFonts w:ascii="Consolas" w:cs="Consolas" w:eastAsia="Consolas" w:hAnsi="Consolas"/>
          <w:sz w:val="18"/>
          <w:szCs w:val="18"/>
        </w:rPr>
        <w:t xml:space="preserve">npm run test:staging</w:t>
      </w:r>
    </w:p>
    <w:p>
      <w:pPr>
        <w:spacing w:after="120" w:before="0"/>
      </w:pPr>
      <w:r>
        <w:rPr>
          <w:sz w:val="22"/>
          <w:szCs w:val="22"/>
        </w:rPr>
        <w:t xml:space="preserve">The test runs your original scripts and the rewrites side by side and asserts the ID sets match. It takes a few minutes, because it deliberately executes the slow originals.</w:t>
      </w:r>
    </w:p>
    <w:p>
      <w:pPr>
        <w:pBdr>
          <w:top w:val="single" w:color="D9A441" w:sz="2"/>
          <w:bottom w:val="single" w:color="D9A441" w:sz="2"/>
          <w:left w:val="single" w:color="D9A441" w:sz="12"/>
          <w:right w:val="single" w:color="D9A441" w:sz="2"/>
        </w:pBdr>
        <w:shd w:fill="FFF4E5" w:val="clear"/>
        <w:spacing w:after="160" w:before="120"/>
        <w:ind w:left="215" w:right="215"/>
      </w:pPr>
      <w:r>
        <w:rPr>
          <w:b/>
          <w:bCs/>
          <w:sz w:val="22"/>
          <w:szCs w:val="22"/>
        </w:rPr>
        <w:t xml:space="preserve">Until this passes, R1, R3, R4 and R6 are unverified.  </w:t>
      </w:r>
      <w:r>
        <w:rPr>
          <w:sz w:val="22"/>
          <w:szCs w:val="22"/>
        </w:rPr>
        <w:t xml:space="preserve">A fast query that returns the wrong students is indistinguishable from a fast query that returns the right ones. The original scripts are preserved verbatim in docs/validation-sql/reports/ for exactly this comparison.</w:t>
      </w:r>
    </w:p>
    <w:p>
      <w:pPr>
        <w:pStyle w:val="Heading1"/>
        <w:spacing w:after="160" w:before="360"/>
      </w:pPr>
      <w:r>
        <w:t xml:space="preserve">Step 6 — Install the stored procedure</w:t>
      </w:r>
    </w:p>
    <w:p>
      <w:pPr>
        <w:pStyle w:val="Heading2"/>
        <w:spacing w:after="120" w:before="280"/>
      </w:pPr>
      <w:r>
        <w:t xml:space="preserve">What must be installed</w:t>
      </w:r>
    </w:p>
    <w:p>
      <w:pPr>
        <w:spacing w:after="120" w:before="0"/>
      </w:pPr>
      <w:r>
        <w:rPr>
          <w:sz w:val="22"/>
          <w:szCs w:val="22"/>
        </w:rPr>
        <w:t xml:space="preserve">One new stored procedure: </w:t>
      </w:r>
      <w:r>
        <w:rPr>
          <w:rFonts w:ascii="Consolas" w:cs="Consolas" w:eastAsia="Consolas" w:hAnsi="Consolas"/>
          <w:b/>
          <w:bCs/>
          <w:sz w:val="22"/>
          <w:szCs w:val="22"/>
        </w:rPr>
        <w:t xml:space="preserve">dbo.usp_ReclaimStudentFromJenzabar</w:t>
      </w:r>
      <w:r>
        <w:rPr>
          <w:sz w:val="22"/>
          <w:szCs w:val="22"/>
        </w:rPr>
        <w:t xml:space="preserve">.</w:t>
      </w:r>
    </w:p>
    <w:p>
      <w:pPr>
        <w:spacing w:after="120" w:before="0"/>
      </w:pPr>
      <w:r>
        <w:rPr>
          <w:sz w:val="22"/>
          <w:szCs w:val="22"/>
        </w:rPr>
        <w:t xml:space="preserve">Script: </w:t>
      </w:r>
      <w:r>
        <w:rPr>
          <w:rFonts w:ascii="Consolas" w:cs="Consolas" w:eastAsia="Consolas" w:hAnsi="Consolas"/>
          <w:sz w:val="22"/>
          <w:szCs w:val="22"/>
        </w:rPr>
        <w:t xml:space="preserve">db/production/10_usp_reclaim_student.sql</w:t>
      </w:r>
      <w:r>
        <w:rPr>
          <w:sz w:val="22"/>
          <w:szCs w:val="22"/>
        </w:rPr>
        <w:t xml:space="preserve">   ·   Database: </w:t>
      </w:r>
      <w:r>
        <w:rPr>
          <w:rFonts w:ascii="Consolas" w:cs="Consolas" w:eastAsia="Consolas" w:hAnsi="Consolas"/>
          <w:sz w:val="22"/>
          <w:szCs w:val="22"/>
        </w:rPr>
        <w:t xml:space="preserve">ousadb</w:t>
      </w:r>
      <w:r>
        <w:rPr>
          <w:sz w:val="22"/>
          <w:szCs w:val="22"/>
        </w:rPr>
        <w:t xml:space="preserve">   ·   Run as: sysadmin or db_owner   ·   Idempotent: yes</w:t>
      </w:r>
    </w:p>
    <w:p>
      <w:pPr>
        <w:spacing w:after="120" w:before="0"/>
      </w:pPr>
      <w:r>
        <w:rPr>
          <w:b w:val="false"/>
          <w:bCs w:val="false"/>
          <w:sz w:val="22"/>
          <w:szCs w:val="22"/>
        </w:rPr>
        <w:t xml:space="preserve">This is the only new database object the application requires, and the only one that grants the application any ability to modify source data.</w:t>
      </w:r>
    </w:p>
    <w:p>
      <w:pPr>
        <w:pStyle w:val="Heading2"/>
        <w:spacing w:after="120" w:before="280"/>
      </w:pPr>
      <w:r>
        <w:t xml:space="preserve">Why a procedure rather than a table grant</w:t>
      </w:r>
    </w:p>
    <w:p>
      <w:pPr>
        <w:spacing w:after="120" w:before="0"/>
      </w:pPr>
      <w:r>
        <w:rPr>
          <w:sz w:val="22"/>
          <w:szCs w:val="22"/>
        </w:rPr>
        <w:t xml:space="preserve">The existing grant script </w:t>
      </w:r>
      <w:r>
        <w:rPr>
          <w:rFonts w:ascii="Consolas" w:cs="Consolas" w:eastAsia="Consolas" w:hAnsi="Consolas"/>
          <w:sz w:val="22"/>
          <w:szCs w:val="22"/>
        </w:rPr>
        <w:t xml:space="preserve">db/grants/jadi_dash.sql</w:t>
      </w:r>
      <w:r>
        <w:rPr>
          <w:sz w:val="22"/>
          <w:szCs w:val="22"/>
        </w:rPr>
        <w:t xml:space="preserve"> contains:</w:t>
      </w:r>
    </w:p>
    <w:p>
      <w:pPr>
        <w:shd w:fill="F2F2F2" w:val="clear"/>
        <w:spacing w:after="160" w:before="40"/>
        <w:ind w:left="288" w:right="288"/>
      </w:pPr>
      <w:r>
        <w:rPr>
          <w:rFonts w:ascii="Consolas" w:cs="Consolas" w:eastAsia="Consolas" w:hAnsi="Consolas"/>
          <w:sz w:val="18"/>
          <w:szCs w:val="18"/>
        </w:rPr>
        <w:t xml:space="preserve">DENY INSERT, UPDATE, DELETE, ALTER ON SCHEMA::dbo TO jadi_dash;</w:t>
      </w:r>
    </w:p>
    <w:p>
      <w:pPr>
        <w:spacing w:after="120" w:before="0"/>
      </w:pPr>
      <w:r>
        <w:rPr>
          <w:sz w:val="22"/>
          <w:szCs w:val="22"/>
        </w:rPr>
        <w:t xml:space="preserve">That line is why “the application cannot modify OUSA or Jenzabar data” has been a fact about the grants rather than a promise about the code. It does not change.</w:t>
      </w:r>
    </w:p>
    <w:p>
      <w:pPr>
        <w:spacing w:after="120" w:before="0"/>
      </w:pPr>
      <w:r>
        <w:rPr>
          <w:sz w:val="22"/>
          <w:szCs w:val="22"/>
        </w:rPr>
        <w:t xml:space="preserve">The procedure is owned by dbo and inserts into dbo.tblStudent. Because the ownership chain is unbroken, SQL Server does not evaluate the caller's permissions on the table for calls made through the procedure — while the DENY continues to block any ad-hoc statement. The application therefore gains one reviewed operation, not the ability to write the table.</w:t>
      </w:r>
    </w:p>
    <w:p>
      <w:pPr>
        <w:spacing w:after="120" w:before="0"/>
      </w:pPr>
      <w:r>
        <w:rPr>
          <w:sz w:val="22"/>
          <w:szCs w:val="22"/>
        </w:rPr>
        <w:t xml:space="preserve">To revoke the capability entirely, at any time:</w:t>
      </w:r>
    </w:p>
    <w:p>
      <w:pPr>
        <w:shd w:fill="F2F2F2" w:val="clear"/>
        <w:spacing w:after="160" w:before="40"/>
        <w:ind w:left="288" w:right="288"/>
      </w:pPr>
      <w:r>
        <w:rPr>
          <w:rFonts w:ascii="Consolas" w:cs="Consolas" w:eastAsia="Consolas" w:hAnsi="Consolas"/>
          <w:sz w:val="18"/>
          <w:szCs w:val="18"/>
        </w:rPr>
        <w:t xml:space="preserve">REVOKE EXECUTE ON dbo.usp_ReclaimStudentFromJenzabar FROM jadi_dash;</w:t>
      </w:r>
    </w:p>
    <w:p>
      <w:pPr>
        <w:pStyle w:val="Heading2"/>
        <w:spacing w:after="120" w:before="280"/>
      </w:pPr>
      <w:r>
        <w:t xml:space="preserve">6a — Pre-check before installing (open question S-Q6)</w:t>
      </w:r>
    </w:p>
    <w:p>
      <w:pPr>
        <w:spacing w:after="120" w:before="0"/>
      </w:pPr>
      <w:r>
        <w:rPr>
          <w:rFonts w:ascii="Consolas" w:cs="Consolas" w:eastAsia="Consolas" w:hAnsi="Consolas"/>
          <w:sz w:val="22"/>
          <w:szCs w:val="22"/>
        </w:rPr>
        <w:t xml:space="preserve">tblStudent.pid</w:t>
      </w:r>
      <w:r>
        <w:rPr>
          <w:sz w:val="22"/>
          <w:szCs w:val="22"/>
        </w:rPr>
        <w:t xml:space="preserve"> is a NOT NULL </w:t>
      </w:r>
      <w:r>
        <w:rPr>
          <w:rFonts w:ascii="Consolas" w:cs="Consolas" w:eastAsia="Consolas" w:hAnsi="Consolas"/>
          <w:sz w:val="22"/>
          <w:szCs w:val="22"/>
        </w:rPr>
        <w:t xml:space="preserve">int</w:t>
      </w:r>
      <w:r>
        <w:rPr>
          <w:sz w:val="22"/>
          <w:szCs w:val="22"/>
        </w:rPr>
        <w:t xml:space="preserve">, and the procedure's column list omits it — because your batch script </w:t>
      </w:r>
      <w:r>
        <w:rPr>
          <w:rFonts w:ascii="Consolas" w:cs="Consolas" w:eastAsia="Consolas" w:hAnsi="Consolas"/>
          <w:sz w:val="22"/>
          <w:szCs w:val="22"/>
        </w:rPr>
        <w:t xml:space="preserve">CreateNewStudentFromJenzabar.sql</w:t>
      </w:r>
      <w:r>
        <w:rPr>
          <w:sz w:val="22"/>
          <w:szCs w:val="22"/>
        </w:rPr>
        <w:t xml:space="preserve"> omits it. That script runs in production today, so </w:t>
      </w:r>
      <w:r>
        <w:rPr>
          <w:rFonts w:ascii="Consolas" w:cs="Consolas" w:eastAsia="Consolas" w:hAnsi="Consolas"/>
          <w:sz w:val="22"/>
          <w:szCs w:val="22"/>
        </w:rPr>
        <w:t xml:space="preserve">pid</w:t>
      </w:r>
      <w:r>
        <w:rPr>
          <w:sz w:val="22"/>
          <w:szCs w:val="22"/>
        </w:rPr>
        <w:t xml:space="preserve"> must be either an IDENTITY column or carry a DEFAULT constraint. Discovery never captured which. Confirm before installing:</w:t>
      </w:r>
    </w:p>
    <w:p>
      <w:pPr>
        <w:shd w:fill="F2F2F2" w:val="clear"/>
        <w:spacing w:after="0" w:before="40"/>
        <w:ind w:left="288" w:right="288"/>
      </w:pPr>
      <w:r>
        <w:rPr>
          <w:rFonts w:ascii="Consolas" w:cs="Consolas" w:eastAsia="Consolas" w:hAnsi="Consolas"/>
          <w:sz w:val="18"/>
          <w:szCs w:val="18"/>
        </w:rPr>
        <w:t xml:space="preserve">SELECT name, is_identity</w:t>
      </w:r>
    </w:p>
    <w:p>
      <w:pPr>
        <w:shd w:fill="F2F2F2" w:val="clear"/>
        <w:spacing w:after="0" w:before="0"/>
        <w:ind w:left="288" w:right="288"/>
      </w:pPr>
      <w:r>
        <w:rPr>
          <w:rFonts w:ascii="Consolas" w:cs="Consolas" w:eastAsia="Consolas" w:hAnsi="Consolas"/>
          <w:sz w:val="18"/>
          <w:szCs w:val="18"/>
        </w:rPr>
        <w:t xml:space="preserve">FROM sys.columns</w:t>
      </w:r>
    </w:p>
    <w:p>
      <w:pPr>
        <w:shd w:fill="F2F2F2" w:val="clear"/>
        <w:spacing w:after="0" w:before="0"/>
        <w:ind w:left="288" w:right="288"/>
      </w:pPr>
      <w:r>
        <w:rPr>
          <w:rFonts w:ascii="Consolas" w:cs="Consolas" w:eastAsia="Consolas" w:hAnsi="Consolas"/>
          <w:sz w:val="18"/>
          <w:szCs w:val="18"/>
        </w:rPr>
        <w:t xml:space="preserve">WHERE object_id = OBJECT_ID('dbo.tblStudent') AND name = 'pid';</w:t>
      </w:r>
    </w:p>
    <w:p>
      <w:pPr>
        <w:shd w:fill="F2F2F2" w:val="clear"/>
        <w:spacing w:after="0" w:before="0"/>
        <w:ind w:left="288" w:right="288"/>
      </w:pPr>
      <w:r>
        <w:rPr>
          <w:rFonts w:ascii="Consolas" w:cs="Consolas" w:eastAsia="Consolas" w:hAnsi="Consolas"/>
          <w:sz w:val="18"/>
          <w:szCs w:val="18"/>
        </w:rPr>
        <w:t xml:space="preserve"> </w:t>
      </w:r>
    </w:p>
    <w:p>
      <w:pPr>
        <w:shd w:fill="F2F2F2" w:val="clear"/>
        <w:spacing w:after="0" w:before="0"/>
        <w:ind w:left="288" w:right="288"/>
      </w:pPr>
      <w:r>
        <w:rPr>
          <w:rFonts w:ascii="Consolas" w:cs="Consolas" w:eastAsia="Consolas" w:hAnsi="Consolas"/>
          <w:sz w:val="18"/>
          <w:szCs w:val="18"/>
        </w:rPr>
        <w:t xml:space="preserve">SELECT dc.name, dc.definition</w:t>
      </w:r>
    </w:p>
    <w:p>
      <w:pPr>
        <w:shd w:fill="F2F2F2" w:val="clear"/>
        <w:spacing w:after="0" w:before="0"/>
        <w:ind w:left="288" w:right="288"/>
      </w:pPr>
      <w:r>
        <w:rPr>
          <w:rFonts w:ascii="Consolas" w:cs="Consolas" w:eastAsia="Consolas" w:hAnsi="Consolas"/>
          <w:sz w:val="18"/>
          <w:szCs w:val="18"/>
        </w:rPr>
        <w:t xml:space="preserve">FROM sys.default_constraints dc</w:t>
      </w:r>
    </w:p>
    <w:p>
      <w:pPr>
        <w:shd w:fill="F2F2F2" w:val="clear"/>
        <w:spacing w:after="0" w:before="0"/>
        <w:ind w:left="288" w:right="288"/>
      </w:pPr>
      <w:r>
        <w:rPr>
          <w:rFonts w:ascii="Consolas" w:cs="Consolas" w:eastAsia="Consolas" w:hAnsi="Consolas"/>
          <w:sz w:val="18"/>
          <w:szCs w:val="18"/>
        </w:rPr>
        <w:t xml:space="preserve">JOIN sys.columns c ON c.default_object_id = dc.object_id</w:t>
      </w:r>
    </w:p>
    <w:p>
      <w:pPr>
        <w:shd w:fill="F2F2F2" w:val="clear"/>
        <w:spacing w:after="160" w:before="0"/>
        <w:ind w:left="288" w:right="288"/>
      </w:pPr>
      <w:r>
        <w:rPr>
          <w:rFonts w:ascii="Consolas" w:cs="Consolas" w:eastAsia="Consolas" w:hAnsi="Consolas"/>
          <w:sz w:val="18"/>
          <w:szCs w:val="18"/>
        </w:rPr>
        <w:t xml:space="preserve">WHERE c.object_id = OBJECT_ID('dbo.tblStudent') AND c.name = 'pid';</w:t>
      </w:r>
    </w:p>
    <w:p>
      <w:pPr>
        <w:pBdr>
          <w:top w:val="single" w:color="D9A441" w:sz="2"/>
          <w:bottom w:val="single" w:color="D9A441" w:sz="2"/>
          <w:left w:val="single" w:color="D9A441" w:sz="12"/>
          <w:right w:val="single" w:color="D9A441" w:sz="2"/>
        </w:pBdr>
        <w:shd w:fill="FFF4E5" w:val="clear"/>
        <w:spacing w:after="160" w:before="120"/>
        <w:ind w:left="215" w:right="215"/>
      </w:pPr>
      <w:r>
        <w:rPr>
          <w:b/>
          <w:bCs/>
          <w:sz w:val="22"/>
          <w:szCs w:val="22"/>
        </w:rPr>
        <w:t xml:space="preserve">If pid is neither IDENTITY nor defaulted,  </w:t>
      </w:r>
      <w:r>
        <w:rPr>
          <w:sz w:val="22"/>
          <w:szCs w:val="22"/>
        </w:rPr>
        <w:t xml:space="preserve">the procedure will fail on first use with “Cannot insert the value NULL into column 'pid'”. Do not install it until that is resolved — the column needs explicit handling in the procedure.</w:t>
      </w:r>
    </w:p>
    <w:p>
      <w:pPr>
        <w:pStyle w:val="Heading2"/>
        <w:spacing w:after="120" w:before="280"/>
      </w:pPr>
      <w:r>
        <w:t xml:space="preserve">6b — Confirm the procedure's dependencies exist</w:t>
      </w:r>
    </w:p>
    <w:p>
      <w:pPr>
        <w:spacing w:after="120" w:before="0"/>
      </w:pPr>
      <w:r>
        <w:rPr>
          <w:sz w:val="22"/>
          <w:szCs w:val="22"/>
        </w:rPr>
        <w:t xml:space="preserve">The procedure calls two scalar functions that your batch script already uses. They exist on staging; confirm they exist on the production instance before installing:</w:t>
      </w:r>
    </w:p>
    <w:p>
      <w:pPr>
        <w:shd w:fill="F2F2F2" w:val="clear"/>
        <w:spacing w:after="0" w:before="40"/>
        <w:ind w:left="288" w:right="288"/>
      </w:pPr>
      <w:r>
        <w:rPr>
          <w:rFonts w:ascii="Consolas" w:cs="Consolas" w:eastAsia="Consolas" w:hAnsi="Consolas"/>
          <w:sz w:val="18"/>
          <w:szCs w:val="18"/>
        </w:rPr>
        <w:t xml:space="preserve">SELECT name, type_desc FROM sys.objects</w:t>
      </w:r>
    </w:p>
    <w:p>
      <w:pPr>
        <w:shd w:fill="F2F2F2" w:val="clear"/>
        <w:spacing w:after="160" w:before="0"/>
        <w:ind w:left="288" w:right="288"/>
      </w:pPr>
      <w:r>
        <w:rPr>
          <w:rFonts w:ascii="Consolas" w:cs="Consolas" w:eastAsia="Consolas" w:hAnsi="Consolas"/>
          <w:sz w:val="18"/>
          <w:szCs w:val="18"/>
        </w:rPr>
        <w:t xml:space="preserve">WHERE name IN ('format_phone', 'format_ssn') AND schema_id = SCHEMA_ID('dbo');</w:t>
      </w:r>
    </w:p>
    <w:p>
      <w:pPr>
        <w:spacing w:after="120" w:before="0"/>
      </w:pPr>
      <w:r>
        <w:rPr>
          <w:sz w:val="22"/>
          <w:szCs w:val="22"/>
        </w:rPr>
        <w:t xml:space="preserve">Both must be present in ousadb. They are institution-owned objects; nothing in this delivery creates or alters them.</w:t>
      </w:r>
    </w:p>
    <w:p>
      <w:pPr>
        <w:pStyle w:val="Heading2"/>
        <w:spacing w:after="120" w:before="280"/>
      </w:pPr>
      <w:r>
        <w:t xml:space="preserve">6c — Install</w:t>
      </w:r>
    </w:p>
    <w:p>
      <w:pPr>
        <w:spacing w:after="120" w:before="0"/>
      </w:pPr>
      <w:r>
        <w:rPr>
          <w:sz w:val="22"/>
          <w:szCs w:val="22"/>
        </w:rPr>
        <w:t xml:space="preserve">The DBA should read the script before running it. It is 216 lines, heavily commented, and creates exactly one object plus one GRANT.</w:t>
      </w:r>
    </w:p>
    <w:p>
      <w:pPr>
        <w:shd w:fill="F2F2F2" w:val="clear"/>
        <w:spacing w:after="160" w:before="40"/>
        <w:ind w:left="288" w:right="288"/>
      </w:pPr>
      <w:r>
        <w:rPr>
          <w:rFonts w:ascii="Consolas" w:cs="Consolas" w:eastAsia="Consolas" w:hAnsi="Consolas"/>
          <w:sz w:val="18"/>
          <w:szCs w:val="18"/>
        </w:rPr>
        <w:t xml:space="preserve">sqlcmd -S &lt;PRODSQL&gt; -E -b -I -i db\production\10_usp_reclaim_student.sql</w:t>
      </w:r>
    </w:p>
    <w:p>
      <w:pPr>
        <w:pStyle w:val="Heading2"/>
        <w:spacing w:after="120" w:before="280"/>
      </w:pPr>
      <w:r>
        <w:t xml:space="preserve">6d — Verify the guarantee still holds</w:t>
      </w:r>
    </w:p>
    <w:p>
      <w:pPr>
        <w:spacing w:after="120" w:before="0"/>
      </w:pPr>
      <w:r>
        <w:rPr>
          <w:sz w:val="22"/>
          <w:szCs w:val="22"/>
        </w:rPr>
        <w:t xml:space="preserve">Run these as the jadi_dash login, not as an administrator. This is not a formality — it is the check that the grant does what this document claims.</w:t>
      </w:r>
    </w:p>
    <w:p>
      <w:pPr>
        <w:shd w:fill="F2F2F2" w:val="clear"/>
        <w:spacing w:after="0" w:before="40"/>
        <w:ind w:left="288" w:right="288"/>
      </w:pPr>
      <w:r>
        <w:rPr>
          <w:rFonts w:ascii="Consolas" w:cs="Consolas" w:eastAsia="Consolas" w:hAnsi="Consolas"/>
          <w:sz w:val="18"/>
          <w:szCs w:val="18"/>
        </w:rPr>
        <w:t xml:space="preserve">-- Expect: SELECT only. Any INSERT/UPDATE/DELETE here means the grant is too wide.</w:t>
      </w:r>
    </w:p>
    <w:p>
      <w:pPr>
        <w:shd w:fill="F2F2F2" w:val="clear"/>
        <w:spacing w:after="0" w:before="0"/>
        <w:ind w:left="288" w:right="288"/>
      </w:pPr>
      <w:r>
        <w:rPr>
          <w:rFonts w:ascii="Consolas" w:cs="Consolas" w:eastAsia="Consolas" w:hAnsi="Consolas"/>
          <w:sz w:val="18"/>
          <w:szCs w:val="18"/>
        </w:rPr>
        <w:t xml:space="preserve">SELECT * FROM fn_my_permissions('dbo.tblStudent', 'OBJECT');</w:t>
      </w:r>
    </w:p>
    <w:p>
      <w:pPr>
        <w:shd w:fill="F2F2F2" w:val="clear"/>
        <w:spacing w:after="0" w:before="0"/>
        <w:ind w:left="288" w:right="288"/>
      </w:pPr>
      <w:r>
        <w:rPr>
          <w:rFonts w:ascii="Consolas" w:cs="Consolas" w:eastAsia="Consolas" w:hAnsi="Consolas"/>
          <w:sz w:val="18"/>
          <w:szCs w:val="18"/>
        </w:rPr>
        <w:t xml:space="preserve"> </w:t>
      </w:r>
    </w:p>
    <w:p>
      <w:pPr>
        <w:shd w:fill="F2F2F2" w:val="clear"/>
        <w:spacing w:after="0" w:before="0"/>
        <w:ind w:left="288" w:right="288"/>
      </w:pPr>
      <w:r>
        <w:rPr>
          <w:rFonts w:ascii="Consolas" w:cs="Consolas" w:eastAsia="Consolas" w:hAnsi="Consolas"/>
          <w:sz w:val="18"/>
          <w:szCs w:val="18"/>
        </w:rPr>
        <w:t xml:space="preserve">-- Expect: EXECUTE.</w:t>
      </w:r>
    </w:p>
    <w:p>
      <w:pPr>
        <w:shd w:fill="F2F2F2" w:val="clear"/>
        <w:spacing w:after="0" w:before="0"/>
        <w:ind w:left="288" w:right="288"/>
      </w:pPr>
      <w:r>
        <w:rPr>
          <w:rFonts w:ascii="Consolas" w:cs="Consolas" w:eastAsia="Consolas" w:hAnsi="Consolas"/>
          <w:sz w:val="18"/>
          <w:szCs w:val="18"/>
        </w:rPr>
        <w:t xml:space="preserve">SELECT * FROM fn_my_permissions('dbo.usp_ReclaimStudentFromJenzabar', 'OBJECT');</w:t>
      </w:r>
    </w:p>
    <w:p>
      <w:pPr>
        <w:shd w:fill="F2F2F2" w:val="clear"/>
        <w:spacing w:after="0" w:before="0"/>
        <w:ind w:left="288" w:right="288"/>
      </w:pPr>
      <w:r>
        <w:rPr>
          <w:rFonts w:ascii="Consolas" w:cs="Consolas" w:eastAsia="Consolas" w:hAnsi="Consolas"/>
          <w:sz w:val="18"/>
          <w:szCs w:val="18"/>
        </w:rPr>
        <w:t xml:space="preserve"> </w:t>
      </w:r>
    </w:p>
    <w:p>
      <w:pPr>
        <w:shd w:fill="F2F2F2" w:val="clear"/>
        <w:spacing w:after="0" w:before="0"/>
        <w:ind w:left="288" w:right="288"/>
      </w:pPr>
      <w:r>
        <w:rPr>
          <w:rFonts w:ascii="Consolas" w:cs="Consolas" w:eastAsia="Consolas" w:hAnsi="Consolas"/>
          <w:sz w:val="18"/>
          <w:szCs w:val="18"/>
        </w:rPr>
        <w:t xml:space="preserve">-- Expect: refused by the DENY. If this succeeds, stop and fix the grants.</w:t>
      </w:r>
    </w:p>
    <w:p>
      <w:pPr>
        <w:shd w:fill="F2F2F2" w:val="clear"/>
        <w:spacing w:after="160" w:before="0"/>
        <w:ind w:left="288" w:right="288"/>
      </w:pPr>
      <w:r>
        <w:rPr>
          <w:rFonts w:ascii="Consolas" w:cs="Consolas" w:eastAsia="Consolas" w:hAnsi="Consolas"/>
          <w:sz w:val="18"/>
          <w:szCs w:val="18"/>
        </w:rPr>
        <w:t xml:space="preserve">INSERT INTO dbo.tblStudent (idnumber) VALUES ('test');</w:t>
      </w:r>
    </w:p>
    <w:p>
      <w:pPr>
        <w:pBdr>
          <w:top w:val="single" w:color="D9A441" w:sz="2"/>
          <w:bottom w:val="single" w:color="D9A441" w:sz="2"/>
          <w:left w:val="single" w:color="D9A441" w:sz="12"/>
          <w:right w:val="single" w:color="D9A441" w:sz="2"/>
        </w:pBdr>
        <w:shd w:fill="FFF4E5" w:val="clear"/>
        <w:spacing w:after="160" w:before="120"/>
        <w:ind w:left="215" w:right="215"/>
      </w:pPr>
      <w:r>
        <w:rPr>
          <w:b/>
          <w:bCs/>
          <w:sz w:val="22"/>
          <w:szCs w:val="22"/>
        </w:rPr>
        <w:t xml:space="preserve">If any of the three checks behaves differently,  </w:t>
      </w:r>
      <w:r>
        <w:rPr>
          <w:sz w:val="22"/>
          <w:szCs w:val="22"/>
        </w:rPr>
        <w:t xml:space="preserve">the application's access is wider than assumption A-32 describes. Stop, correct the grants, and re-verify before allowing the feature to be used.</w:t>
      </w:r>
    </w:p>
    <w:p>
      <w:pPr>
        <w:pStyle w:val="Heading2"/>
        <w:spacing w:after="120" w:before="280"/>
      </w:pPr>
      <w:r>
        <w:t xml:space="preserve">What the procedure does</w:t>
      </w:r>
    </w:p>
    <w:p>
      <w:pPr>
        <w:spacing w:after="120" w:before="0"/>
      </w:pPr>
      <w:r>
        <w:rPr>
          <w:sz w:val="22"/>
          <w:szCs w:val="22"/>
        </w:rPr>
        <w:t xml:space="preserve">Reclaims one student that jadi.dbo.student_master knows about and ousadb.dbo.tblStudent does not — the population the nightly loader skips because it inner-joins four source objects (student_master, name_master, biograph_master, and an address row coded LHP, CUR or EML).</w:t>
      </w:r>
    </w:p>
    <w:p>
      <w:pPr>
        <w:spacing w:after="120" w:before="0"/>
      </w:pPr>
      <w:r>
        <w:rPr>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shd w:fill="E8E8E8" w:val="clear"/>
            <w:tcMar>
              <w:top w:type="dxa" w:w="60"/>
              <w:left w:type="dxa" w:w="100"/>
              <w:bottom w:type="dxa" w:w="60"/>
              <w:right w:type="dxa" w:w="100"/>
            </w:tcMar>
          </w:tcPr>
          <w:p>
            <w:pPr>
              <w:spacing w:after="0"/>
            </w:pPr>
            <w:r>
              <w:rPr>
                <w:b/>
                <w:bCs/>
                <w:sz w:val="20"/>
                <w:szCs w:val="20"/>
              </w:rPr>
              <w:t xml:space="preserve">Parameter</w:t>
            </w:r>
          </w:p>
        </w:tc>
        <w:tc>
          <w:tcPr>
            <w:tcW w:type="dxa" w:w="1800"/>
            <w:shd w:fill="E8E8E8" w:val="clear"/>
            <w:tcMar>
              <w:top w:type="dxa" w:w="60"/>
              <w:left w:type="dxa" w:w="100"/>
              <w:bottom w:type="dxa" w:w="60"/>
              <w:right w:type="dxa" w:w="100"/>
            </w:tcMar>
          </w:tcPr>
          <w:p>
            <w:pPr>
              <w:spacing w:after="0"/>
            </w:pPr>
            <w:r>
              <w:rPr>
                <w:b/>
                <w:bCs/>
                <w:sz w:val="20"/>
                <w:szCs w:val="20"/>
              </w:rPr>
              <w:t xml:space="preserve">Type</w:t>
            </w:r>
          </w:p>
        </w:tc>
        <w:tc>
          <w:tcPr>
            <w:tcW w:type="dxa" w:w="4960"/>
            <w:shd w:fill="E8E8E8" w:val="clear"/>
            <w:tcMar>
              <w:top w:type="dxa" w:w="60"/>
              <w:left w:type="dxa" w:w="100"/>
              <w:bottom w:type="dxa" w:w="60"/>
              <w:right w:type="dxa" w:w="100"/>
            </w:tcMar>
          </w:tcPr>
          <w:p>
            <w:pPr>
              <w:spacing w:after="0"/>
            </w:pPr>
            <w:r>
              <w:rPr>
                <w:b/>
                <w:bCs/>
                <w:sz w:val="20"/>
                <w:szCs w:val="20"/>
              </w:rPr>
              <w:t xml:space="preserve">Meaning</w:t>
            </w:r>
          </w:p>
        </w:tc>
      </w:tr>
      <w:tr>
        <w:trPr>
          <w:tblHeader w:val="false"/>
        </w:trPr>
        <w:tc>
          <w:tcPr>
            <w:tcW w:type="dxa" w:w="2600"/>
            <w:tcMar>
              <w:top w:type="dxa" w:w="60"/>
              <w:left w:type="dxa" w:w="100"/>
              <w:bottom w:type="dxa" w:w="60"/>
              <w:right w:type="dxa" w:w="100"/>
            </w:tcMar>
          </w:tcPr>
          <w:p>
            <w:pPr>
              <w:spacing w:after="0"/>
            </w:pPr>
            <w:r>
              <w:rPr>
                <w:b w:val="false"/>
                <w:bCs w:val="false"/>
                <w:sz w:val="20"/>
                <w:szCs w:val="20"/>
              </w:rPr>
              <w:t xml:space="preserve">@id_num</w:t>
            </w:r>
          </w:p>
        </w:tc>
        <w:tc>
          <w:tcPr>
            <w:tcW w:type="dxa" w:w="1800"/>
            <w:tcMar>
              <w:top w:type="dxa" w:w="60"/>
              <w:left w:type="dxa" w:w="100"/>
              <w:bottom w:type="dxa" w:w="60"/>
              <w:right w:type="dxa" w:w="100"/>
            </w:tcMar>
          </w:tcPr>
          <w:p>
            <w:pPr>
              <w:spacing w:after="0"/>
            </w:pPr>
            <w:r>
              <w:rPr>
                <w:b w:val="false"/>
                <w:bCs w:val="false"/>
                <w:sz w:val="20"/>
                <w:szCs w:val="20"/>
              </w:rPr>
              <w:t xml:space="preserve">varchar(50)</w:t>
            </w:r>
          </w:p>
        </w:tc>
        <w:tc>
          <w:tcPr>
            <w:tcW w:type="dxa" w:w="4960"/>
            <w:tcMar>
              <w:top w:type="dxa" w:w="60"/>
              <w:left w:type="dxa" w:w="100"/>
              <w:bottom w:type="dxa" w:w="60"/>
              <w:right w:type="dxa" w:w="100"/>
            </w:tcMar>
          </w:tcPr>
          <w:p>
            <w:pPr>
              <w:spacing w:after="0"/>
            </w:pPr>
            <w:r>
              <w:rPr>
                <w:b w:val="false"/>
                <w:bCs w:val="false"/>
                <w:sz w:val="20"/>
                <w:szCs w:val="20"/>
              </w:rPr>
              <w:t xml:space="preserve">The student ID. Compared numerically, so a padded ID matches.</w:t>
            </w:r>
          </w:p>
        </w:tc>
      </w:tr>
      <w:tr>
        <w:trPr>
          <w:tblHeader w:val="false"/>
        </w:trPr>
        <w:tc>
          <w:tcPr>
            <w:tcW w:type="dxa" w:w="2600"/>
            <w:tcMar>
              <w:top w:type="dxa" w:w="60"/>
              <w:left w:type="dxa" w:w="100"/>
              <w:bottom w:type="dxa" w:w="60"/>
              <w:right w:type="dxa" w:w="100"/>
            </w:tcMar>
          </w:tcPr>
          <w:p>
            <w:pPr>
              <w:spacing w:after="0"/>
            </w:pPr>
            <w:r>
              <w:rPr>
                <w:b w:val="false"/>
                <w:bCs w:val="false"/>
                <w:sz w:val="20"/>
                <w:szCs w:val="20"/>
              </w:rPr>
              <w:t xml:space="preserve">@actor</w:t>
            </w:r>
          </w:p>
        </w:tc>
        <w:tc>
          <w:tcPr>
            <w:tcW w:type="dxa" w:w="1800"/>
            <w:tcMar>
              <w:top w:type="dxa" w:w="60"/>
              <w:left w:type="dxa" w:w="100"/>
              <w:bottom w:type="dxa" w:w="60"/>
              <w:right w:type="dxa" w:w="100"/>
            </w:tcMar>
          </w:tcPr>
          <w:p>
            <w:pPr>
              <w:spacing w:after="0"/>
            </w:pPr>
            <w:r>
              <w:rPr>
                <w:b w:val="false"/>
                <w:bCs w:val="false"/>
                <w:sz w:val="20"/>
                <w:szCs w:val="20"/>
              </w:rPr>
              <w:t xml:space="preserve">varchar(200)</w:t>
            </w:r>
          </w:p>
        </w:tc>
        <w:tc>
          <w:tcPr>
            <w:tcW w:type="dxa" w:w="4960"/>
            <w:tcMar>
              <w:top w:type="dxa" w:w="60"/>
              <w:left w:type="dxa" w:w="100"/>
              <w:bottom w:type="dxa" w:w="60"/>
              <w:right w:type="dxa" w:w="100"/>
            </w:tcMar>
          </w:tcPr>
          <w:p>
            <w:pPr>
              <w:spacing w:after="0"/>
            </w:pPr>
            <w:r>
              <w:rPr>
                <w:b w:val="false"/>
                <w:bCs w:val="false"/>
                <w:sz w:val="20"/>
                <w:szCs w:val="20"/>
              </w:rPr>
              <w:t xml:space="preserve">The signed-in user's email, recorded on both sides of the write.</w:t>
            </w:r>
          </w:p>
        </w:tc>
      </w:tr>
      <w:tr>
        <w:trPr>
          <w:tblHeader w:val="false"/>
        </w:trPr>
        <w:tc>
          <w:tcPr>
            <w:tcW w:type="dxa" w:w="2600"/>
            <w:tcMar>
              <w:top w:type="dxa" w:w="60"/>
              <w:left w:type="dxa" w:w="100"/>
              <w:bottom w:type="dxa" w:w="60"/>
              <w:right w:type="dxa" w:w="100"/>
            </w:tcMar>
          </w:tcPr>
          <w:p>
            <w:pPr>
              <w:spacing w:after="0"/>
            </w:pPr>
            <w:r>
              <w:rPr>
                <w:b w:val="false"/>
                <w:bCs w:val="false"/>
                <w:sz w:val="20"/>
                <w:szCs w:val="20"/>
              </w:rPr>
              <w:t xml:space="preserve">@allow_partial</w:t>
            </w:r>
          </w:p>
        </w:tc>
        <w:tc>
          <w:tcPr>
            <w:tcW w:type="dxa" w:w="1800"/>
            <w:tcMar>
              <w:top w:type="dxa" w:w="60"/>
              <w:left w:type="dxa" w:w="100"/>
              <w:bottom w:type="dxa" w:w="60"/>
              <w:right w:type="dxa" w:w="100"/>
            </w:tcMar>
          </w:tcPr>
          <w:p>
            <w:pPr>
              <w:spacing w:after="0"/>
            </w:pPr>
            <w:r>
              <w:rPr>
                <w:b w:val="false"/>
                <w:bCs w:val="false"/>
                <w:sz w:val="20"/>
                <w:szCs w:val="20"/>
              </w:rPr>
              <w:t xml:space="preserve">bit (default 0)</w:t>
            </w:r>
          </w:p>
        </w:tc>
        <w:tc>
          <w:tcPr>
            <w:tcW w:type="dxa" w:w="4960"/>
            <w:tcMar>
              <w:top w:type="dxa" w:w="60"/>
              <w:left w:type="dxa" w:w="100"/>
              <w:bottom w:type="dxa" w:w="60"/>
              <w:right w:type="dxa" w:w="100"/>
            </w:tcMar>
          </w:tcPr>
          <w:p>
            <w:pPr>
              <w:spacing w:after="0"/>
            </w:pPr>
            <w:r>
              <w:rPr>
                <w:b w:val="false"/>
                <w:bCs w:val="false"/>
                <w:sz w:val="20"/>
                <w:szCs w:val="20"/>
              </w:rPr>
              <w:t xml:space="preserve">The caller must opt in before a record with missing source data is written.</w:t>
            </w:r>
          </w:p>
        </w:tc>
      </w:tr>
    </w:tbl>
    <w:p>
      <w:pPr>
        <w:spacing w:after="120" w:before="0"/>
      </w:pPr>
      <w:r>
        <w:rPr>
          <w:sz w:val="22"/>
          <w:szCs w:val="22"/>
        </w:rPr>
        <w:t xml:space="preserve"/>
      </w:r>
    </w:p>
    <w:p>
      <w:pPr>
        <w:spacing w:after="120" w:before="0"/>
      </w:pPr>
      <w:r>
        <w:rPr>
          <w:sz w:val="22"/>
          <w:szCs w:val="22"/>
        </w:rPr>
        <w:t xml:space="preserve">It refuses rather than silently doing nothing, and returns one row naming the outcome and which source artifacts were found, so the application never has to infer what happened. Possible outcomes:</w:t>
      </w:r>
    </w:p>
    <w:p>
      <w:pPr>
        <w:pStyle w:val="ListParagraph"/>
        <w:numPr>
          <w:ilvl w:val="0"/>
          <w:numId w:val="2"/>
        </w:numPr>
        <w:spacing w:after="80"/>
      </w:pPr>
      <w:r>
        <w:rPr>
          <w:rFonts w:ascii="Consolas" w:cs="Consolas" w:eastAsia="Consolas" w:hAnsi="Consolas"/>
          <w:b/>
          <w:bCs/>
          <w:sz w:val="22"/>
          <w:szCs w:val="22"/>
        </w:rPr>
        <w:t xml:space="preserve">inserted</w:t>
      </w:r>
      <w:r>
        <w:rPr>
          <w:sz w:val="22"/>
          <w:szCs w:val="22"/>
        </w:rPr>
        <w:t xml:space="preserve"> — one row written.</w:t>
      </w:r>
    </w:p>
    <w:p>
      <w:pPr>
        <w:pStyle w:val="ListParagraph"/>
        <w:numPr>
          <w:ilvl w:val="0"/>
          <w:numId w:val="2"/>
        </w:numPr>
        <w:spacing w:after="80"/>
      </w:pPr>
      <w:r>
        <w:rPr>
          <w:rFonts w:ascii="Consolas" w:cs="Consolas" w:eastAsia="Consolas" w:hAnsi="Consolas"/>
          <w:b/>
          <w:bCs/>
          <w:sz w:val="22"/>
          <w:szCs w:val="22"/>
        </w:rPr>
        <w:t xml:space="preserve">already_exists</w:t>
      </w:r>
      <w:r>
        <w:rPr>
          <w:sz w:val="22"/>
          <w:szCs w:val="22"/>
        </w:rPr>
        <w:t xml:space="preserve"> — someone got there first; treated as success.</w:t>
      </w:r>
    </w:p>
    <w:p>
      <w:pPr>
        <w:pStyle w:val="ListParagraph"/>
        <w:numPr>
          <w:ilvl w:val="0"/>
          <w:numId w:val="2"/>
        </w:numPr>
        <w:spacing w:after="80"/>
      </w:pPr>
      <w:r>
        <w:rPr>
          <w:rFonts w:ascii="Consolas" w:cs="Consolas" w:eastAsia="Consolas" w:hAnsi="Consolas"/>
          <w:b/>
          <w:bCs/>
          <w:sz w:val="22"/>
          <w:szCs w:val="22"/>
        </w:rPr>
        <w:t xml:space="preserve">not_in_jenzabar</w:t>
      </w:r>
      <w:r>
        <w:rPr>
          <w:sz w:val="22"/>
          <w:szCs w:val="22"/>
        </w:rPr>
        <w:t xml:space="preserve"> — nothing to reclaim.</w:t>
      </w:r>
    </w:p>
    <w:p>
      <w:pPr>
        <w:pStyle w:val="ListParagraph"/>
        <w:numPr>
          <w:ilvl w:val="0"/>
          <w:numId w:val="2"/>
        </w:numPr>
        <w:spacing w:after="80"/>
      </w:pPr>
      <w:r>
        <w:rPr>
          <w:rFonts w:ascii="Consolas" w:cs="Consolas" w:eastAsia="Consolas" w:hAnsi="Consolas"/>
          <w:b/>
          <w:bCs/>
          <w:sz w:val="22"/>
          <w:szCs w:val="22"/>
        </w:rPr>
        <w:t xml:space="preserve">no_name_record</w:t>
      </w:r>
      <w:r>
        <w:rPr>
          <w:sz w:val="22"/>
          <w:szCs w:val="22"/>
        </w:rPr>
        <w:t xml:space="preserve"> — refused; a record with no defensible name is worse than none.</w:t>
      </w:r>
    </w:p>
    <w:p>
      <w:pPr>
        <w:pStyle w:val="ListParagraph"/>
        <w:numPr>
          <w:ilvl w:val="0"/>
          <w:numId w:val="2"/>
        </w:numPr>
        <w:spacing w:after="80"/>
      </w:pPr>
      <w:r>
        <w:rPr>
          <w:rFonts w:ascii="Consolas" w:cs="Consolas" w:eastAsia="Consolas" w:hAnsi="Consolas"/>
          <w:b/>
          <w:bCs/>
          <w:sz w:val="22"/>
          <w:szCs w:val="22"/>
        </w:rPr>
        <w:t xml:space="preserve">partial_not_allowed</w:t>
      </w:r>
      <w:r>
        <w:rPr>
          <w:sz w:val="22"/>
          <w:szCs w:val="22"/>
        </w:rPr>
        <w:t xml:space="preserve"> — source records missing and the caller did not opt in.</w:t>
      </w:r>
    </w:p>
    <w:p>
      <w:pPr>
        <w:pStyle w:val="ListParagraph"/>
        <w:numPr>
          <w:ilvl w:val="0"/>
          <w:numId w:val="2"/>
        </w:numPr>
        <w:spacing w:after="80"/>
      </w:pPr>
      <w:r>
        <w:rPr>
          <w:rFonts w:ascii="Consolas" w:cs="Consolas" w:eastAsia="Consolas" w:hAnsi="Consolas"/>
          <w:b/>
          <w:bCs/>
          <w:sz w:val="22"/>
          <w:szCs w:val="22"/>
        </w:rPr>
        <w:t xml:space="preserve">invalid_id</w:t>
      </w:r>
      <w:r>
        <w:rPr>
          <w:sz w:val="22"/>
          <w:szCs w:val="22"/>
        </w:rPr>
        <w:t xml:space="preserve"> — not a valid student number.</w:t>
      </w:r>
    </w:p>
    <w:p>
      <w:pPr>
        <w:spacing w:after="120" w:before="0"/>
      </w:pPr>
      <w:r>
        <w:rPr>
          <w:sz w:val="22"/>
          <w:szCs w:val="22"/>
        </w:rPr>
        <w:t xml:space="preserve">Two behaviours worth knowing:</w:t>
      </w:r>
    </w:p>
    <w:p>
      <w:pPr>
        <w:pStyle w:val="ListParagraph"/>
        <w:numPr>
          <w:ilvl w:val="0"/>
          <w:numId w:val="2"/>
        </w:numPr>
        <w:spacing w:after="80"/>
      </w:pPr>
      <w:r>
        <w:rPr>
          <w:sz w:val="22"/>
          <w:szCs w:val="22"/>
        </w:rPr>
        <w:t xml:space="preserve">It re-checks for an existing record inside the transaction, so two operators clicking at once cannot produce a duplicate.</w:t>
      </w:r>
    </w:p>
    <w:p>
      <w:pPr>
        <w:pStyle w:val="ListParagraph"/>
        <w:numPr>
          <w:ilvl w:val="0"/>
          <w:numId w:val="2"/>
        </w:numPr>
        <w:spacing w:after="80"/>
      </w:pPr>
      <w:r>
        <w:rPr>
          <w:sz w:val="22"/>
          <w:szCs w:val="22"/>
        </w:rPr>
        <w:t xml:space="preserve">It writes its own row into dash.ReclaimedStudent inside the same transaction, so a reclaimed record cannot exist without its log entry.</w:t>
      </w:r>
    </w:p>
    <w:p>
      <w:pPr>
        <w:spacing w:after="120" w:before="0"/>
      </w:pPr>
      <w:r>
        <w:rPr>
          <w:sz w:val="22"/>
          <w:szCs w:val="22"/>
        </w:rPr>
        <w:t xml:space="preserve">One deliberate difference from your batch script: email is written from </w:t>
      </w:r>
      <w:r>
        <w:rPr>
          <w:rFonts w:ascii="Consolas" w:cs="Consolas" w:eastAsia="Consolas" w:hAnsi="Consolas"/>
          <w:sz w:val="22"/>
          <w:szCs w:val="22"/>
        </w:rPr>
        <w:t xml:space="preserve">name_master.EMAIL_ADDRESS</w:t>
      </w:r>
      <w:r>
        <w:rPr>
          <w:sz w:val="22"/>
          <w:szCs w:val="22"/>
        </w:rPr>
        <w:t xml:space="preserve"> rather than the hard-coded </w:t>
      </w:r>
      <w:r>
        <w:rPr>
          <w:rFonts w:ascii="Consolas" w:cs="Consolas" w:eastAsia="Consolas" w:hAnsi="Consolas"/>
          <w:sz w:val="22"/>
          <w:szCs w:val="22"/>
        </w:rPr>
        <w:t xml:space="preserve">'none@oakwood.edu'</w:t>
      </w:r>
      <w:r>
        <w:rPr>
          <w:sz w:val="22"/>
          <w:szCs w:val="22"/>
        </w:rPr>
        <w:t xml:space="preserve">. Your script computes the real address and then discards it. The mail-merge reports export email, so a placeholder is a letter that never arrives.</w:t>
      </w:r>
    </w:p>
    <w:p>
      <w:pPr>
        <w:pStyle w:val="Heading1"/>
        <w:spacing w:after="160" w:before="360"/>
      </w:pPr>
      <w:r>
        <w:t xml:space="preserve">Step 7 — Prove one reclaim on staging</w:t>
      </w:r>
    </w:p>
    <w:p>
      <w:pPr>
        <w:spacing w:after="120" w:before="0"/>
      </w:pPr>
      <w:r>
        <w:rPr>
          <w:sz w:val="22"/>
          <w:szCs w:val="22"/>
        </w:rPr>
        <w:t xml:space="preserve">Pick a student you know is missing from tblStudent, then walk the whole path:</w:t>
      </w:r>
    </w:p>
    <w:p>
      <w:pPr>
        <w:pStyle w:val="ListParagraph"/>
        <w:numPr>
          <w:ilvl w:val="0"/>
          <w:numId w:val="2"/>
        </w:numPr>
        <w:spacing w:after="80"/>
      </w:pPr>
      <w:r>
        <w:rPr>
          <w:sz w:val="22"/>
          <w:szCs w:val="22"/>
        </w:rPr>
        <w:t xml:space="preserve">Student Lookup → search by Student ID → confirm the diagnostic names the correct missing artifacts.</w:t>
      </w:r>
    </w:p>
    <w:p>
      <w:pPr>
        <w:pStyle w:val="ListParagraph"/>
        <w:numPr>
          <w:ilvl w:val="0"/>
          <w:numId w:val="2"/>
        </w:numPr>
        <w:spacing w:after="80"/>
      </w:pPr>
      <w:r>
        <w:rPr>
          <w:sz w:val="22"/>
          <w:szCs w:val="22"/>
        </w:rPr>
        <w:t xml:space="preserve">Check that the address-code line matches what address_master actually holds for that student.</w:t>
      </w:r>
    </w:p>
    <w:p>
      <w:pPr>
        <w:pStyle w:val="ListParagraph"/>
        <w:numPr>
          <w:ilvl w:val="0"/>
          <w:numId w:val="2"/>
        </w:numPr>
        <w:spacing w:after="80"/>
      </w:pPr>
      <w:r>
        <w:rPr>
          <w:sz w:val="22"/>
          <w:szCs w:val="22"/>
        </w:rPr>
        <w:t xml:space="preserve">Reclaim the record.</w:t>
      </w:r>
    </w:p>
    <w:p>
      <w:pPr>
        <w:pStyle w:val="ListParagraph"/>
        <w:numPr>
          <w:ilvl w:val="0"/>
          <w:numId w:val="2"/>
        </w:numPr>
        <w:spacing w:after="80"/>
      </w:pPr>
      <w:r>
        <w:rPr>
          <w:sz w:val="22"/>
          <w:szCs w:val="22"/>
        </w:rPr>
        <w:t xml:space="preserve">Confirm the row exists in dbo.tblStudent with the real email address.</w:t>
      </w:r>
    </w:p>
    <w:p>
      <w:pPr>
        <w:pStyle w:val="ListParagraph"/>
        <w:numPr>
          <w:ilvl w:val="0"/>
          <w:numId w:val="2"/>
        </w:numPr>
        <w:spacing w:after="80"/>
      </w:pPr>
      <w:r>
        <w:rPr>
          <w:sz w:val="22"/>
          <w:szCs w:val="22"/>
        </w:rPr>
        <w:t xml:space="preserve">Confirm a row in dash.ReclaimedStudent with the correct gap flags.</w:t>
      </w:r>
    </w:p>
    <w:p>
      <w:pPr>
        <w:pStyle w:val="ListParagraph"/>
        <w:numPr>
          <w:ilvl w:val="0"/>
          <w:numId w:val="2"/>
        </w:numPr>
        <w:spacing w:after="80"/>
      </w:pPr>
      <w:r>
        <w:rPr>
          <w:sz w:val="22"/>
          <w:szCs w:val="22"/>
        </w:rPr>
        <w:t xml:space="preserve">Confirm a student.reclaim event in the audit log, carrying the artifacts but not the record.</w:t>
      </w:r>
    </w:p>
    <w:p>
      <w:pPr>
        <w:pStyle w:val="ListParagraph"/>
        <w:numPr>
          <w:ilvl w:val="0"/>
          <w:numId w:val="2"/>
        </w:numPr>
        <w:spacing w:after="80"/>
      </w:pPr>
      <w:r>
        <w:rPr>
          <w:sz w:val="22"/>
          <w:szCs w:val="22"/>
        </w:rPr>
        <w:t xml:space="preserve">Open the student's Bio Card and confirm the incomplete-record banner, if the record has gaps.</w:t>
      </w:r>
    </w:p>
    <w:p>
      <w:pPr>
        <w:pBdr>
          <w:top w:val="single" w:color="D9A441" w:sz="2"/>
          <w:bottom w:val="single" w:color="D9A441" w:sz="2"/>
          <w:left w:val="single" w:color="D9A441" w:sz="12"/>
          <w:right w:val="single" w:color="D9A441" w:sz="2"/>
        </w:pBdr>
        <w:shd w:fill="FFF4E5" w:val="clear"/>
        <w:spacing w:after="160" w:before="120"/>
        <w:ind w:left="215" w:right="215"/>
      </w:pPr>
      <w:r>
        <w:rPr>
          <w:b/>
          <w:bCs/>
          <w:sz w:val="22"/>
          <w:szCs w:val="22"/>
        </w:rPr>
        <w:t xml:space="preserve">Until the procedure is installed,  </w:t>
      </w:r>
      <w:r>
        <w:rPr>
          <w:sz w:val="22"/>
          <w:szCs w:val="22"/>
        </w:rPr>
        <w:t xml:space="preserve">the reclaim offer is inert by design: the provider throws, the route answers HTTP 503 with the reason, and the page still shows the full diagnostic. The diagnostic half is live and useful on its own.</w:t>
      </w:r>
    </w:p>
    <w:p>
      <w:pPr>
        <w:pStyle w:val="Heading1"/>
        <w:spacing w:after="160" w:before="360"/>
      </w:pPr>
      <w:r>
        <w:t xml:space="preserve">Step 8 — Commit</w:t>
      </w:r>
    </w:p>
    <w:p>
      <w:pPr>
        <w:spacing w:after="120" w:before="0"/>
      </w:pPr>
      <w:r>
        <w:rPr>
          <w:sz w:val="22"/>
          <w:szCs w:val="22"/>
        </w:rPr>
        <w:t xml:space="preserve">Sixty-one files are uncommitted, some predating this round of work (the Phase 5 D-6 transaction changes and the student cards). Commit in separate reviewable chunks rather than one — the reclaim work touches grants and source-data policy and deserves its own commit.</w:t>
      </w:r>
    </w:p>
    <w:p>
      <w:pPr>
        <w:spacing w:after="120" w:before="0"/>
      </w:pPr>
      <w:r>
        <w:rPr>
          <w:sz w:val="22"/>
          <w:szCs w:val="22"/>
        </w:rPr>
        <w:t xml:space="preserve">Two files should not be committed at all:</w:t>
      </w:r>
    </w:p>
    <w:p>
      <w:pPr>
        <w:pStyle w:val="ListParagraph"/>
        <w:numPr>
          <w:ilvl w:val="0"/>
          <w:numId w:val="2"/>
        </w:numPr>
        <w:spacing w:after="80"/>
      </w:pPr>
      <w:r>
        <w:rPr>
          <w:rFonts w:ascii="Consolas" w:cs="Consolas" w:eastAsia="Consolas" w:hAnsi="Consolas"/>
          <w:sz w:val="22"/>
          <w:szCs w:val="22"/>
        </w:rPr>
        <w:t xml:space="preserve">docs/~$di Dashboard Student Bio Specs.docx</w:t>
      </w:r>
      <w:r>
        <w:rPr>
          <w:sz w:val="22"/>
          <w:szCs w:val="22"/>
        </w:rPr>
        <w:t xml:space="preserve"> — a Word lock file.</w:t>
      </w:r>
    </w:p>
    <w:p>
      <w:pPr>
        <w:pStyle w:val="ListParagraph"/>
        <w:numPr>
          <w:ilvl w:val="0"/>
          <w:numId w:val="2"/>
        </w:numPr>
        <w:spacing w:after="80"/>
      </w:pPr>
      <w:r>
        <w:rPr>
          <w:rFonts w:ascii="Consolas" w:cs="Consolas" w:eastAsia="Consolas" w:hAnsi="Consolas"/>
          <w:sz w:val="22"/>
          <w:szCs w:val="22"/>
        </w:rPr>
        <w:t xml:space="preserve">docs/Trans_Hist_dump.bcp</w:t>
      </w:r>
      <w:r>
        <w:rPr>
          <w:sz w:val="22"/>
          <w:szCs w:val="22"/>
        </w:rPr>
        <w:t xml:space="preserve"> — a data dump.</w:t>
      </w:r>
    </w:p>
    <w:p>
      <w:pPr>
        <w:pStyle w:val="Heading1"/>
        <w:spacing w:after="160" w:before="360"/>
      </w:pPr>
      <w:r>
        <w:t xml:space="preserve">Appendix A — SQL objects the production server must have</w:t>
      </w:r>
    </w:p>
    <w:p>
      <w:pPr>
        <w:spacing w:after="120" w:before="0"/>
      </w:pPr>
      <w:r>
        <w:rPr>
          <w:sz w:val="22"/>
          <w:szCs w:val="22"/>
        </w:rPr>
        <w:t xml:space="preserve">The application calls the following database objects. Only the first is new; the rest are institution-owned and are assumed already present. Verify them on production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shd w:fill="E8E8E8" w:val="clear"/>
            <w:tcMar>
              <w:top w:type="dxa" w:w="60"/>
              <w:left w:type="dxa" w:w="100"/>
              <w:bottom w:type="dxa" w:w="60"/>
              <w:right w:type="dxa" w:w="100"/>
            </w:tcMar>
          </w:tcPr>
          <w:p>
            <w:pPr>
              <w:spacing w:after="0"/>
            </w:pPr>
            <w:r>
              <w:rPr>
                <w:b/>
                <w:bCs/>
                <w:sz w:val="20"/>
                <w:szCs w:val="20"/>
              </w:rPr>
              <w:t xml:space="preserve">Object</w:t>
            </w:r>
          </w:p>
        </w:tc>
        <w:tc>
          <w:tcPr>
            <w:tcW w:type="dxa" w:w="1500"/>
            <w:shd w:fill="E8E8E8" w:val="clear"/>
            <w:tcMar>
              <w:top w:type="dxa" w:w="60"/>
              <w:left w:type="dxa" w:w="100"/>
              <w:bottom w:type="dxa" w:w="60"/>
              <w:right w:type="dxa" w:w="100"/>
            </w:tcMar>
          </w:tcPr>
          <w:p>
            <w:pPr>
              <w:spacing w:after="0"/>
            </w:pPr>
            <w:r>
              <w:rPr>
                <w:b/>
                <w:bCs/>
                <w:sz w:val="20"/>
                <w:szCs w:val="20"/>
              </w:rPr>
              <w:t xml:space="preserve">Status</w:t>
            </w:r>
          </w:p>
        </w:tc>
        <w:tc>
          <w:tcPr>
            <w:tcW w:type="dxa" w:w="4560"/>
            <w:shd w:fill="E8E8E8" w:val="clear"/>
            <w:tcMar>
              <w:top w:type="dxa" w:w="60"/>
              <w:left w:type="dxa" w:w="100"/>
              <w:bottom w:type="dxa" w:w="60"/>
              <w:right w:type="dxa" w:w="100"/>
            </w:tcMar>
          </w:tcPr>
          <w:p>
            <w:pPr>
              <w:spacing w:after="0"/>
            </w:pPr>
            <w:r>
              <w:rPr>
                <w:b/>
                <w:bCs/>
                <w:sz w:val="20"/>
                <w:szCs w:val="20"/>
              </w:rPr>
              <w:t xml:space="preserve">Used by</w:t>
            </w:r>
          </w:p>
        </w:tc>
      </w:tr>
      <w:tr>
        <w:trPr>
          <w:tblHeader w:val="false"/>
        </w:trPr>
        <w:tc>
          <w:tcPr>
            <w:tcW w:type="dxa" w:w="3300"/>
            <w:tcMar>
              <w:top w:type="dxa" w:w="60"/>
              <w:left w:type="dxa" w:w="100"/>
              <w:bottom w:type="dxa" w:w="60"/>
              <w:right w:type="dxa" w:w="100"/>
            </w:tcMar>
          </w:tcPr>
          <w:p>
            <w:pPr>
              <w:spacing w:after="0"/>
            </w:pPr>
            <w:r>
              <w:rPr>
                <w:b w:val="false"/>
                <w:bCs w:val="false"/>
                <w:sz w:val="20"/>
                <w:szCs w:val="20"/>
              </w:rPr>
              <w:t xml:space="preserve">dbo.usp_ReclaimStudentFromJenzabar</w:t>
            </w:r>
          </w:p>
        </w:tc>
        <w:tc>
          <w:tcPr>
            <w:tcW w:type="dxa" w:w="1500"/>
            <w:tcMar>
              <w:top w:type="dxa" w:w="60"/>
              <w:left w:type="dxa" w:w="100"/>
              <w:bottom w:type="dxa" w:w="60"/>
              <w:right w:type="dxa" w:w="100"/>
            </w:tcMar>
          </w:tcPr>
          <w:p>
            <w:pPr>
              <w:spacing w:after="0"/>
            </w:pPr>
            <w:r>
              <w:rPr>
                <w:b w:val="false"/>
                <w:bCs w:val="false"/>
                <w:sz w:val="20"/>
                <w:szCs w:val="20"/>
              </w:rPr>
              <w:t xml:space="preserve">NEW — install</w:t>
            </w:r>
          </w:p>
        </w:tc>
        <w:tc>
          <w:tcPr>
            <w:tcW w:type="dxa" w:w="4560"/>
            <w:tcMar>
              <w:top w:type="dxa" w:w="60"/>
              <w:left w:type="dxa" w:w="100"/>
              <w:bottom w:type="dxa" w:w="60"/>
              <w:right w:type="dxa" w:w="100"/>
            </w:tcMar>
          </w:tcPr>
          <w:p>
            <w:pPr>
              <w:spacing w:after="0"/>
            </w:pPr>
            <w:r>
              <w:rPr>
                <w:b w:val="false"/>
                <w:bCs w:val="false"/>
                <w:sz w:val="20"/>
                <w:szCs w:val="20"/>
              </w:rPr>
              <w:t xml:space="preserve">Student reclaim (Phase 5g)</w:t>
            </w:r>
          </w:p>
        </w:tc>
      </w:tr>
      <w:tr>
        <w:trPr>
          <w:tblHeader w:val="false"/>
        </w:trPr>
        <w:tc>
          <w:tcPr>
            <w:tcW w:type="dxa" w:w="3300"/>
            <w:tcMar>
              <w:top w:type="dxa" w:w="60"/>
              <w:left w:type="dxa" w:w="100"/>
              <w:bottom w:type="dxa" w:w="60"/>
              <w:right w:type="dxa" w:w="100"/>
            </w:tcMar>
          </w:tcPr>
          <w:p>
            <w:pPr>
              <w:spacing w:after="0"/>
            </w:pPr>
            <w:r>
              <w:rPr>
                <w:b w:val="false"/>
                <w:bCs w:val="false"/>
                <w:sz w:val="20"/>
                <w:szCs w:val="20"/>
              </w:rPr>
              <w:t xml:space="preserve">dbo.format_phone</w:t>
            </w:r>
          </w:p>
        </w:tc>
        <w:tc>
          <w:tcPr>
            <w:tcW w:type="dxa" w:w="1500"/>
            <w:tcMar>
              <w:top w:type="dxa" w:w="60"/>
              <w:left w:type="dxa" w:w="100"/>
              <w:bottom w:type="dxa" w:w="60"/>
              <w:right w:type="dxa" w:w="100"/>
            </w:tcMar>
          </w:tcPr>
          <w:p>
            <w:pPr>
              <w:spacing w:after="0"/>
            </w:pPr>
            <w:r>
              <w:rPr>
                <w:b w:val="false"/>
                <w:bCs w:val="false"/>
                <w:sz w:val="20"/>
                <w:szCs w:val="20"/>
              </w:rPr>
              <w:t xml:space="preserve">Existing</w:t>
            </w:r>
          </w:p>
        </w:tc>
        <w:tc>
          <w:tcPr>
            <w:tcW w:type="dxa" w:w="4560"/>
            <w:tcMar>
              <w:top w:type="dxa" w:w="60"/>
              <w:left w:type="dxa" w:w="100"/>
              <w:bottom w:type="dxa" w:w="60"/>
              <w:right w:type="dxa" w:w="100"/>
            </w:tcMar>
          </w:tcPr>
          <w:p>
            <w:pPr>
              <w:spacing w:after="0"/>
            </w:pPr>
            <w:r>
              <w:rPr>
                <w:b w:val="false"/>
                <w:bCs w:val="false"/>
                <w:sz w:val="20"/>
                <w:szCs w:val="20"/>
              </w:rPr>
              <w:t xml:space="preserve">Called by the reclaim procedure</w:t>
            </w:r>
          </w:p>
        </w:tc>
      </w:tr>
      <w:tr>
        <w:trPr>
          <w:tblHeader w:val="false"/>
        </w:trPr>
        <w:tc>
          <w:tcPr>
            <w:tcW w:type="dxa" w:w="3300"/>
            <w:tcMar>
              <w:top w:type="dxa" w:w="60"/>
              <w:left w:type="dxa" w:w="100"/>
              <w:bottom w:type="dxa" w:w="60"/>
              <w:right w:type="dxa" w:w="100"/>
            </w:tcMar>
          </w:tcPr>
          <w:p>
            <w:pPr>
              <w:spacing w:after="0"/>
            </w:pPr>
            <w:r>
              <w:rPr>
                <w:b w:val="false"/>
                <w:bCs w:val="false"/>
                <w:sz w:val="20"/>
                <w:szCs w:val="20"/>
              </w:rPr>
              <w:t xml:space="preserve">dbo.format_ssn</w:t>
            </w:r>
          </w:p>
        </w:tc>
        <w:tc>
          <w:tcPr>
            <w:tcW w:type="dxa" w:w="1500"/>
            <w:tcMar>
              <w:top w:type="dxa" w:w="60"/>
              <w:left w:type="dxa" w:w="100"/>
              <w:bottom w:type="dxa" w:w="60"/>
              <w:right w:type="dxa" w:w="100"/>
            </w:tcMar>
          </w:tcPr>
          <w:p>
            <w:pPr>
              <w:spacing w:after="0"/>
            </w:pPr>
            <w:r>
              <w:rPr>
                <w:b w:val="false"/>
                <w:bCs w:val="false"/>
                <w:sz w:val="20"/>
                <w:szCs w:val="20"/>
              </w:rPr>
              <w:t xml:space="preserve">Existing</w:t>
            </w:r>
          </w:p>
        </w:tc>
        <w:tc>
          <w:tcPr>
            <w:tcW w:type="dxa" w:w="4560"/>
            <w:tcMar>
              <w:top w:type="dxa" w:w="60"/>
              <w:left w:type="dxa" w:w="100"/>
              <w:bottom w:type="dxa" w:w="60"/>
              <w:right w:type="dxa" w:w="100"/>
            </w:tcMar>
          </w:tcPr>
          <w:p>
            <w:pPr>
              <w:spacing w:after="0"/>
            </w:pPr>
            <w:r>
              <w:rPr>
                <w:b w:val="false"/>
                <w:bCs w:val="false"/>
                <w:sz w:val="20"/>
                <w:szCs w:val="20"/>
              </w:rPr>
              <w:t xml:space="preserve">Called by the reclaim procedure</w:t>
            </w:r>
          </w:p>
        </w:tc>
      </w:tr>
      <w:tr>
        <w:trPr>
          <w:tblHeader w:val="false"/>
        </w:trPr>
        <w:tc>
          <w:tcPr>
            <w:tcW w:type="dxa" w:w="3300"/>
            <w:tcMar>
              <w:top w:type="dxa" w:w="60"/>
              <w:left w:type="dxa" w:w="100"/>
              <w:bottom w:type="dxa" w:w="60"/>
              <w:right w:type="dxa" w:w="100"/>
            </w:tcMar>
          </w:tcPr>
          <w:p>
            <w:pPr>
              <w:spacing w:after="0"/>
            </w:pPr>
            <w:r>
              <w:rPr>
                <w:b w:val="false"/>
                <w:bCs w:val="false"/>
                <w:sz w:val="20"/>
                <w:szCs w:val="20"/>
              </w:rPr>
              <w:t xml:space="preserve">dbo.Sp_GetFCWorksheetItems</w:t>
            </w:r>
          </w:p>
        </w:tc>
        <w:tc>
          <w:tcPr>
            <w:tcW w:type="dxa" w:w="1500"/>
            <w:tcMar>
              <w:top w:type="dxa" w:w="60"/>
              <w:left w:type="dxa" w:w="100"/>
              <w:bottom w:type="dxa" w:w="60"/>
              <w:right w:type="dxa" w:w="100"/>
            </w:tcMar>
          </w:tcPr>
          <w:p>
            <w:pPr>
              <w:spacing w:after="0"/>
            </w:pPr>
            <w:r>
              <w:rPr>
                <w:b w:val="false"/>
                <w:bCs w:val="false"/>
                <w:sz w:val="20"/>
                <w:szCs w:val="20"/>
              </w:rPr>
              <w:t xml:space="preserve">Existing</w:t>
            </w:r>
          </w:p>
        </w:tc>
        <w:tc>
          <w:tcPr>
            <w:tcW w:type="dxa" w:w="4560"/>
            <w:tcMar>
              <w:top w:type="dxa" w:w="60"/>
              <w:left w:type="dxa" w:w="100"/>
              <w:bottom w:type="dxa" w:w="60"/>
              <w:right w:type="dxa" w:w="100"/>
            </w:tcMar>
          </w:tcPr>
          <w:p>
            <w:pPr>
              <w:spacing w:after="0"/>
            </w:pPr>
            <w:r>
              <w:rPr>
                <w:b w:val="false"/>
                <w:bCs w:val="false"/>
                <w:sz w:val="20"/>
                <w:szCs w:val="20"/>
              </w:rPr>
              <w:t xml:space="preserve">Clearance worksheet (Phase 5)</w:t>
            </w:r>
          </w:p>
        </w:tc>
      </w:tr>
      <w:tr>
        <w:trPr>
          <w:tblHeader w:val="false"/>
        </w:trPr>
        <w:tc>
          <w:tcPr>
            <w:tcW w:type="dxa" w:w="3300"/>
            <w:tcMar>
              <w:top w:type="dxa" w:w="60"/>
              <w:left w:type="dxa" w:w="100"/>
              <w:bottom w:type="dxa" w:w="60"/>
              <w:right w:type="dxa" w:w="100"/>
            </w:tcMar>
          </w:tcPr>
          <w:p>
            <w:pPr>
              <w:spacing w:after="0"/>
            </w:pPr>
            <w:r>
              <w:rPr>
                <w:b w:val="false"/>
                <w:bCs w:val="false"/>
                <w:sz w:val="20"/>
                <w:szCs w:val="20"/>
              </w:rPr>
              <w:t xml:space="preserve">dbo.fn_CostAnalysis</w:t>
            </w:r>
          </w:p>
        </w:tc>
        <w:tc>
          <w:tcPr>
            <w:tcW w:type="dxa" w:w="1500"/>
            <w:tcMar>
              <w:top w:type="dxa" w:w="60"/>
              <w:left w:type="dxa" w:w="100"/>
              <w:bottom w:type="dxa" w:w="60"/>
              <w:right w:type="dxa" w:w="100"/>
            </w:tcMar>
          </w:tcPr>
          <w:p>
            <w:pPr>
              <w:spacing w:after="0"/>
            </w:pPr>
            <w:r>
              <w:rPr>
                <w:b w:val="false"/>
                <w:bCs w:val="false"/>
                <w:sz w:val="20"/>
                <w:szCs w:val="20"/>
              </w:rPr>
              <w:t xml:space="preserve">Existing</w:t>
            </w:r>
          </w:p>
        </w:tc>
        <w:tc>
          <w:tcPr>
            <w:tcW w:type="dxa" w:w="4560"/>
            <w:tcMar>
              <w:top w:type="dxa" w:w="60"/>
              <w:left w:type="dxa" w:w="100"/>
              <w:bottom w:type="dxa" w:w="60"/>
              <w:right w:type="dxa" w:w="100"/>
            </w:tcMar>
          </w:tcPr>
          <w:p>
            <w:pPr>
              <w:spacing w:after="0"/>
            </w:pPr>
            <w:r>
              <w:rPr>
                <w:b w:val="false"/>
                <w:bCs w:val="false"/>
                <w:sz w:val="20"/>
                <w:szCs w:val="20"/>
              </w:rPr>
              <w:t xml:space="preserve">Cost analysis / 80% rule (A-8)</w:t>
            </w:r>
          </w:p>
        </w:tc>
      </w:tr>
    </w:tbl>
    <w:p>
      <w:pPr>
        <w:spacing w:after="120" w:before="0"/>
      </w:pPr>
      <w:r>
        <w:rPr>
          <w:sz w:val="22"/>
          <w:szCs w:val="22"/>
        </w:rPr>
        <w:t xml:space="preserve"/>
      </w:r>
    </w:p>
    <w:p>
      <w:pPr>
        <w:spacing w:after="120" w:before="0"/>
      </w:pPr>
      <w:r>
        <w:rPr>
          <w:sz w:val="22"/>
          <w:szCs w:val="22"/>
        </w:rPr>
        <w:t xml:space="preserve">Verification query:</w:t>
      </w:r>
    </w:p>
    <w:p>
      <w:pPr>
        <w:shd w:fill="F2F2F2" w:val="clear"/>
        <w:spacing w:after="0" w:before="40"/>
        <w:ind w:left="288" w:right="288"/>
      </w:pPr>
      <w:r>
        <w:rPr>
          <w:rFonts w:ascii="Consolas" w:cs="Consolas" w:eastAsia="Consolas" w:hAnsi="Consolas"/>
          <w:sz w:val="18"/>
          <w:szCs w:val="18"/>
        </w:rPr>
        <w:t xml:space="preserve">SELECT name, type_desc, create_date FROM sys.objects</w:t>
      </w:r>
    </w:p>
    <w:p>
      <w:pPr>
        <w:shd w:fill="F2F2F2" w:val="clear"/>
        <w:spacing w:after="0" w:before="0"/>
        <w:ind w:left="288" w:right="288"/>
      </w:pPr>
      <w:r>
        <w:rPr>
          <w:rFonts w:ascii="Consolas" w:cs="Consolas" w:eastAsia="Consolas" w:hAnsi="Consolas"/>
          <w:sz w:val="18"/>
          <w:szCs w:val="18"/>
        </w:rPr>
        <w:t xml:space="preserve">WHERE name IN ('usp_ReclaimStudentFromJenzabar', 'format_phone', 'format_ssn',</w:t>
      </w:r>
    </w:p>
    <w:p>
      <w:pPr>
        <w:shd w:fill="F2F2F2" w:val="clear"/>
        <w:spacing w:after="0" w:before="0"/>
        <w:ind w:left="288" w:right="288"/>
      </w:pPr>
      <w:r>
        <w:rPr>
          <w:rFonts w:ascii="Consolas" w:cs="Consolas" w:eastAsia="Consolas" w:hAnsi="Consolas"/>
          <w:sz w:val="18"/>
          <w:szCs w:val="18"/>
        </w:rPr>
        <w:t xml:space="preserve">               'Sp_GetFCWorksheetItems', 'fn_CostAnalysis')</w:t>
      </w:r>
    </w:p>
    <w:p>
      <w:pPr>
        <w:shd w:fill="F2F2F2" w:val="clear"/>
        <w:spacing w:after="0" w:before="0"/>
        <w:ind w:left="288" w:right="288"/>
      </w:pPr>
      <w:r>
        <w:rPr>
          <w:rFonts w:ascii="Consolas" w:cs="Consolas" w:eastAsia="Consolas" w:hAnsi="Consolas"/>
          <w:sz w:val="18"/>
          <w:szCs w:val="18"/>
        </w:rPr>
        <w:t xml:space="preserve">  AND schema_id = SCHEMA_ID('dbo')</w:t>
      </w:r>
    </w:p>
    <w:p>
      <w:pPr>
        <w:shd w:fill="F2F2F2" w:val="clear"/>
        <w:spacing w:after="160" w:before="0"/>
        <w:ind w:left="288" w:right="288"/>
      </w:pPr>
      <w:r>
        <w:rPr>
          <w:rFonts w:ascii="Consolas" w:cs="Consolas" w:eastAsia="Consolas" w:hAnsi="Consolas"/>
          <w:sz w:val="18"/>
          <w:szCs w:val="18"/>
        </w:rPr>
        <w:t xml:space="preserve">ORDER BY name;</w:t>
      </w:r>
    </w:p>
    <w:p>
      <w:pPr>
        <w:spacing w:after="120" w:before="0"/>
      </w:pPr>
      <w:r>
        <w:rPr>
          <w:sz w:val="22"/>
          <w:szCs w:val="22"/>
        </w:rPr>
        <w:t xml:space="preserve">Also required in schema dash: the tables created by migrations 001 through 005. Migration 005 (dash.ReclaimedStudent) is the only new one in this round.</w:t>
      </w:r>
    </w:p>
    <w:p>
      <w:pPr>
        <w:pStyle w:val="Heading1"/>
        <w:spacing w:after="160" w:before="360"/>
      </w:pPr>
      <w:r>
        <w:t xml:space="preserve">Appendix B — Decisions still open</w:t>
      </w:r>
    </w:p>
    <w:p>
      <w:pPr>
        <w:spacing w:after="120" w:before="0"/>
      </w:pPr>
      <w:r>
        <w:rPr>
          <w:sz w:val="22"/>
          <w:szCs w:val="22"/>
        </w:rPr>
        <w:t xml:space="preserve">None of these block the steps above, but each changes what gets built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00"/>
        <w:gridCol w:w="3260"/>
      </w:tblGrid>
      <w:tr>
        <w:trPr>
          <w:tblHeader/>
        </w:trPr>
        <w:tc>
          <w:tcPr>
            <w:tcW w:type="dxa" w:w="1000"/>
            <w:shd w:fill="E8E8E8" w:val="clear"/>
            <w:tcMar>
              <w:top w:type="dxa" w:w="60"/>
              <w:left w:type="dxa" w:w="100"/>
              <w:bottom w:type="dxa" w:w="60"/>
              <w:right w:type="dxa" w:w="100"/>
            </w:tcMar>
          </w:tcPr>
          <w:p>
            <w:pPr>
              <w:spacing w:after="0"/>
            </w:pPr>
            <w:r>
              <w:rPr>
                <w:b/>
                <w:bCs/>
                <w:sz w:val="20"/>
                <w:szCs w:val="20"/>
              </w:rPr>
              <w:t xml:space="preserve">Ref</w:t>
            </w:r>
          </w:p>
        </w:tc>
        <w:tc>
          <w:tcPr>
            <w:tcW w:type="dxa" w:w="5100"/>
            <w:shd w:fill="E8E8E8" w:val="clear"/>
            <w:tcMar>
              <w:top w:type="dxa" w:w="60"/>
              <w:left w:type="dxa" w:w="100"/>
              <w:bottom w:type="dxa" w:w="60"/>
              <w:right w:type="dxa" w:w="100"/>
            </w:tcMar>
          </w:tcPr>
          <w:p>
            <w:pPr>
              <w:spacing w:after="0"/>
            </w:pPr>
            <w:r>
              <w:rPr>
                <w:b/>
                <w:bCs/>
                <w:sz w:val="20"/>
                <w:szCs w:val="20"/>
              </w:rPr>
              <w:t xml:space="preserve">Question</w:t>
            </w:r>
          </w:p>
        </w:tc>
        <w:tc>
          <w:tcPr>
            <w:tcW w:type="dxa" w:w="3260"/>
            <w:shd w:fill="E8E8E8" w:val="clear"/>
            <w:tcMar>
              <w:top w:type="dxa" w:w="60"/>
              <w:left w:type="dxa" w:w="100"/>
              <w:bottom w:type="dxa" w:w="60"/>
              <w:right w:type="dxa" w:w="100"/>
            </w:tcMar>
          </w:tcPr>
          <w:p>
            <w:pPr>
              <w:spacing w:after="0"/>
            </w:pPr>
            <w:r>
              <w:rPr>
                <w:b/>
                <w:bCs/>
                <w:sz w:val="20"/>
                <w:szCs w:val="20"/>
              </w:rPr>
              <w:t xml:space="preserve">Why it matters</w:t>
            </w:r>
          </w:p>
        </w:tc>
      </w:tr>
      <w:tr>
        <w:trPr>
          <w:tblHeader w:val="false"/>
        </w:trPr>
        <w:tc>
          <w:tcPr>
            <w:tcW w:type="dxa" w:w="1000"/>
            <w:tcMar>
              <w:top w:type="dxa" w:w="60"/>
              <w:left w:type="dxa" w:w="100"/>
              <w:bottom w:type="dxa" w:w="60"/>
              <w:right w:type="dxa" w:w="100"/>
            </w:tcMar>
          </w:tcPr>
          <w:p>
            <w:pPr>
              <w:spacing w:after="0"/>
            </w:pPr>
            <w:r>
              <w:rPr>
                <w:b w:val="false"/>
                <w:bCs w:val="false"/>
                <w:sz w:val="20"/>
                <w:szCs w:val="20"/>
              </w:rPr>
              <w:t xml:space="preserve">R-Q8</w:t>
            </w:r>
          </w:p>
        </w:tc>
        <w:tc>
          <w:tcPr>
            <w:tcW w:type="dxa" w:w="5100"/>
            <w:tcMar>
              <w:top w:type="dxa" w:w="60"/>
              <w:left w:type="dxa" w:w="100"/>
              <w:bottom w:type="dxa" w:w="60"/>
              <w:right w:type="dxa" w:w="100"/>
            </w:tcMar>
          </w:tcPr>
          <w:p>
            <w:pPr>
              <w:spacing w:after="0"/>
            </w:pPr>
            <w:r>
              <w:rPr>
                <w:b w:val="false"/>
                <w:bCs w:val="false"/>
                <w:sz w:val="20"/>
                <w:szCs w:val="20"/>
              </w:rPr>
              <w:t xml:space="preserve">Browser print with a stylesheet, or a server-generated PDF?</w:t>
            </w:r>
          </w:p>
        </w:tc>
        <w:tc>
          <w:tcPr>
            <w:tcW w:type="dxa" w:w="3260"/>
            <w:tcMar>
              <w:top w:type="dxa" w:w="60"/>
              <w:left w:type="dxa" w:w="100"/>
              <w:bottom w:type="dxa" w:w="60"/>
              <w:right w:type="dxa" w:w="100"/>
            </w:tcMar>
          </w:tcPr>
          <w:p>
            <w:pPr>
              <w:spacing w:after="0"/>
            </w:pPr>
            <w:r>
              <w:rPr>
                <w:b w:val="false"/>
                <w:bCs w:val="false"/>
                <w:sz w:val="20"/>
                <w:szCs w:val="20"/>
              </w:rPr>
              <w:t xml:space="preserve">The former is shipped; the latter is roughly three more days.</w:t>
            </w:r>
          </w:p>
        </w:tc>
      </w:tr>
      <w:tr>
        <w:trPr>
          <w:tblHeader w:val="false"/>
        </w:trPr>
        <w:tc>
          <w:tcPr>
            <w:tcW w:type="dxa" w:w="1000"/>
            <w:tcMar>
              <w:top w:type="dxa" w:w="60"/>
              <w:left w:type="dxa" w:w="100"/>
              <w:bottom w:type="dxa" w:w="60"/>
              <w:right w:type="dxa" w:w="100"/>
            </w:tcMar>
          </w:tcPr>
          <w:p>
            <w:pPr>
              <w:spacing w:after="0"/>
            </w:pPr>
            <w:r>
              <w:rPr>
                <w:b w:val="false"/>
                <w:bCs w:val="false"/>
                <w:sz w:val="20"/>
                <w:szCs w:val="20"/>
              </w:rPr>
              <w:t xml:space="preserve">R-Q11</w:t>
            </w:r>
          </w:p>
        </w:tc>
        <w:tc>
          <w:tcPr>
            <w:tcW w:type="dxa" w:w="5100"/>
            <w:tcMar>
              <w:top w:type="dxa" w:w="60"/>
              <w:left w:type="dxa" w:w="100"/>
              <w:bottom w:type="dxa" w:w="60"/>
              <w:right w:type="dxa" w:w="100"/>
            </w:tcMar>
          </w:tcPr>
          <w:p>
            <w:pPr>
              <w:spacing w:after="0"/>
            </w:pPr>
            <w:r>
              <w:rPr>
                <w:b w:val="false"/>
                <w:bCs w:val="false"/>
                <w:sz w:val="20"/>
                <w:szCs w:val="20"/>
              </w:rPr>
              <w:t xml:space="preserve">Should R1 cover any active student record, or only those enrolled or cleared this term?</w:t>
            </w:r>
          </w:p>
        </w:tc>
        <w:tc>
          <w:tcPr>
            <w:tcW w:type="dxa" w:w="3260"/>
            <w:tcMar>
              <w:top w:type="dxa" w:w="60"/>
              <w:left w:type="dxa" w:w="100"/>
              <w:bottom w:type="dxa" w:w="60"/>
              <w:right w:type="dxa" w:w="100"/>
            </w:tcMar>
          </w:tcPr>
          <w:p>
            <w:pPr>
              <w:spacing w:after="0"/>
            </w:pPr>
            <w:r>
              <w:rPr>
                <w:b w:val="false"/>
                <w:bCs w:val="false"/>
                <w:sz w:val="20"/>
                <w:szCs w:val="20"/>
              </w:rPr>
              <w:t xml:space="preserve">The wider reading catches bad codes on dormant records, but is a much larger query.</w:t>
            </w:r>
          </w:p>
        </w:tc>
      </w:tr>
      <w:tr>
        <w:trPr>
          <w:tblHeader w:val="false"/>
        </w:trPr>
        <w:tc>
          <w:tcPr>
            <w:tcW w:type="dxa" w:w="1000"/>
            <w:tcMar>
              <w:top w:type="dxa" w:w="60"/>
              <w:left w:type="dxa" w:w="100"/>
              <w:bottom w:type="dxa" w:w="60"/>
              <w:right w:type="dxa" w:w="100"/>
            </w:tcMar>
          </w:tcPr>
          <w:p>
            <w:pPr>
              <w:spacing w:after="0"/>
            </w:pPr>
            <w:r>
              <w:rPr>
                <w:b w:val="false"/>
                <w:bCs w:val="false"/>
                <w:sz w:val="20"/>
                <w:szCs w:val="20"/>
              </w:rPr>
              <w:t xml:space="preserve">R-Q12</w:t>
            </w:r>
          </w:p>
        </w:tc>
        <w:tc>
          <w:tcPr>
            <w:tcW w:type="dxa" w:w="5100"/>
            <w:tcMar>
              <w:top w:type="dxa" w:w="60"/>
              <w:left w:type="dxa" w:w="100"/>
              <w:bottom w:type="dxa" w:w="60"/>
              <w:right w:type="dxa" w:w="100"/>
            </w:tcMar>
          </w:tcPr>
          <w:p>
            <w:pPr>
              <w:spacing w:after="0"/>
            </w:pPr>
            <w:r>
              <w:rPr>
                <w:b w:val="false"/>
                <w:bCs w:val="false"/>
                <w:sz w:val="20"/>
                <w:szCs w:val="20"/>
              </w:rPr>
              <w:t xml:space="preserve">Should R1 link into Administration → Metadata to add an unrecognised code?</w:t>
            </w:r>
          </w:p>
        </w:tc>
        <w:tc>
          <w:tcPr>
            <w:tcW w:type="dxa" w:w="3260"/>
            <w:tcMar>
              <w:top w:type="dxa" w:w="60"/>
              <w:left w:type="dxa" w:w="100"/>
              <w:bottom w:type="dxa" w:w="60"/>
              <w:right w:type="dxa" w:w="100"/>
            </w:tcMar>
          </w:tcPr>
          <w:p>
            <w:pPr>
              <w:spacing w:after="0"/>
            </w:pPr>
            <w:r>
              <w:rPr>
                <w:b w:val="false"/>
                <w:bCs w:val="false"/>
                <w:sz w:val="20"/>
                <w:szCs w:val="20"/>
              </w:rPr>
              <w:t xml:space="preserve">Turns the report from a list into a fix.</w:t>
            </w:r>
          </w:p>
        </w:tc>
      </w:tr>
      <w:tr>
        <w:trPr>
          <w:tblHeader w:val="false"/>
        </w:trPr>
        <w:tc>
          <w:tcPr>
            <w:tcW w:type="dxa" w:w="1000"/>
            <w:tcMar>
              <w:top w:type="dxa" w:w="60"/>
              <w:left w:type="dxa" w:w="100"/>
              <w:bottom w:type="dxa" w:w="60"/>
              <w:right w:type="dxa" w:w="100"/>
            </w:tcMar>
          </w:tcPr>
          <w:p>
            <w:pPr>
              <w:spacing w:after="0"/>
            </w:pPr>
            <w:r>
              <w:rPr>
                <w:b w:val="false"/>
                <w:bCs w:val="false"/>
                <w:sz w:val="20"/>
                <w:szCs w:val="20"/>
              </w:rPr>
              <w:t xml:space="preserve">S-Q2</w:t>
            </w:r>
          </w:p>
        </w:tc>
        <w:tc>
          <w:tcPr>
            <w:tcW w:type="dxa" w:w="5100"/>
            <w:tcMar>
              <w:top w:type="dxa" w:w="60"/>
              <w:left w:type="dxa" w:w="100"/>
              <w:bottom w:type="dxa" w:w="60"/>
              <w:right w:type="dxa" w:w="100"/>
            </w:tcMar>
          </w:tcPr>
          <w:p>
            <w:pPr>
              <w:spacing w:after="0"/>
            </w:pPr>
            <w:r>
              <w:rPr>
                <w:b w:val="false"/>
                <w:bCs w:val="false"/>
                <w:sz w:val="20"/>
                <w:szCs w:val="20"/>
              </w:rPr>
              <w:t xml:space="preserve">Should the address-code finding feed back into the loader's WHERE clause?</w:t>
            </w:r>
          </w:p>
        </w:tc>
        <w:tc>
          <w:tcPr>
            <w:tcW w:type="dxa" w:w="3260"/>
            <w:tcMar>
              <w:top w:type="dxa" w:w="60"/>
              <w:left w:type="dxa" w:w="100"/>
              <w:bottom w:type="dxa" w:w="60"/>
              <w:right w:type="dxa" w:w="100"/>
            </w:tcMar>
          </w:tcPr>
          <w:p>
            <w:pPr>
              <w:spacing w:after="0"/>
            </w:pPr>
            <w:r>
              <w:rPr>
                <w:b w:val="false"/>
                <w:bCs w:val="false"/>
                <w:sz w:val="20"/>
                <w:szCs w:val="20"/>
              </w:rPr>
              <w:t xml:space="preserve">Reclaiming one student at a time treats the symptom, not the cause.</w:t>
            </w:r>
          </w:p>
        </w:tc>
      </w:tr>
      <w:tr>
        <w:trPr>
          <w:tblHeader w:val="false"/>
        </w:trPr>
        <w:tc>
          <w:tcPr>
            <w:tcW w:type="dxa" w:w="1000"/>
            <w:tcMar>
              <w:top w:type="dxa" w:w="60"/>
              <w:left w:type="dxa" w:w="100"/>
              <w:bottom w:type="dxa" w:w="60"/>
              <w:right w:type="dxa" w:w="100"/>
            </w:tcMar>
          </w:tcPr>
          <w:p>
            <w:pPr>
              <w:spacing w:after="0"/>
            </w:pPr>
            <w:r>
              <w:rPr>
                <w:b w:val="false"/>
                <w:bCs w:val="false"/>
                <w:sz w:val="20"/>
                <w:szCs w:val="20"/>
              </w:rPr>
              <w:t xml:space="preserve">S-Q4</w:t>
            </w:r>
          </w:p>
        </w:tc>
        <w:tc>
          <w:tcPr>
            <w:tcW w:type="dxa" w:w="5100"/>
            <w:tcMar>
              <w:top w:type="dxa" w:w="60"/>
              <w:left w:type="dxa" w:w="100"/>
              <w:bottom w:type="dxa" w:w="60"/>
              <w:right w:type="dxa" w:w="100"/>
            </w:tcMar>
          </w:tcPr>
          <w:p>
            <w:pPr>
              <w:spacing w:after="0"/>
            </w:pPr>
            <w:r>
              <w:rPr>
                <w:b w:val="false"/>
                <w:bCs w:val="false"/>
                <w:sz w:val="20"/>
                <w:szCs w:val="20"/>
              </w:rPr>
              <w:t xml:space="preserve">Should reclaimed students with no address be excluded from the mail-merge exports?</w:t>
            </w:r>
          </w:p>
        </w:tc>
        <w:tc>
          <w:tcPr>
            <w:tcW w:type="dxa" w:w="3260"/>
            <w:tcMar>
              <w:top w:type="dxa" w:w="60"/>
              <w:left w:type="dxa" w:w="100"/>
              <w:bottom w:type="dxa" w:w="60"/>
              <w:right w:type="dxa" w:w="100"/>
            </w:tcMar>
          </w:tcPr>
          <w:p>
            <w:pPr>
              <w:spacing w:after="0"/>
            </w:pPr>
            <w:r>
              <w:rPr>
                <w:b w:val="false"/>
                <w:bCs w:val="false"/>
                <w:sz w:val="20"/>
                <w:szCs w:val="20"/>
              </w:rPr>
              <w:t xml:space="preserve">A record with a blank address cannot receive a letter, but would export as though it could.</w:t>
            </w:r>
          </w:p>
        </w:tc>
      </w:tr>
      <w:tr>
        <w:trPr>
          <w:tblHeader w:val="false"/>
        </w:trPr>
        <w:tc>
          <w:tcPr>
            <w:tcW w:type="dxa" w:w="1000"/>
            <w:tcMar>
              <w:top w:type="dxa" w:w="60"/>
              <w:left w:type="dxa" w:w="100"/>
              <w:bottom w:type="dxa" w:w="60"/>
              <w:right w:type="dxa" w:w="100"/>
            </w:tcMar>
          </w:tcPr>
          <w:p>
            <w:pPr>
              <w:spacing w:after="0"/>
            </w:pPr>
            <w:r>
              <w:rPr>
                <w:b w:val="false"/>
                <w:bCs w:val="false"/>
                <w:sz w:val="20"/>
                <w:szCs w:val="20"/>
              </w:rPr>
              <w:t xml:space="preserve">S-Q6</w:t>
            </w:r>
          </w:p>
        </w:tc>
        <w:tc>
          <w:tcPr>
            <w:tcW w:type="dxa" w:w="5100"/>
            <w:tcMar>
              <w:top w:type="dxa" w:w="60"/>
              <w:left w:type="dxa" w:w="100"/>
              <w:bottom w:type="dxa" w:w="60"/>
              <w:right w:type="dxa" w:w="100"/>
            </w:tcMar>
          </w:tcPr>
          <w:p>
            <w:pPr>
              <w:spacing w:after="0"/>
            </w:pPr>
            <w:r>
              <w:rPr>
                <w:b w:val="false"/>
                <w:bCs w:val="false"/>
                <w:sz w:val="20"/>
                <w:szCs w:val="20"/>
              </w:rPr>
              <w:t xml:space="preserve">Is tblStudent.pid IDENTITY or defaulted?</w:t>
            </w:r>
          </w:p>
        </w:tc>
        <w:tc>
          <w:tcPr>
            <w:tcW w:type="dxa" w:w="3260"/>
            <w:tcMar>
              <w:top w:type="dxa" w:w="60"/>
              <w:left w:type="dxa" w:w="100"/>
              <w:bottom w:type="dxa" w:w="60"/>
              <w:right w:type="dxa" w:w="100"/>
            </w:tcMar>
          </w:tcPr>
          <w:p>
            <w:pPr>
              <w:spacing w:after="0"/>
            </w:pPr>
            <w:r>
              <w:rPr>
                <w:b w:val="false"/>
                <w:bCs w:val="false"/>
                <w:sz w:val="20"/>
                <w:szCs w:val="20"/>
              </w:rPr>
              <w:t xml:space="preserve">Blocks step 6 if neither. See 6a.</w:t>
            </w:r>
          </w:p>
        </w:tc>
      </w:tr>
    </w:tbl>
    <w:p>
      <w:pPr>
        <w:spacing w:after="200" w:before="0"/>
      </w:pPr>
      <w:r>
        <w:rPr>
          <w:sz w:val="22"/>
          <w:szCs w:val="22"/>
        </w:rPr>
        <w:t xml:space="preserve"/>
      </w:r>
    </w:p>
    <w:p>
      <w:pPr>
        <w:spacing w:after="120" w:before="0"/>
      </w:pPr>
      <w:r>
        <w:rPr>
          <w:sz w:val="22"/>
          <w:szCs w:val="22"/>
        </w:rPr>
        <w:t xml:space="preserve">Full detail for the report work is in docs/REPORTS-PLAN.md; for the reclaim work, docs/STUDENT-RECLAIM-PLAN.md. Signed decisions are recorded in ASSUMPTIONS.md as A-30, A-31 and A-32.</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Steps: Report Catalog and Student Reclaim</dc:title>
  <dc:creator>JADI Dashboard</dc:creator>
  <cp:lastModifiedBy>Un-named</cp:lastModifiedBy>
  <cp:revision>1</cp:revision>
  <dcterms:created xsi:type="dcterms:W3CDTF">2026-09-29T23:56:15.674Z</dcterms:created>
  <dcterms:modified xsi:type="dcterms:W3CDTF">2026-09-29T23:56:15.684Z</dcterms:modified>
</cp:coreProperties>
</file>

<file path=docProps/custom.xml><?xml version="1.0" encoding="utf-8"?>
<Properties xmlns="http://schemas.openxmlformats.org/officeDocument/2006/custom-properties" xmlns:vt="http://schemas.openxmlformats.org/officeDocument/2006/docPropsVTypes"/>
</file>