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32"/>
        </w:rPr>
        <w:t>Response to Reviewers</w:t>
      </w:r>
    </w:p>
    <w:p>
      <w:r>
        <w:rPr>
          <w:rFonts w:ascii="Times New Roman" w:hAnsi="Times New Roman"/>
          <w:b/>
          <w:i w:val="0"/>
          <w:color w:val="000000"/>
          <w:sz w:val="22"/>
        </w:rPr>
        <w:t>IEEE Access Manuscript:</w:t>
      </w:r>
      <w:r>
        <w:rPr>
          <w:rFonts w:ascii="Times New Roman" w:hAnsi="Times New Roman"/>
          <w:b w:val="0"/>
          <w:i w:val="0"/>
          <w:color w:val="000000"/>
          <w:sz w:val="22"/>
        </w:rPr>
        <w:t xml:space="preserve"> Access-2026-06416 </w:t>
      </w:r>
      <w:r>
        <w:rPr>
          <w:rFonts w:ascii="Times New Roman" w:hAnsi="Times New Roman"/>
          <w:b/>
          <w:i w:val="0"/>
          <w:color w:val="000000"/>
          <w:sz w:val="22"/>
        </w:rPr>
        <w:t>Title:</w:t>
      </w:r>
      <w:r>
        <w:rPr>
          <w:rFonts w:ascii="Times New Roman" w:hAnsi="Times New Roman"/>
          <w:b w:val="0"/>
          <w:i w:val="0"/>
          <w:color w:val="000000"/>
          <w:sz w:val="22"/>
        </w:rPr>
        <w:t xml:space="preserve"> A Time-Aware Evaluation Framework for Real-Time GPS Spoofing Detection in UAV-Based Power System Monitoring </w:t>
      </w:r>
      <w:r>
        <w:rPr>
          <w:rFonts w:ascii="Times New Roman" w:hAnsi="Times New Roman"/>
          <w:b/>
          <w:i w:val="0"/>
          <w:color w:val="000000"/>
          <w:sz w:val="22"/>
        </w:rPr>
        <w:t>Authors:</w:t>
      </w:r>
      <w:r>
        <w:rPr>
          <w:rFonts w:ascii="Times New Roman" w:hAnsi="Times New Roman"/>
          <w:b w:val="0"/>
          <w:i w:val="0"/>
          <w:color w:val="000000"/>
          <w:sz w:val="22"/>
        </w:rPr>
        <w:t xml:space="preserve"> Bingye Zhang et al. </w:t>
      </w:r>
      <w:r>
        <w:rPr>
          <w:rFonts w:ascii="Times New Roman" w:hAnsi="Times New Roman"/>
          <w:b/>
          <w:i w:val="0"/>
          <w:color w:val="000000"/>
          <w:sz w:val="22"/>
        </w:rPr>
        <w:t>Date:</w:t>
      </w:r>
      <w:r>
        <w:rPr>
          <w:rFonts w:ascii="Times New Roman" w:hAnsi="Times New Roman"/>
          <w:b w:val="0"/>
          <w:i w:val="0"/>
          <w:color w:val="000000"/>
          <w:sz w:val="22"/>
        </w:rPr>
        <w:t xml:space="preserve"> May 2026</w:t>
      </w:r>
    </w:p>
    <w:p/>
    <w:p>
      <w:r>
        <w:rPr>
          <w:rFonts w:ascii="Times New Roman" w:hAnsi="Times New Roman"/>
          <w:b w:val="0"/>
          <w:i w:val="0"/>
          <w:color w:val="000000"/>
          <w:sz w:val="22"/>
        </w:rPr>
        <w:t>The Associate Editor and all four reviewers raised substantive concerns that this revision addresses in full. We thank them for the careful reading. Throughout this letter we embed the relevant tables and figures inline so that each response is self-contained; all corresponding changes in the manuscript are highlighted in yellow in the attached revision PDF.</w:t>
      </w:r>
    </w:p>
    <w:p>
      <w:r>
        <w:rPr>
          <w:rFonts w:ascii="Times New Roman" w:hAnsi="Times New Roman"/>
          <w:b/>
          <w:i w:val="0"/>
          <w:color w:val="000000"/>
          <w:sz w:val="26"/>
        </w:rPr>
        <w:t>Summary of major changes</w:t>
      </w:r>
    </w:p>
    <w:p>
      <w:pPr>
        <w:pStyle w:val="ListNumber"/>
      </w:pPr>
      <w:r>
        <w:rPr>
          <w:rFonts w:ascii="Times New Roman" w:hAnsi="Times New Roman"/>
          <w:b/>
          <w:i w:val="0"/>
          <w:color w:val="000000"/>
          <w:sz w:val="22"/>
        </w:rPr>
        <w:t>Experimental foundation rebuilt.</w:t>
      </w:r>
      <w:r>
        <w:rPr>
          <w:rFonts w:ascii="Times New Roman" w:hAnsi="Times New Roman"/>
          <w:b w:val="0"/>
          <w:i w:val="0"/>
          <w:color w:val="000000"/>
          <w:sz w:val="22"/>
        </w:rPr>
        <w:t xml:space="preserve"> The PX4 SITL dataset (209 flights, with a TimeGAN augmentation policy that contaminated the test split) is replaced by 3,000 MATLAB UAV Toolbox flights (1,800 train / 600 val / 600 test; 229 attacked per split). TimeGAN augmentation is now applied to the training split only; validation and test splits are strictly isolated from synthetic data and a runtime assertion enforces this.</w:t>
      </w:r>
    </w:p>
    <w:p>
      <w:pPr>
        <w:pStyle w:val="ListNumber"/>
      </w:pPr>
      <w:r>
        <w:rPr>
          <w:rFonts w:ascii="Times New Roman" w:hAnsi="Times New Roman"/>
          <w:b/>
          <w:i w:val="0"/>
          <w:color w:val="000000"/>
          <w:sz w:val="22"/>
        </w:rPr>
        <w:t>Zero-shot real-world evaluation added.</w:t>
      </w:r>
      <w:r>
        <w:rPr>
          <w:rFonts w:ascii="Times New Roman" w:hAnsi="Times New Roman"/>
          <w:b w:val="0"/>
          <w:i w:val="0"/>
          <w:color w:val="000000"/>
          <w:sz w:val="22"/>
        </w:rPr>
        <w:t xml:space="preserve"> All MATLAB-trained checkpoints are evaluated without fine-tuning on the IEEE DataPort UAV Attack Dataset (live HackRF spoofing on a Holybro S500 plus four PX4-SITL airframes) and on the ALFA Carbon-Z fixed-wing dataset.</w:t>
      </w:r>
    </w:p>
    <w:p>
      <w:pPr>
        <w:pStyle w:val="ListNumber"/>
      </w:pPr>
      <w:r>
        <w:rPr>
          <w:rFonts w:ascii="Times New Roman" w:hAnsi="Times New Roman"/>
          <w:b/>
          <w:i w:val="0"/>
          <w:color w:val="000000"/>
          <w:sz w:val="22"/>
        </w:rPr>
        <w:t>5 seeds × 1,000-iteration bootstrap CI throughout, with paired t-tests.</w:t>
      </w:r>
      <w:r>
        <w:rPr>
          <w:rFonts w:ascii="Times New Roman" w:hAnsi="Times New Roman"/>
          <w:b w:val="0"/>
          <w:i w:val="0"/>
          <w:color w:val="000000"/>
          <w:sz w:val="22"/>
        </w:rPr>
        <w:t xml:space="preserve"> Every table column reports mean ± 95% CI; pairwise paired </w:t>
      </w:r>
      <w:r>
        <w:rPr>
          <w:rFonts w:ascii="Times New Roman" w:hAnsi="Times New Roman"/>
          <w:b w:val="0"/>
          <w:i/>
          <w:color w:val="000000"/>
          <w:sz w:val="22"/>
        </w:rPr>
        <w:t>t</w:t>
      </w:r>
      <w:r>
        <w:rPr>
          <w:rFonts w:ascii="Times New Roman" w:hAnsi="Times New Roman"/>
          <w:b w:val="0"/>
          <w:i w:val="0"/>
          <w:color w:val="000000"/>
          <w:sz w:val="22"/>
        </w:rPr>
        <w:t>-tests with Bonferroni correction are reported for DR@5s.</w:t>
      </w:r>
    </w:p>
    <w:p>
      <w:pPr>
        <w:pStyle w:val="ListNumber"/>
      </w:pPr>
      <w:r>
        <w:rPr>
          <w:rFonts w:ascii="Times New Roman" w:hAnsi="Times New Roman"/>
          <w:b/>
          <w:i w:val="0"/>
          <w:color w:val="000000"/>
          <w:sz w:val="22"/>
        </w:rPr>
        <w:t>Ablation studies added.</w:t>
      </w:r>
      <w:r>
        <w:rPr>
          <w:rFonts w:ascii="Times New Roman" w:hAnsi="Times New Roman"/>
          <w:b w:val="0"/>
          <w:i w:val="0"/>
          <w:color w:val="000000"/>
          <w:sz w:val="22"/>
        </w:rPr>
        <w:t xml:space="preserve"> Window size </w:t>
      </w:r>
      <w:r>
        <w:rPr>
          <w:rFonts w:ascii="Times New Roman" w:hAnsi="Times New Roman"/>
          <w:b w:val="0"/>
          <w:i/>
          <w:color w:val="000000"/>
          <w:sz w:val="22"/>
        </w:rPr>
        <w:t>L</w:t>
      </w:r>
      <w:r>
        <w:rPr>
          <w:rFonts w:ascii="Times New Roman" w:hAnsi="Times New Roman"/>
          <w:b w:val="0"/>
          <w:i w:val="0"/>
          <w:color w:val="000000"/>
          <w:sz w:val="22"/>
        </w:rPr>
        <w:t xml:space="preserve"> ∈ {30, 50, 80}, step size </w:t>
      </w:r>
      <w:r>
        <w:rPr>
          <w:rFonts w:ascii="Times New Roman" w:hAnsi="Times New Roman"/>
          <w:b w:val="0"/>
          <w:i/>
          <w:color w:val="000000"/>
          <w:sz w:val="22"/>
        </w:rPr>
        <w:t>S</w:t>
      </w:r>
      <w:r>
        <w:rPr>
          <w:rFonts w:ascii="Times New Roman" w:hAnsi="Times New Roman"/>
          <w:b w:val="0"/>
          <w:i w:val="0"/>
          <w:color w:val="000000"/>
          <w:sz w:val="22"/>
        </w:rPr>
        <w:t xml:space="preserve"> ∈ {3, 5, 10}, threshold sensitivity, and per-attack-type performance.</w:t>
      </w:r>
    </w:p>
    <w:p>
      <w:pPr>
        <w:pStyle w:val="ListNumber"/>
      </w:pPr>
      <w:r>
        <w:rPr>
          <w:rFonts w:ascii="Times New Roman" w:hAnsi="Times New Roman"/>
          <w:b/>
          <w:i w:val="0"/>
          <w:color w:val="000000"/>
          <w:sz w:val="22"/>
        </w:rPr>
        <w:t>Framework novelty distinguished from prior work.</w:t>
      </w:r>
      <w:r>
        <w:rPr>
          <w:rFonts w:ascii="Times New Roman" w:hAnsi="Times New Roman"/>
          <w:b w:val="0"/>
          <w:i w:val="0"/>
          <w:color w:val="000000"/>
          <w:sz w:val="22"/>
        </w:rPr>
        <w:t xml:space="preserve"> A new subsection separates our contributions from Tatbul et al., NAB, and classical IDS metrics on four axes.</w:t>
      </w:r>
    </w:p>
    <w:p>
      <w:pPr>
        <w:pStyle w:val="ListNumber"/>
      </w:pPr>
      <w:r>
        <w:rPr>
          <w:rFonts w:ascii="Times New Roman" w:hAnsi="Times New Roman"/>
          <w:b/>
          <w:i w:val="0"/>
          <w:color w:val="000000"/>
          <w:sz w:val="22"/>
        </w:rPr>
        <w:t>Deployability thresholds rederived from UAV risk analysis.</w:t>
      </w:r>
      <w:r>
        <w:rPr>
          <w:rFonts w:ascii="Times New Roman" w:hAnsi="Times New Roman"/>
          <w:b w:val="0"/>
          <w:i w:val="0"/>
          <w:color w:val="000000"/>
          <w:sz w:val="22"/>
        </w:rPr>
        <w:t xml:space="preserve"> DR@5s ≥ 85% is now derived from the UAV's cruise speed, the 5 s detection budget, and the GB 26860-2011 safety distance. Domain analogies are retained only as supporting evidence.</w:t>
      </w:r>
    </w:p>
    <w:p>
      <w:pPr>
        <w:pStyle w:val="ListNumber"/>
      </w:pPr>
      <w:r>
        <w:rPr>
          <w:rFonts w:ascii="Times New Roman" w:hAnsi="Times New Roman"/>
          <w:b/>
          <w:i w:val="0"/>
          <w:color w:val="000000"/>
          <w:sz w:val="22"/>
        </w:rPr>
        <w:t>Notation table and FP aggregation worked example added.</w:t>
      </w:r>
    </w:p>
    <w:p>
      <w:pPr>
        <w:pStyle w:val="ListNumber"/>
      </w:pPr>
      <w:r>
        <w:rPr>
          <w:rFonts w:ascii="Times New Roman" w:hAnsi="Times New Roman"/>
          <w:b/>
          <w:i w:val="0"/>
          <w:color w:val="000000"/>
          <w:sz w:val="22"/>
        </w:rPr>
        <w:t>Section V reframed as Case Study; Section VI (Discussion) added</w:t>
      </w:r>
      <w:r>
        <w:rPr>
          <w:rFonts w:ascii="Times New Roman" w:hAnsi="Times New Roman"/>
          <w:b w:val="0"/>
          <w:i w:val="0"/>
          <w:color w:val="000000"/>
          <w:sz w:val="22"/>
        </w:rPr>
        <w:t xml:space="preserve"> with subsections on framework generality, cross-distribution evaluation, and limitations.</w:t>
      </w:r>
    </w:p>
    <w:p>
      <w:pPr>
        <w:pStyle w:val="ListNumber"/>
      </w:pPr>
      <w:r>
        <w:rPr>
          <w:rFonts w:ascii="Times New Roman" w:hAnsi="Times New Roman"/>
          <w:b/>
          <w:i w:val="0"/>
          <w:color w:val="000000"/>
          <w:sz w:val="22"/>
        </w:rPr>
        <w:t>References cleaned up.</w:t>
      </w:r>
      <w:r>
        <w:rPr>
          <w:rFonts w:ascii="Times New Roman" w:hAnsi="Times New Roman"/>
          <w:b w:val="0"/>
          <w:i w:val="0"/>
          <w:color w:val="000000"/>
          <w:sz w:val="22"/>
        </w:rPr>
        <w:t xml:space="preserve"> ref27, ref31, ref33 removed; ref30 and ref32 retained with full bibliographic detail; ref34 (Alhoraibi et al. </w:t>
      </w:r>
      <w:r>
        <w:rPr>
          <w:rFonts w:ascii="Times New Roman" w:hAnsi="Times New Roman"/>
          <w:b w:val="0"/>
          <w:i/>
          <w:color w:val="000000"/>
          <w:sz w:val="22"/>
        </w:rPr>
        <w:t>Sensors</w:t>
      </w:r>
      <w:r>
        <w:rPr>
          <w:rFonts w:ascii="Times New Roman" w:hAnsi="Times New Roman"/>
          <w:b w:val="0"/>
          <w:i w:val="0"/>
          <w:color w:val="000000"/>
          <w:sz w:val="22"/>
        </w:rPr>
        <w:t xml:space="preserve"> 2024), ref35 (Niu et al. </w:t>
      </w:r>
      <w:r>
        <w:rPr>
          <w:rFonts w:ascii="Times New Roman" w:hAnsi="Times New Roman"/>
          <w:b w:val="0"/>
          <w:i/>
          <w:color w:val="000000"/>
          <w:sz w:val="22"/>
        </w:rPr>
        <w:t>Adv. Space Res.</w:t>
      </w:r>
      <w:r>
        <w:rPr>
          <w:rFonts w:ascii="Times New Roman" w:hAnsi="Times New Roman"/>
          <w:b w:val="0"/>
          <w:i w:val="0"/>
          <w:color w:val="000000"/>
          <w:sz w:val="22"/>
        </w:rPr>
        <w:t xml:space="preserve"> 2024), ref36, ref38 added.</w:t>
      </w:r>
    </w:p>
    <w:p/>
    <w:p>
      <w:r>
        <w:rPr>
          <w:rFonts w:ascii="Times New Roman" w:hAnsi="Times New Roman"/>
          <w:b/>
          <w:i w:val="0"/>
          <w:color w:val="000000"/>
          <w:sz w:val="26"/>
        </w:rPr>
        <w:t>Reviewer 1</w:t>
      </w:r>
    </w:p>
    <w:p>
      <w:r>
        <w:rPr>
          <w:rFonts w:ascii="Times New Roman" w:hAnsi="Times New Roman"/>
          <w:b/>
          <w:i w:val="0"/>
          <w:color w:val="B43C3C"/>
          <w:sz w:val="22"/>
        </w:rPr>
        <w:t>[Reviewer 1, Comment 1]</w:t>
      </w:r>
    </w:p>
    <w:p>
      <w:pPr>
        <w:ind w:left="576"/>
      </w:pPr>
      <w:r>
        <w:rPr>
          <w:rFonts w:ascii="Times New Roman" w:hAnsi="Times New Roman"/>
          <w:b w:val="0"/>
          <w:i/>
          <w:color w:val="000000"/>
          <w:sz w:val="22"/>
        </w:rPr>
        <w:t>"The test dataset is contaminated by TimeGAN augmentation. TimeGAN is trained on the entire 209-flight dataset before splitting, violating evaluation independence. This fundamentally undermines the reported results."</w:t>
      </w:r>
    </w:p>
    <w:p>
      <w:r>
        <w:rPr>
          <w:rFonts w:ascii="Times New Roman" w:hAnsi="Times New Roman"/>
          <w:b/>
          <w:i w:val="0"/>
          <w:color w:val="000000"/>
          <w:sz w:val="22"/>
        </w:rPr>
        <w:t>Response:</w:t>
      </w:r>
      <w:r>
        <w:rPr>
          <w:rFonts w:ascii="Times New Roman" w:hAnsi="Times New Roman"/>
          <w:b w:val="0"/>
          <w:i w:val="0"/>
          <w:color w:val="000000"/>
          <w:sz w:val="22"/>
        </w:rPr>
        <w:t xml:space="preserve"> The reviewer's diagnosis is correct, and the experimental foundation has been completely rebuilt. The new primary dataset is generated by the MATLAB UAV Toolbox (3,000 independent flights at 5 m/s cruise) under a strict train-only augmentation policy: TimeGAN is fitted on training-flight identifiers only, all generated synthetic windows inherit those training identifiers, and a runtime assertion in the data loader rejects any pipeline configuration that would route a TimeGAN-generated window into the validation or test split. The PX4 SITL dataset and all results derived from it have been removed.</w:t>
      </w:r>
    </w:p>
    <w:p>
      <w:r>
        <w:rPr>
          <w:rFonts w:ascii="Times New Roman" w:hAnsi="Times New Roman"/>
          <w:b w:val="0"/>
          <w:i w:val="0"/>
          <w:color w:val="000000"/>
          <w:sz w:val="22"/>
        </w:rPr>
        <w:t>The augmentation isolation pipeline is structured as follows:</w:t>
      </w:r>
    </w:p>
    <w:p>
      <w:pPr>
        <w:jc w:val="center"/>
      </w:pPr>
      <w:r>
        <w:drawing>
          <wp:inline xmlns:a="http://schemas.openxmlformats.org/drawingml/2006/main" xmlns:pic="http://schemas.openxmlformats.org/drawingml/2006/picture">
            <wp:extent cx="5029200" cy="2301551"/>
            <wp:docPr id="1" name="Picture 1"/>
            <wp:cNvGraphicFramePr>
              <a:graphicFrameLocks noChangeAspect="1"/>
            </wp:cNvGraphicFramePr>
            <a:graphic>
              <a:graphicData uri="http://schemas.openxmlformats.org/drawingml/2006/picture">
                <pic:pic>
                  <pic:nvPicPr>
                    <pic:cNvPr id="0" name="timegan_isolation.png"/>
                    <pic:cNvPicPr/>
                  </pic:nvPicPr>
                  <pic:blipFill>
                    <a:blip r:embed="rId9"/>
                    <a:stretch>
                      <a:fillRect/>
                    </a:stretch>
                  </pic:blipFill>
                  <pic:spPr>
                    <a:xfrm>
                      <a:off x="0" y="0"/>
                      <a:ext cx="5029200" cy="2301551"/>
                    </a:xfrm>
                    <a:prstGeom prst="rect"/>
                  </pic:spPr>
                </pic:pic>
              </a:graphicData>
            </a:graphic>
          </wp:inline>
        </w:drawing>
      </w:r>
    </w:p>
    <w:p>
      <w:pPr>
        <w:jc w:val="center"/>
      </w:pPr>
      <w:r>
        <w:rPr>
          <w:rFonts w:ascii="Times New Roman" w:hAnsi="Times New Roman"/>
          <w:b w:val="0"/>
          <w:i/>
          <w:color w:val="000000"/>
          <w:sz w:val="18"/>
        </w:rPr>
        <w:t>Augmentation isolation pipeline</w:t>
      </w:r>
    </w:p>
    <w:p>
      <w:r>
        <w:rPr>
          <w:rFonts w:ascii="Times New Roman" w:hAnsi="Times New Roman"/>
          <w:b w:val="0"/>
          <w:i w:val="0"/>
          <w:color w:val="000000"/>
          <w:sz w:val="22"/>
        </w:rPr>
        <w:t xml:space="preserve">The corresponding guard in </w:t>
      </w:r>
      <w:r>
        <w:rPr>
          <w:rFonts w:ascii="Consolas" w:hAnsi="Consolas"/>
          <w:b w:val="0"/>
          <w:i w:val="0"/>
          <w:color w:val="000000"/>
          <w:sz w:val="20"/>
        </w:rPr>
        <w:t>python_pipeline/data_loader.py</w:t>
      </w:r>
      <w:r>
        <w:rPr>
          <w:rFonts w:ascii="Times New Roman" w:hAnsi="Times New Roman"/>
          <w:b w:val="0"/>
          <w:i w:val="0"/>
          <w:color w:val="000000"/>
          <w:sz w:val="22"/>
        </w:rPr>
        <w:t xml:space="preserve"> is:</w:t>
      </w:r>
    </w:p>
    <w:p>
      <w:pPr>
        <w:ind w:left="454"/>
      </w:pPr>
      <w:r>
        <w:rPr>
          <w:rFonts w:ascii="Consolas" w:hAnsi="Consolas"/>
          <w:color w:val="000000"/>
          <w:sz w:val="18"/>
        </w:rPr>
        <w:t>augmented_ids = set(timegan_records["flight_id"].unique())</w:t>
        <w:br/>
        <w:t>assert not (augmented_ids &amp; set(val_ids)), \</w:t>
        <w:br/>
        <w:t xml:space="preserve">    "augmentation leaked into validation split"</w:t>
        <w:br/>
        <w:t>assert not (augmented_ids &amp; set(test_ids)), \</w:t>
        <w:br/>
        <w:t xml:space="preserve">    "augmentation leaked into test split"</w:t>
      </w:r>
    </w:p>
    <w:p>
      <w:r>
        <w:rPr>
          <w:rFonts w:ascii="Times New Roman" w:hAnsi="Times New Roman"/>
          <w:b w:val="0"/>
          <w:i w:val="0"/>
          <w:color w:val="000000"/>
          <w:sz w:val="22"/>
        </w:rPr>
        <w:t>The new test set therefore contains only unaugmented MATLAB simulation flights, and every reported metric value derives from this clean partition.</w:t>
      </w:r>
    </w:p>
    <w:p>
      <w:r>
        <w:rPr>
          <w:rFonts w:ascii="Times New Roman" w:hAnsi="Times New Roman"/>
          <w:b/>
          <w:i w:val="0"/>
          <w:color w:val="0064B4"/>
          <w:sz w:val="22"/>
        </w:rPr>
        <w:t>Action:</w:t>
      </w:r>
      <w:r>
        <w:rPr>
          <w:rFonts w:ascii="Times New Roman" w:hAnsi="Times New Roman"/>
          <w:b w:val="0"/>
          <w:i w:val="0"/>
          <w:color w:val="0064B4"/>
          <w:sz w:val="22"/>
        </w:rPr>
        <w:t xml:space="preserve"> Section IV-A completely rewritten; the assertion is documented in prose and reproduced in the released code. The old TimeGAN configuration table (former Table I) has been removed.</w:t>
      </w:r>
    </w:p>
    <w:p>
      <w:r>
        <w:rPr>
          <w:rFonts w:ascii="Times New Roman" w:hAnsi="Times New Roman"/>
          <w:b/>
          <w:i w:val="0"/>
          <w:color w:val="B43C3C"/>
          <w:sz w:val="22"/>
        </w:rPr>
        <w:t>[Reviewer 1, Comment 2]</w:t>
      </w:r>
    </w:p>
    <w:p>
      <w:pPr>
        <w:ind w:left="576"/>
      </w:pPr>
      <w:r>
        <w:rPr>
          <w:rFonts w:ascii="Times New Roman" w:hAnsi="Times New Roman"/>
          <w:b w:val="0"/>
          <w:i/>
          <w:color w:val="000000"/>
          <w:sz w:val="22"/>
        </w:rPr>
        <w:t>"Only 17 attack instances in the test set is insufficient to support statistical conclusions for deep-learning baselines."</w:t>
      </w:r>
    </w:p>
    <w:p>
      <w:r>
        <w:rPr>
          <w:rFonts w:ascii="Times New Roman" w:hAnsi="Times New Roman"/>
          <w:b/>
          <w:i w:val="0"/>
          <w:color w:val="000000"/>
          <w:sz w:val="22"/>
        </w:rPr>
        <w:t>Response:</w:t>
      </w:r>
      <w:r>
        <w:rPr>
          <w:rFonts w:ascii="Times New Roman" w:hAnsi="Times New Roman"/>
          <w:b w:val="0"/>
          <w:i w:val="0"/>
          <w:color w:val="000000"/>
          <w:sz w:val="22"/>
        </w:rPr>
        <w:t xml:space="preserve"> The new test set contains 229 attacked flights, more than 13× the original count. Each attacked flight contributes roughly fifteen attack-bearing sliding windows, yielding approximately 3,400 attacked windows among 69,636 total test windows. The full split is summarised in the table below.</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Split</w:t>
            </w:r>
          </w:p>
        </w:tc>
        <w:tc>
          <w:tcPr>
            <w:tcW w:type="dxa" w:w="1881"/>
          </w:tcPr>
          <w:p>
            <w:r>
              <w:rPr>
                <w:rFonts w:ascii="Times New Roman" w:hAnsi="Times New Roman"/>
                <w:b/>
                <w:i w:val="0"/>
                <w:color w:val="000000"/>
                <w:sz w:val="22"/>
              </w:rPr>
              <w:t>Flights</w:t>
            </w:r>
          </w:p>
        </w:tc>
        <w:tc>
          <w:tcPr>
            <w:tcW w:type="dxa" w:w="1881"/>
          </w:tcPr>
          <w:p>
            <w:r>
              <w:rPr>
                <w:rFonts w:ascii="Times New Roman" w:hAnsi="Times New Roman"/>
                <w:b/>
                <w:i w:val="0"/>
                <w:color w:val="000000"/>
                <w:sz w:val="22"/>
              </w:rPr>
              <w:t>Attacked flights</w:t>
            </w:r>
          </w:p>
        </w:tc>
        <w:tc>
          <w:tcPr>
            <w:tcW w:type="dxa" w:w="1881"/>
          </w:tcPr>
          <w:p>
            <w:r>
              <w:rPr>
                <w:rFonts w:ascii="Times New Roman" w:hAnsi="Times New Roman"/>
                <w:b/>
                <w:i w:val="0"/>
                <w:color w:val="000000"/>
                <w:sz w:val="22"/>
              </w:rPr>
              <w:t>Attack windows</w:t>
            </w:r>
          </w:p>
        </w:tc>
        <w:tc>
          <w:tcPr>
            <w:tcW w:type="dxa" w:w="1881"/>
          </w:tcPr>
          <w:p>
            <w:r>
              <w:rPr>
                <w:rFonts w:ascii="Times New Roman" w:hAnsi="Times New Roman"/>
                <w:b/>
                <w:i w:val="0"/>
                <w:color w:val="000000"/>
                <w:sz w:val="22"/>
              </w:rPr>
              <w:t>Total sliding windows</w:t>
            </w:r>
          </w:p>
        </w:tc>
      </w:tr>
      <w:tr>
        <w:tc>
          <w:tcPr>
            <w:tcW w:type="dxa" w:w="1881"/>
          </w:tcPr>
          <w:p>
            <w:r>
              <w:rPr>
                <w:rFonts w:ascii="Times New Roman" w:hAnsi="Times New Roman"/>
                <w:b w:val="0"/>
                <w:i w:val="0"/>
                <w:color w:val="000000"/>
                <w:sz w:val="22"/>
              </w:rPr>
              <w:t>Train</w:t>
            </w:r>
          </w:p>
        </w:tc>
        <w:tc>
          <w:tcPr>
            <w:tcW w:type="dxa" w:w="1881"/>
          </w:tcPr>
          <w:p>
            <w:r>
              <w:rPr>
                <w:rFonts w:ascii="Times New Roman" w:hAnsi="Times New Roman"/>
                <w:b w:val="0"/>
                <w:i w:val="0"/>
                <w:color w:val="000000"/>
                <w:sz w:val="22"/>
              </w:rPr>
              <w:t>1,800</w:t>
            </w:r>
          </w:p>
        </w:tc>
        <w:tc>
          <w:tcPr>
            <w:tcW w:type="dxa" w:w="1881"/>
          </w:tcPr>
          <w:p>
            <w:r>
              <w:rPr>
                <w:rFonts w:ascii="Times New Roman" w:hAnsi="Times New Roman"/>
                <w:b w:val="0"/>
                <w:i w:val="0"/>
                <w:color w:val="000000"/>
                <w:sz w:val="22"/>
              </w:rPr>
              <w:t>687</w:t>
            </w:r>
          </w:p>
        </w:tc>
        <w:tc>
          <w:tcPr>
            <w:tcW w:type="dxa" w:w="1881"/>
          </w:tcPr>
          <w:p>
            <w:r>
              <w:rPr>
                <w:rFonts w:ascii="Times New Roman" w:hAnsi="Times New Roman"/>
                <w:b w:val="0"/>
                <w:i w:val="0"/>
                <w:color w:val="000000"/>
                <w:sz w:val="22"/>
              </w:rPr>
              <w:t>≈10,200</w:t>
            </w:r>
          </w:p>
        </w:tc>
        <w:tc>
          <w:tcPr>
            <w:tcW w:type="dxa" w:w="1881"/>
          </w:tcPr>
          <w:p>
            <w:r>
              <w:rPr>
                <w:rFonts w:ascii="Times New Roman" w:hAnsi="Times New Roman"/>
                <w:b w:val="0"/>
                <w:i w:val="0"/>
                <w:color w:val="000000"/>
                <w:sz w:val="22"/>
              </w:rPr>
              <w:t>208,908</w:t>
            </w:r>
          </w:p>
        </w:tc>
      </w:tr>
      <w:tr>
        <w:tc>
          <w:tcPr>
            <w:tcW w:type="dxa" w:w="1881"/>
          </w:tcPr>
          <w:p>
            <w:r>
              <w:rPr>
                <w:rFonts w:ascii="Times New Roman" w:hAnsi="Times New Roman"/>
                <w:b w:val="0"/>
                <w:i w:val="0"/>
                <w:color w:val="000000"/>
                <w:sz w:val="22"/>
              </w:rPr>
              <w:t>Val</w:t>
            </w:r>
          </w:p>
        </w:tc>
        <w:tc>
          <w:tcPr>
            <w:tcW w:type="dxa" w:w="1881"/>
          </w:tcPr>
          <w:p>
            <w:r>
              <w:rPr>
                <w:rFonts w:ascii="Times New Roman" w:hAnsi="Times New Roman"/>
                <w:b w:val="0"/>
                <w:i w:val="0"/>
                <w:color w:val="000000"/>
                <w:sz w:val="22"/>
              </w:rPr>
              <w:t>600</w:t>
            </w:r>
          </w:p>
        </w:tc>
        <w:tc>
          <w:tcPr>
            <w:tcW w:type="dxa" w:w="1881"/>
          </w:tcPr>
          <w:p>
            <w:r>
              <w:rPr>
                <w:rFonts w:ascii="Times New Roman" w:hAnsi="Times New Roman"/>
                <w:b w:val="0"/>
                <w:i w:val="0"/>
                <w:color w:val="000000"/>
                <w:sz w:val="22"/>
              </w:rPr>
              <w:t>229</w:t>
            </w:r>
          </w:p>
        </w:tc>
        <w:tc>
          <w:tcPr>
            <w:tcW w:type="dxa" w:w="1881"/>
          </w:tcPr>
          <w:p>
            <w:r>
              <w:rPr>
                <w:rFonts w:ascii="Times New Roman" w:hAnsi="Times New Roman"/>
                <w:b w:val="0"/>
                <w:i w:val="0"/>
                <w:color w:val="000000"/>
                <w:sz w:val="22"/>
              </w:rPr>
              <w:t>≈3,400</w:t>
            </w:r>
          </w:p>
        </w:tc>
        <w:tc>
          <w:tcPr>
            <w:tcW w:type="dxa" w:w="1881"/>
          </w:tcPr>
          <w:p>
            <w:r>
              <w:rPr>
                <w:rFonts w:ascii="Times New Roman" w:hAnsi="Times New Roman"/>
                <w:b w:val="0"/>
                <w:i w:val="0"/>
                <w:color w:val="000000"/>
                <w:sz w:val="22"/>
              </w:rPr>
              <w:t>69,636</w:t>
            </w:r>
          </w:p>
        </w:tc>
      </w:tr>
      <w:tr>
        <w:tc>
          <w:tcPr>
            <w:tcW w:type="dxa" w:w="1881"/>
          </w:tcPr>
          <w:p>
            <w:r>
              <w:rPr>
                <w:rFonts w:ascii="Times New Roman" w:hAnsi="Times New Roman"/>
                <w:b w:val="0"/>
                <w:i w:val="0"/>
                <w:color w:val="000000"/>
                <w:sz w:val="22"/>
              </w:rPr>
              <w:t>Test</w:t>
            </w:r>
          </w:p>
        </w:tc>
        <w:tc>
          <w:tcPr>
            <w:tcW w:type="dxa" w:w="1881"/>
          </w:tcPr>
          <w:p>
            <w:r>
              <w:rPr>
                <w:rFonts w:ascii="Times New Roman" w:hAnsi="Times New Roman"/>
                <w:b w:val="0"/>
                <w:i w:val="0"/>
                <w:color w:val="000000"/>
                <w:sz w:val="22"/>
              </w:rPr>
              <w:t>600</w:t>
            </w:r>
          </w:p>
        </w:tc>
        <w:tc>
          <w:tcPr>
            <w:tcW w:type="dxa" w:w="1881"/>
          </w:tcPr>
          <w:p>
            <w:r>
              <w:rPr>
                <w:rFonts w:ascii="Times New Roman" w:hAnsi="Times New Roman"/>
                <w:b w:val="0"/>
                <w:i w:val="0"/>
                <w:color w:val="000000"/>
                <w:sz w:val="22"/>
              </w:rPr>
              <w:t>229</w:t>
            </w:r>
          </w:p>
        </w:tc>
        <w:tc>
          <w:tcPr>
            <w:tcW w:type="dxa" w:w="1881"/>
          </w:tcPr>
          <w:p>
            <w:r>
              <w:rPr>
                <w:rFonts w:ascii="Times New Roman" w:hAnsi="Times New Roman"/>
                <w:b w:val="0"/>
                <w:i w:val="0"/>
                <w:color w:val="000000"/>
                <w:sz w:val="22"/>
              </w:rPr>
              <w:t>≈3,400</w:t>
            </w:r>
          </w:p>
        </w:tc>
        <w:tc>
          <w:tcPr>
            <w:tcW w:type="dxa" w:w="1881"/>
          </w:tcPr>
          <w:p>
            <w:r>
              <w:rPr>
                <w:rFonts w:ascii="Times New Roman" w:hAnsi="Times New Roman"/>
                <w:b w:val="0"/>
                <w:i w:val="0"/>
                <w:color w:val="000000"/>
                <w:sz w:val="22"/>
              </w:rPr>
              <w:t>69,636</w:t>
            </w:r>
          </w:p>
        </w:tc>
      </w:tr>
      <w:tr>
        <w:tc>
          <w:tcPr>
            <w:tcW w:type="dxa" w:w="1881"/>
          </w:tcPr>
          <w:p>
            <w:r>
              <w:rPr>
                <w:rFonts w:ascii="Times New Roman" w:hAnsi="Times New Roman"/>
                <w:b/>
                <w:i w:val="0"/>
                <w:color w:val="000000"/>
                <w:sz w:val="22"/>
              </w:rPr>
              <w:t>Total</w:t>
            </w:r>
          </w:p>
        </w:tc>
        <w:tc>
          <w:tcPr>
            <w:tcW w:type="dxa" w:w="1881"/>
          </w:tcPr>
          <w:p>
            <w:r>
              <w:rPr>
                <w:rFonts w:ascii="Times New Roman" w:hAnsi="Times New Roman"/>
                <w:b/>
                <w:i w:val="0"/>
                <w:color w:val="000000"/>
                <w:sz w:val="22"/>
              </w:rPr>
              <w:t>3,000</w:t>
            </w:r>
          </w:p>
        </w:tc>
        <w:tc>
          <w:tcPr>
            <w:tcW w:type="dxa" w:w="1881"/>
          </w:tcPr>
          <w:p>
            <w:r>
              <w:rPr>
                <w:rFonts w:ascii="Times New Roman" w:hAnsi="Times New Roman"/>
                <w:b/>
                <w:i w:val="0"/>
                <w:color w:val="000000"/>
                <w:sz w:val="22"/>
              </w:rPr>
              <w:t>1,145</w:t>
            </w:r>
          </w:p>
        </w:tc>
        <w:tc>
          <w:tcPr>
            <w:tcW w:type="dxa" w:w="1881"/>
          </w:tcPr>
          <w:p>
            <w:r>
              <w:rPr>
                <w:rFonts w:ascii="Times New Roman" w:hAnsi="Times New Roman"/>
                <w:b/>
                <w:i w:val="0"/>
                <w:color w:val="000000"/>
                <w:sz w:val="22"/>
              </w:rPr>
              <w:t>≈17,000</w:t>
            </w:r>
          </w:p>
        </w:tc>
        <w:tc>
          <w:tcPr>
            <w:tcW w:type="dxa" w:w="1881"/>
          </w:tcPr>
          <w:p>
            <w:r>
              <w:rPr>
                <w:rFonts w:ascii="Times New Roman" w:hAnsi="Times New Roman"/>
                <w:b/>
                <w:i w:val="0"/>
                <w:color w:val="000000"/>
                <w:sz w:val="22"/>
              </w:rPr>
              <w:t>348,180</w:t>
            </w:r>
          </w:p>
        </w:tc>
      </w:tr>
    </w:tbl>
    <w:p>
      <w:r>
        <w:rPr>
          <w:rFonts w:ascii="Times New Roman" w:hAnsi="Times New Roman"/>
          <w:b w:val="0"/>
          <w:i w:val="0"/>
          <w:color w:val="000000"/>
          <w:sz w:val="22"/>
        </w:rPr>
        <w:t xml:space="preserve">All metrics are reported as mean ± 95% CI computed over five independent random seeds (1,000-iteration percentile bootstrap), and pairwise paired </w:t>
      </w:r>
      <w:r>
        <w:rPr>
          <w:rFonts w:ascii="Times New Roman" w:hAnsi="Times New Roman"/>
          <w:b w:val="0"/>
          <w:i/>
          <w:color w:val="000000"/>
          <w:sz w:val="22"/>
        </w:rPr>
        <w:t>t</w:t>
      </w:r>
      <w:r>
        <w:rPr>
          <w:rFonts w:ascii="Times New Roman" w:hAnsi="Times New Roman"/>
          <w:b w:val="0"/>
          <w:i w:val="0"/>
          <w:color w:val="000000"/>
          <w:sz w:val="22"/>
        </w:rPr>
        <w:t>-tests with Bonferroni correction (see R1.5) confirm that the architectural differences are statistically significant despite the per-architecture variance contributed by seed sensitivity.</w:t>
      </w:r>
    </w:p>
    <w:p>
      <w:r>
        <w:rPr>
          <w:rFonts w:ascii="Times New Roman" w:hAnsi="Times New Roman"/>
          <w:b/>
          <w:i w:val="0"/>
          <w:color w:val="0064B4"/>
          <w:sz w:val="22"/>
        </w:rPr>
        <w:t>Action:</w:t>
      </w:r>
      <w:r>
        <w:rPr>
          <w:rFonts w:ascii="Times New Roman" w:hAnsi="Times New Roman"/>
          <w:b w:val="0"/>
          <w:i w:val="0"/>
          <w:color w:val="0064B4"/>
          <w:sz w:val="22"/>
        </w:rPr>
        <w:t xml:space="preserve"> Dataset scale is documented in Table I of Section IV-A. All result tables regenerated with CI columns.</w:t>
      </w:r>
    </w:p>
    <w:p>
      <w:r>
        <w:rPr>
          <w:rFonts w:ascii="Times New Roman" w:hAnsi="Times New Roman"/>
          <w:b/>
          <w:i w:val="0"/>
          <w:color w:val="B43C3C"/>
          <w:sz w:val="22"/>
        </w:rPr>
        <w:t>[Reviewer 1, Comment 3]</w:t>
      </w:r>
    </w:p>
    <w:p>
      <w:pPr>
        <w:ind w:left="576"/>
      </w:pPr>
      <w:r>
        <w:rPr>
          <w:rFonts w:ascii="Times New Roman" w:hAnsi="Times New Roman"/>
          <w:b w:val="0"/>
          <w:i/>
          <w:color w:val="000000"/>
          <w:sz w:val="22"/>
        </w:rPr>
        <w:t>"No real-world data. The paper should include validation on real UAV sensor data, not only simulation."</w:t>
      </w:r>
    </w:p>
    <w:p>
      <w:r>
        <w:rPr>
          <w:rFonts w:ascii="Times New Roman" w:hAnsi="Times New Roman"/>
          <w:b/>
          <w:i w:val="0"/>
          <w:color w:val="000000"/>
          <w:sz w:val="22"/>
        </w:rPr>
        <w:t>Response:</w:t>
      </w:r>
      <w:r>
        <w:rPr>
          <w:rFonts w:ascii="Times New Roman" w:hAnsi="Times New Roman"/>
          <w:b w:val="0"/>
          <w:i w:val="0"/>
          <w:color w:val="000000"/>
          <w:sz w:val="22"/>
        </w:rPr>
        <w:t xml:space="preserve"> Section V-G adds a zero-shot cross-distribution evaluation in which all MATLAB-trained checkpoints, without any fine-tuning, are scored on three real-world or out-of-distribution sources: (i) the IEEE DataPort UAV Attack Dataset live-hardware partition, with a Holybro S500 quadrotor under HackRF GPS spoofing — the jamming flight is excluded because it falls outside the detector's spoofing label space; (ii) the IEEE DataPort PX4 SITL partition spanning four airframes (PLANE, VTOL, TAIL, H480), which exhibits PX4's own GPS noise model; and (iii) the ALFA Carbon-Z fixed-wing dataset from CMU AirLab, on which we inject parameterised step-spoofing patterns into the no-failure segments to obtain labelled attack onsets. The full results are inlined here (mean DR@5s, ADD, MTBFA per architecture per source):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Domain</w:t>
            </w:r>
          </w:p>
        </w:tc>
        <w:tc>
          <w:tcPr>
            <w:tcW w:type="dxa" w:w="1881"/>
          </w:tcPr>
          <w:p>
            <w:r>
              <w:rPr>
                <w:rFonts w:ascii="Times New Roman" w:hAnsi="Times New Roman"/>
                <w:b/>
                <w:i w:val="0"/>
                <w:color w:val="000000"/>
                <w:sz w:val="22"/>
              </w:rPr>
              <w:t>Model</w:t>
            </w:r>
          </w:p>
        </w:tc>
        <w:tc>
          <w:tcPr>
            <w:tcW w:type="dxa" w:w="1881"/>
          </w:tcPr>
          <w:p>
            <w:r>
              <w:rPr>
                <w:rFonts w:ascii="Times New Roman" w:hAnsi="Times New Roman"/>
                <w:b/>
                <w:i w:val="0"/>
                <w:color w:val="000000"/>
                <w:sz w:val="22"/>
              </w:rPr>
              <w:t>DR@5s</w:t>
            </w:r>
          </w:p>
        </w:tc>
        <w:tc>
          <w:tcPr>
            <w:tcW w:type="dxa" w:w="1881"/>
          </w:tcPr>
          <w:p>
            <w:r>
              <w:rPr>
                <w:rFonts w:ascii="Times New Roman" w:hAnsi="Times New Roman"/>
                <w:b/>
                <w:i w:val="0"/>
                <w:color w:val="000000"/>
                <w:sz w:val="22"/>
              </w:rPr>
              <w:t>ADD (s)</w:t>
            </w:r>
          </w:p>
        </w:tc>
        <w:tc>
          <w:tcPr>
            <w:tcW w:type="dxa" w:w="1881"/>
          </w:tcPr>
          <w:p>
            <w:r>
              <w:rPr>
                <w:rFonts w:ascii="Times New Roman" w:hAnsi="Times New Roman"/>
                <w:b/>
                <w:i w:val="0"/>
                <w:color w:val="000000"/>
                <w:sz w:val="22"/>
              </w:rPr>
              <w:t>MTBFA (h)</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0.36</w:t>
            </w:r>
          </w:p>
        </w:tc>
        <w:tc>
          <w:tcPr>
            <w:tcW w:type="dxa" w:w="1881"/>
          </w:tcPr>
          <w:p>
            <w:r>
              <w:rPr>
                <w:rFonts w:ascii="Times New Roman" w:hAnsi="Times New Roman"/>
                <w:b w:val="0"/>
                <w:i w:val="0"/>
                <w:color w:val="000000"/>
                <w:sz w:val="22"/>
              </w:rPr>
              <w:t>23.6</w:t>
            </w:r>
          </w:p>
        </w:tc>
        <w:tc>
          <w:tcPr>
            <w:tcW w:type="dxa" w:w="1881"/>
          </w:tcPr>
          <w:p>
            <w:r>
              <w:rPr>
                <w:rFonts w:ascii="Times New Roman" w:hAnsi="Times New Roman"/>
                <w:b w:val="0"/>
                <w:i w:val="0"/>
                <w:color w:val="000000"/>
                <w:sz w:val="22"/>
              </w:rPr>
              <w:t>0.011</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0.84</w:t>
            </w:r>
          </w:p>
        </w:tc>
        <w:tc>
          <w:tcPr>
            <w:tcW w:type="dxa" w:w="1881"/>
          </w:tcPr>
          <w:p>
            <w:r>
              <w:rPr>
                <w:rFonts w:ascii="Times New Roman" w:hAnsi="Times New Roman"/>
                <w:b w:val="0"/>
                <w:i w:val="0"/>
                <w:color w:val="000000"/>
                <w:sz w:val="22"/>
              </w:rPr>
              <w:t>9.0</w:t>
            </w:r>
          </w:p>
        </w:tc>
        <w:tc>
          <w:tcPr>
            <w:tcW w:type="dxa" w:w="1881"/>
          </w:tcPr>
          <w:p>
            <w:r>
              <w:rPr>
                <w:rFonts w:ascii="Times New Roman" w:hAnsi="Times New Roman"/>
                <w:b w:val="0"/>
                <w:i w:val="0"/>
                <w:color w:val="000000"/>
                <w:sz w:val="22"/>
              </w:rPr>
              <w:t>0.011</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0.52</w:t>
            </w:r>
          </w:p>
        </w:tc>
        <w:tc>
          <w:tcPr>
            <w:tcW w:type="dxa" w:w="1881"/>
          </w:tcPr>
          <w:p>
            <w:r>
              <w:rPr>
                <w:rFonts w:ascii="Times New Roman" w:hAnsi="Times New Roman"/>
                <w:b w:val="0"/>
                <w:i w:val="0"/>
                <w:color w:val="000000"/>
                <w:sz w:val="22"/>
              </w:rPr>
              <w:t>21.4</w:t>
            </w:r>
          </w:p>
        </w:tc>
        <w:tc>
          <w:tcPr>
            <w:tcW w:type="dxa" w:w="1881"/>
          </w:tcPr>
          <w:p>
            <w:r>
              <w:rPr>
                <w:rFonts w:ascii="Times New Roman" w:hAnsi="Times New Roman"/>
                <w:b w:val="0"/>
                <w:i w:val="0"/>
                <w:color w:val="000000"/>
                <w:sz w:val="22"/>
              </w:rPr>
              <w:t>0.009</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0.80</w:t>
            </w:r>
          </w:p>
        </w:tc>
        <w:tc>
          <w:tcPr>
            <w:tcW w:type="dxa" w:w="1881"/>
          </w:tcPr>
          <w:p>
            <w:r>
              <w:rPr>
                <w:rFonts w:ascii="Times New Roman" w:hAnsi="Times New Roman"/>
                <w:b w:val="0"/>
                <w:i w:val="0"/>
                <w:color w:val="000000"/>
                <w:sz w:val="22"/>
              </w:rPr>
              <w:t>6.3</w:t>
            </w:r>
          </w:p>
        </w:tc>
        <w:tc>
          <w:tcPr>
            <w:tcW w:type="dxa" w:w="1881"/>
          </w:tcPr>
          <w:p>
            <w:r>
              <w:rPr>
                <w:rFonts w:ascii="Times New Roman" w:hAnsi="Times New Roman"/>
                <w:b w:val="0"/>
                <w:i w:val="0"/>
                <w:color w:val="000000"/>
                <w:sz w:val="22"/>
              </w:rPr>
              <w:t>0.012</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0.20</w:t>
            </w:r>
          </w:p>
        </w:tc>
        <w:tc>
          <w:tcPr>
            <w:tcW w:type="dxa" w:w="1881"/>
          </w:tcPr>
          <w:p>
            <w:r>
              <w:rPr>
                <w:rFonts w:ascii="Times New Roman" w:hAnsi="Times New Roman"/>
                <w:b w:val="0"/>
                <w:i w:val="0"/>
                <w:color w:val="000000"/>
                <w:sz w:val="22"/>
              </w:rPr>
              <w:t>30.8</w:t>
            </w:r>
          </w:p>
        </w:tc>
        <w:tc>
          <w:tcPr>
            <w:tcW w:type="dxa" w:w="1881"/>
          </w:tcPr>
          <w:p>
            <w:r>
              <w:rPr>
                <w:rFonts w:ascii="Times New Roman" w:hAnsi="Times New Roman"/>
                <w:b w:val="0"/>
                <w:i w:val="0"/>
                <w:color w:val="000000"/>
                <w:sz w:val="22"/>
              </w:rPr>
              <w:t>0.015</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0.60</w:t>
            </w:r>
          </w:p>
        </w:tc>
        <w:tc>
          <w:tcPr>
            <w:tcW w:type="dxa" w:w="1881"/>
          </w:tcPr>
          <w:p>
            <w:r>
              <w:rPr>
                <w:rFonts w:ascii="Times New Roman" w:hAnsi="Times New Roman"/>
                <w:b w:val="0"/>
                <w:i w:val="0"/>
                <w:color w:val="000000"/>
                <w:sz w:val="22"/>
              </w:rPr>
              <w:t>18.7</w:t>
            </w:r>
          </w:p>
        </w:tc>
        <w:tc>
          <w:tcPr>
            <w:tcW w:type="dxa" w:w="1881"/>
          </w:tcPr>
          <w:p>
            <w:r>
              <w:rPr>
                <w:rFonts w:ascii="Times New Roman" w:hAnsi="Times New Roman"/>
                <w:b w:val="0"/>
                <w:i w:val="0"/>
                <w:color w:val="000000"/>
                <w:sz w:val="22"/>
              </w:rPr>
              <w:t>0.022</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0.32</w:t>
            </w:r>
          </w:p>
        </w:tc>
        <w:tc>
          <w:tcPr>
            <w:tcW w:type="dxa" w:w="1881"/>
          </w:tcPr>
          <w:p>
            <w:r>
              <w:rPr>
                <w:rFonts w:ascii="Times New Roman" w:hAnsi="Times New Roman"/>
                <w:b w:val="0"/>
                <w:i w:val="0"/>
                <w:color w:val="000000"/>
                <w:sz w:val="22"/>
              </w:rPr>
              <w:t>16.2</w:t>
            </w:r>
          </w:p>
        </w:tc>
        <w:tc>
          <w:tcPr>
            <w:tcW w:type="dxa" w:w="1881"/>
          </w:tcPr>
          <w:p>
            <w:r>
              <w:rPr>
                <w:rFonts w:ascii="Times New Roman" w:hAnsi="Times New Roman"/>
                <w:b w:val="0"/>
                <w:i w:val="0"/>
                <w:color w:val="000000"/>
                <w:sz w:val="22"/>
              </w:rPr>
              <w:t>0.009</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0.22</w:t>
            </w:r>
          </w:p>
        </w:tc>
        <w:tc>
          <w:tcPr>
            <w:tcW w:type="dxa" w:w="1881"/>
          </w:tcPr>
          <w:p>
            <w:r>
              <w:rPr>
                <w:rFonts w:ascii="Times New Roman" w:hAnsi="Times New Roman"/>
                <w:b w:val="0"/>
                <w:i w:val="0"/>
                <w:color w:val="000000"/>
                <w:sz w:val="22"/>
              </w:rPr>
              <w:t>25.4</w:t>
            </w:r>
          </w:p>
        </w:tc>
        <w:tc>
          <w:tcPr>
            <w:tcW w:type="dxa" w:w="1881"/>
          </w:tcPr>
          <w:p>
            <w:r>
              <w:rPr>
                <w:rFonts w:ascii="Times New Roman" w:hAnsi="Times New Roman"/>
                <w:b w:val="0"/>
                <w:i w:val="0"/>
                <w:color w:val="000000"/>
                <w:sz w:val="22"/>
              </w:rPr>
              <w:t>0.011</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0.80</w:t>
            </w:r>
          </w:p>
        </w:tc>
        <w:tc>
          <w:tcPr>
            <w:tcW w:type="dxa" w:w="1881"/>
          </w:tcPr>
          <w:p>
            <w:r>
              <w:rPr>
                <w:rFonts w:ascii="Times New Roman" w:hAnsi="Times New Roman"/>
                <w:b w:val="0"/>
                <w:i w:val="0"/>
                <w:color w:val="000000"/>
                <w:sz w:val="22"/>
              </w:rPr>
              <w:t>7.8</w:t>
            </w:r>
          </w:p>
        </w:tc>
        <w:tc>
          <w:tcPr>
            <w:tcW w:type="dxa" w:w="1881"/>
          </w:tcPr>
          <w:p>
            <w:r>
              <w:rPr>
                <w:rFonts w:ascii="Times New Roman" w:hAnsi="Times New Roman"/>
                <w:b w:val="0"/>
                <w:i w:val="0"/>
                <w:color w:val="000000"/>
                <w:sz w:val="22"/>
              </w:rPr>
              <w:t>0.011</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0.47</w:t>
            </w:r>
          </w:p>
        </w:tc>
        <w:tc>
          <w:tcPr>
            <w:tcW w:type="dxa" w:w="1881"/>
          </w:tcPr>
          <w:p>
            <w:r>
              <w:rPr>
                <w:rFonts w:ascii="Times New Roman" w:hAnsi="Times New Roman"/>
                <w:b w:val="0"/>
                <w:i w:val="0"/>
                <w:color w:val="000000"/>
                <w:sz w:val="22"/>
              </w:rPr>
              <w:t>18.1</w:t>
            </w:r>
          </w:p>
        </w:tc>
        <w:tc>
          <w:tcPr>
            <w:tcW w:type="dxa" w:w="1881"/>
          </w:tcPr>
          <w:p>
            <w:r>
              <w:rPr>
                <w:rFonts w:ascii="Times New Roman" w:hAnsi="Times New Roman"/>
                <w:b w:val="0"/>
                <w:i w:val="0"/>
                <w:color w:val="000000"/>
                <w:sz w:val="22"/>
              </w:rPr>
              <w:t>0.009</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0.82</w:t>
            </w:r>
          </w:p>
        </w:tc>
        <w:tc>
          <w:tcPr>
            <w:tcW w:type="dxa" w:w="1881"/>
          </w:tcPr>
          <w:p>
            <w:r>
              <w:rPr>
                <w:rFonts w:ascii="Times New Roman" w:hAnsi="Times New Roman"/>
                <w:b w:val="0"/>
                <w:i w:val="0"/>
                <w:color w:val="000000"/>
                <w:sz w:val="22"/>
              </w:rPr>
              <w:t>5.5</w:t>
            </w:r>
          </w:p>
        </w:tc>
        <w:tc>
          <w:tcPr>
            <w:tcW w:type="dxa" w:w="1881"/>
          </w:tcPr>
          <w:p>
            <w:r>
              <w:rPr>
                <w:rFonts w:ascii="Times New Roman" w:hAnsi="Times New Roman"/>
                <w:b w:val="0"/>
                <w:i w:val="0"/>
                <w:color w:val="000000"/>
                <w:sz w:val="22"/>
              </w:rPr>
              <w:t>0.012</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0.09</w:t>
            </w:r>
          </w:p>
        </w:tc>
        <w:tc>
          <w:tcPr>
            <w:tcW w:type="dxa" w:w="1881"/>
          </w:tcPr>
          <w:p>
            <w:r>
              <w:rPr>
                <w:rFonts w:ascii="Times New Roman" w:hAnsi="Times New Roman"/>
                <w:b w:val="0"/>
                <w:i w:val="0"/>
                <w:color w:val="000000"/>
                <w:sz w:val="22"/>
              </w:rPr>
              <w:t>30.9</w:t>
            </w:r>
          </w:p>
        </w:tc>
        <w:tc>
          <w:tcPr>
            <w:tcW w:type="dxa" w:w="1881"/>
          </w:tcPr>
          <w:p>
            <w:r>
              <w:rPr>
                <w:rFonts w:ascii="Times New Roman" w:hAnsi="Times New Roman"/>
                <w:b w:val="0"/>
                <w:i w:val="0"/>
                <w:color w:val="000000"/>
                <w:sz w:val="22"/>
              </w:rPr>
              <w:t>0.015</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0.60</w:t>
            </w:r>
          </w:p>
        </w:tc>
        <w:tc>
          <w:tcPr>
            <w:tcW w:type="dxa" w:w="1881"/>
          </w:tcPr>
          <w:p>
            <w:r>
              <w:rPr>
                <w:rFonts w:ascii="Times New Roman" w:hAnsi="Times New Roman"/>
                <w:b w:val="0"/>
                <w:i w:val="0"/>
                <w:color w:val="000000"/>
                <w:sz w:val="22"/>
              </w:rPr>
              <w:t>17.1</w:t>
            </w:r>
          </w:p>
        </w:tc>
        <w:tc>
          <w:tcPr>
            <w:tcW w:type="dxa" w:w="1881"/>
          </w:tcPr>
          <w:p>
            <w:r>
              <w:rPr>
                <w:rFonts w:ascii="Times New Roman" w:hAnsi="Times New Roman"/>
                <w:b w:val="0"/>
                <w:i w:val="0"/>
                <w:color w:val="000000"/>
                <w:sz w:val="22"/>
              </w:rPr>
              <w:t>0.022</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0.44</w:t>
            </w:r>
          </w:p>
        </w:tc>
        <w:tc>
          <w:tcPr>
            <w:tcW w:type="dxa" w:w="1881"/>
          </w:tcPr>
          <w:p>
            <w:r>
              <w:rPr>
                <w:rFonts w:ascii="Times New Roman" w:hAnsi="Times New Roman"/>
                <w:b w:val="0"/>
                <w:i w:val="0"/>
                <w:color w:val="000000"/>
                <w:sz w:val="22"/>
              </w:rPr>
              <w:t>12.7</w:t>
            </w:r>
          </w:p>
        </w:tc>
        <w:tc>
          <w:tcPr>
            <w:tcW w:type="dxa" w:w="1881"/>
          </w:tcPr>
          <w:p>
            <w:r>
              <w:rPr>
                <w:rFonts w:ascii="Times New Roman" w:hAnsi="Times New Roman"/>
                <w:b w:val="0"/>
                <w:i w:val="0"/>
                <w:color w:val="000000"/>
                <w:sz w:val="22"/>
              </w:rPr>
              <w:t>0.009</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0.96</w:t>
            </w:r>
          </w:p>
        </w:tc>
        <w:tc>
          <w:tcPr>
            <w:tcW w:type="dxa" w:w="1881"/>
          </w:tcPr>
          <w:p>
            <w:r>
              <w:rPr>
                <w:rFonts w:ascii="Times New Roman" w:hAnsi="Times New Roman"/>
                <w:b w:val="0"/>
                <w:i w:val="0"/>
                <w:color w:val="000000"/>
                <w:sz w:val="22"/>
              </w:rPr>
              <w:t>0.34</w:t>
            </w:r>
          </w:p>
        </w:tc>
        <w:tc>
          <w:tcPr>
            <w:tcW w:type="dxa" w:w="1881"/>
          </w:tcPr>
          <w:p>
            <w:r>
              <w:rPr>
                <w:rFonts w:ascii="Times New Roman" w:hAnsi="Times New Roman"/>
                <w:b w:val="0"/>
                <w:i w:val="0"/>
                <w:color w:val="000000"/>
                <w:sz w:val="22"/>
              </w:rPr>
              <w:t>0.004</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0.92</w:t>
            </w:r>
          </w:p>
        </w:tc>
        <w:tc>
          <w:tcPr>
            <w:tcW w:type="dxa" w:w="1881"/>
          </w:tcPr>
          <w:p>
            <w:r>
              <w:rPr>
                <w:rFonts w:ascii="Times New Roman" w:hAnsi="Times New Roman"/>
                <w:b w:val="0"/>
                <w:i w:val="0"/>
                <w:color w:val="000000"/>
                <w:sz w:val="22"/>
              </w:rPr>
              <w:t>0.95</w:t>
            </w:r>
          </w:p>
        </w:tc>
        <w:tc>
          <w:tcPr>
            <w:tcW w:type="dxa" w:w="1881"/>
          </w:tcPr>
          <w:p>
            <w:r>
              <w:rPr>
                <w:rFonts w:ascii="Times New Roman" w:hAnsi="Times New Roman"/>
                <w:b w:val="0"/>
                <w:i w:val="0"/>
                <w:color w:val="000000"/>
                <w:sz w:val="22"/>
              </w:rPr>
              <w:t>0.005</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0.84</w:t>
            </w:r>
          </w:p>
        </w:tc>
        <w:tc>
          <w:tcPr>
            <w:tcW w:type="dxa" w:w="1881"/>
          </w:tcPr>
          <w:p>
            <w:r>
              <w:rPr>
                <w:rFonts w:ascii="Times New Roman" w:hAnsi="Times New Roman"/>
                <w:b w:val="0"/>
                <w:i w:val="0"/>
                <w:color w:val="000000"/>
                <w:sz w:val="22"/>
              </w:rPr>
              <w:t>2.31</w:t>
            </w:r>
          </w:p>
        </w:tc>
        <w:tc>
          <w:tcPr>
            <w:tcW w:type="dxa" w:w="1881"/>
          </w:tcPr>
          <w:p>
            <w:r>
              <w:rPr>
                <w:rFonts w:ascii="Times New Roman" w:hAnsi="Times New Roman"/>
                <w:b w:val="0"/>
                <w:i w:val="0"/>
                <w:color w:val="000000"/>
                <w:sz w:val="22"/>
              </w:rPr>
              <w:t>0.004</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0.88</w:t>
            </w:r>
          </w:p>
        </w:tc>
        <w:tc>
          <w:tcPr>
            <w:tcW w:type="dxa" w:w="1881"/>
          </w:tcPr>
          <w:p>
            <w:r>
              <w:rPr>
                <w:rFonts w:ascii="Times New Roman" w:hAnsi="Times New Roman"/>
                <w:b w:val="0"/>
                <w:i w:val="0"/>
                <w:color w:val="000000"/>
                <w:sz w:val="22"/>
              </w:rPr>
              <w:t>3.11</w:t>
            </w:r>
          </w:p>
        </w:tc>
        <w:tc>
          <w:tcPr>
            <w:tcW w:type="dxa" w:w="1881"/>
          </w:tcPr>
          <w:p>
            <w:r>
              <w:rPr>
                <w:rFonts w:ascii="Times New Roman" w:hAnsi="Times New Roman"/>
                <w:b w:val="0"/>
                <w:i w:val="0"/>
                <w:color w:val="000000"/>
                <w:sz w:val="22"/>
              </w:rPr>
              <w:t>0.004</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0.96</w:t>
            </w:r>
          </w:p>
        </w:tc>
        <w:tc>
          <w:tcPr>
            <w:tcW w:type="dxa" w:w="1881"/>
          </w:tcPr>
          <w:p>
            <w:r>
              <w:rPr>
                <w:rFonts w:ascii="Times New Roman" w:hAnsi="Times New Roman"/>
                <w:b w:val="0"/>
                <w:i w:val="0"/>
                <w:color w:val="000000"/>
                <w:sz w:val="22"/>
              </w:rPr>
              <w:t>0.83</w:t>
            </w:r>
          </w:p>
        </w:tc>
        <w:tc>
          <w:tcPr>
            <w:tcW w:type="dxa" w:w="1881"/>
          </w:tcPr>
          <w:p>
            <w:r>
              <w:rPr>
                <w:rFonts w:ascii="Times New Roman" w:hAnsi="Times New Roman"/>
                <w:b w:val="0"/>
                <w:i w:val="0"/>
                <w:color w:val="000000"/>
                <w:sz w:val="22"/>
              </w:rPr>
              <w:t>0.004</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1.00</w:t>
            </w:r>
          </w:p>
        </w:tc>
        <w:tc>
          <w:tcPr>
            <w:tcW w:type="dxa" w:w="1881"/>
          </w:tcPr>
          <w:p>
            <w:r>
              <w:rPr>
                <w:rFonts w:ascii="Times New Roman" w:hAnsi="Times New Roman"/>
                <w:b w:val="0"/>
                <w:i w:val="0"/>
                <w:color w:val="000000"/>
                <w:sz w:val="22"/>
              </w:rPr>
              <w:t>0.36</w:t>
            </w:r>
          </w:p>
        </w:tc>
        <w:tc>
          <w:tcPr>
            <w:tcW w:type="dxa" w:w="1881"/>
          </w:tcPr>
          <w:p>
            <w:r>
              <w:rPr>
                <w:rFonts w:ascii="Times New Roman" w:hAnsi="Times New Roman"/>
                <w:b w:val="0"/>
                <w:i w:val="0"/>
                <w:color w:val="000000"/>
                <w:sz w:val="22"/>
              </w:rPr>
              <w:t>0.006</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0.76</w:t>
            </w:r>
          </w:p>
        </w:tc>
        <w:tc>
          <w:tcPr>
            <w:tcW w:type="dxa" w:w="1881"/>
          </w:tcPr>
          <w:p>
            <w:r>
              <w:rPr>
                <w:rFonts w:ascii="Times New Roman" w:hAnsi="Times New Roman"/>
                <w:b w:val="0"/>
                <w:i w:val="0"/>
                <w:color w:val="000000"/>
                <w:sz w:val="22"/>
              </w:rPr>
              <w:t>2.76</w:t>
            </w:r>
          </w:p>
        </w:tc>
        <w:tc>
          <w:tcPr>
            <w:tcW w:type="dxa" w:w="1881"/>
          </w:tcPr>
          <w:p>
            <w:r>
              <w:rPr>
                <w:rFonts w:ascii="Times New Roman" w:hAnsi="Times New Roman"/>
                <w:b w:val="0"/>
                <w:i w:val="0"/>
                <w:color w:val="000000"/>
                <w:sz w:val="22"/>
              </w:rPr>
              <w:t>0.005</w:t>
            </w:r>
          </w:p>
        </w:tc>
      </w:tr>
    </w:tbl>
    <w:p>
      <w:r>
        <w:rPr>
          <w:rFonts w:ascii="Times New Roman" w:hAnsi="Times New Roman"/>
          <w:b w:val="0"/>
          <w:i w:val="0"/>
          <w:color w:val="000000"/>
          <w:sz w:val="22"/>
        </w:rPr>
        <w:t xml:space="preserve">Two findings deserve emphasis. First, the in-distribution architecture ranking is not preserved across distributions: CNN-LSTM, the joint-deployable winner in simulation (in-distribution DR@5s = 0.958), collapses to DR@5s = 0.20 on the live HackRF data while LSTM and GRU remain above 0.80. Second, the precision of every architecture collapses uniformly to 0.38–0.42 on the live data because the EKF-fused position channel that the simulation training used as an input has very different statistics on the real receiver, which we quantify in the noise comparison below. We therefore frame the evaluation explicitly as a </w:t>
      </w:r>
      <w:r>
        <w:rPr>
          <w:rFonts w:ascii="Times New Roman" w:hAnsi="Times New Roman"/>
          <w:b w:val="0"/>
          <w:i/>
          <w:color w:val="000000"/>
          <w:sz w:val="22"/>
        </w:rPr>
        <w:t>zero-shot cross-distribution stress test</w:t>
      </w:r>
      <w:r>
        <w:rPr>
          <w:rFonts w:ascii="Times New Roman" w:hAnsi="Times New Roman"/>
          <w:b w:val="0"/>
          <w:i w:val="0"/>
          <w:color w:val="000000"/>
          <w:sz w:val="22"/>
        </w:rPr>
        <w:t xml:space="preserve"> rather than matched-platform deployment validation: the three sources differ from the training distribution along several axes simultaneously (vehicle airframe, cruise speed, sensor noise, attack mechanism). Section V-H then isolates the platform-speed-matching axis specifically; see also our response to Reviewer 3, Comment 5.</w:t>
      </w:r>
    </w:p>
    <w:p>
      <w:r>
        <w:rPr>
          <w:rFonts w:ascii="Times New Roman" w:hAnsi="Times New Roman"/>
          <w:b w:val="0"/>
          <w:i w:val="0"/>
          <w:color w:val="000000"/>
          <w:sz w:val="22"/>
        </w:rPr>
        <w:t>The accompanying noise-statistic comparison (Experiment A in this revision) makes the simulation-vs-real gap quantitative. We compute innovation-domain statistics on normal-flight segments: the per-axis standard deviation of the second-order position difference, the per-axis standard deviation of the velocity first difference, the excess kurtosis of the position innovation (zero for a Gaussian distribution), and the 99th-percentile single-step position jump.</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Source</w:t>
            </w:r>
          </w:p>
        </w:tc>
        <w:tc>
          <w:tcPr>
            <w:tcW w:type="dxa" w:w="1881"/>
          </w:tcPr>
          <w:p>
            <w:r>
              <w:rPr>
                <w:rFonts w:ascii="Times New Roman" w:hAnsi="Times New Roman"/>
                <w:b/>
                <w:i w:val="0"/>
                <w:color w:val="000000"/>
                <w:sz w:val="22"/>
              </w:rPr>
              <w:t>σ_xy per axis (m)</w:t>
            </w:r>
          </w:p>
        </w:tc>
        <w:tc>
          <w:tcPr>
            <w:tcW w:type="dxa" w:w="1881"/>
          </w:tcPr>
          <w:p>
            <w:r>
              <w:rPr>
                <w:rFonts w:ascii="Times New Roman" w:hAnsi="Times New Roman"/>
                <w:b/>
                <w:i w:val="0"/>
                <w:color w:val="000000"/>
                <w:sz w:val="22"/>
              </w:rPr>
              <w:t>σ_v per axis (m/s)</w:t>
            </w:r>
          </w:p>
        </w:tc>
        <w:tc>
          <w:tcPr>
            <w:tcW w:type="dxa" w:w="1881"/>
          </w:tcPr>
          <w:p>
            <w:r>
              <w:rPr>
                <w:rFonts w:ascii="Times New Roman" w:hAnsi="Times New Roman"/>
                <w:b/>
                <w:i w:val="0"/>
                <w:color w:val="000000"/>
                <w:sz w:val="22"/>
              </w:rPr>
              <w:t>Excess kurtosis</w:t>
            </w:r>
          </w:p>
        </w:tc>
        <w:tc>
          <w:tcPr>
            <w:tcW w:type="dxa" w:w="1881"/>
          </w:tcPr>
          <w:p>
            <w:r>
              <w:rPr>
                <w:rFonts w:ascii="Times New Roman" w:hAnsi="Times New Roman"/>
                <w:b/>
                <w:i w:val="0"/>
                <w:color w:val="000000"/>
                <w:sz w:val="22"/>
              </w:rPr>
              <w:t>p99 step jump (m)</w:t>
            </w:r>
          </w:p>
        </w:tc>
      </w:tr>
      <w:tr>
        <w:tc>
          <w:tcPr>
            <w:tcW w:type="dxa" w:w="1881"/>
          </w:tcPr>
          <w:p>
            <w:r>
              <w:rPr>
                <w:rFonts w:ascii="Times New Roman" w:hAnsi="Times New Roman"/>
                <w:b w:val="0"/>
                <w:i w:val="0"/>
                <w:color w:val="000000"/>
                <w:sz w:val="22"/>
              </w:rPr>
              <w:t>MATLAB sim (test, normal)</w:t>
            </w:r>
          </w:p>
        </w:tc>
        <w:tc>
          <w:tcPr>
            <w:tcW w:type="dxa" w:w="1881"/>
          </w:tcPr>
          <w:p>
            <w:r>
              <w:rPr>
                <w:rFonts w:ascii="Times New Roman" w:hAnsi="Times New Roman"/>
                <w:b w:val="0"/>
                <w:i w:val="0"/>
                <w:color w:val="000000"/>
                <w:sz w:val="22"/>
              </w:rPr>
              <w:t>3.67</w:t>
            </w:r>
          </w:p>
        </w:tc>
        <w:tc>
          <w:tcPr>
            <w:tcW w:type="dxa" w:w="1881"/>
          </w:tcPr>
          <w:p>
            <w:r>
              <w:rPr>
                <w:rFonts w:ascii="Times New Roman" w:hAnsi="Times New Roman"/>
                <w:b w:val="0"/>
                <w:i w:val="0"/>
                <w:color w:val="000000"/>
                <w:sz w:val="22"/>
              </w:rPr>
              <w:t>1.52</w:t>
            </w:r>
          </w:p>
        </w:tc>
        <w:tc>
          <w:tcPr>
            <w:tcW w:type="dxa" w:w="1881"/>
          </w:tcPr>
          <w:p>
            <w:r>
              <w:rPr>
                <w:rFonts w:ascii="Times New Roman" w:hAnsi="Times New Roman"/>
                <w:b w:val="0"/>
                <w:i w:val="0"/>
                <w:color w:val="000000"/>
                <w:sz w:val="22"/>
              </w:rPr>
              <w:t>-0.03</w:t>
            </w:r>
          </w:p>
        </w:tc>
        <w:tc>
          <w:tcPr>
            <w:tcW w:type="dxa" w:w="1881"/>
          </w:tcPr>
          <w:p>
            <w:r>
              <w:rPr>
                <w:rFonts w:ascii="Times New Roman" w:hAnsi="Times New Roman"/>
                <w:b w:val="0"/>
                <w:i w:val="0"/>
                <w:color w:val="000000"/>
                <w:sz w:val="22"/>
              </w:rPr>
              <w:t>11.0</w:t>
            </w:r>
          </w:p>
        </w:tc>
      </w:tr>
      <w:tr>
        <w:tc>
          <w:tcPr>
            <w:tcW w:type="dxa" w:w="1881"/>
          </w:tcPr>
          <w:p>
            <w:r>
              <w:rPr>
                <w:rFonts w:ascii="Times New Roman" w:hAnsi="Times New Roman"/>
                <w:b w:val="0"/>
                <w:i w:val="0"/>
                <w:color w:val="000000"/>
                <w:sz w:val="22"/>
              </w:rPr>
              <w:t>IEEE DataPort Live (Holybro S500)</w:t>
            </w:r>
          </w:p>
        </w:tc>
        <w:tc>
          <w:tcPr>
            <w:tcW w:type="dxa" w:w="1881"/>
          </w:tcPr>
          <w:p>
            <w:r>
              <w:rPr>
                <w:rFonts w:ascii="Times New Roman" w:hAnsi="Times New Roman"/>
                <w:b w:val="0"/>
                <w:i w:val="0"/>
                <w:color w:val="000000"/>
                <w:sz w:val="22"/>
              </w:rPr>
              <w:t>0.007</w:t>
            </w:r>
          </w:p>
        </w:tc>
        <w:tc>
          <w:tcPr>
            <w:tcW w:type="dxa" w:w="1881"/>
          </w:tcPr>
          <w:p>
            <w:r>
              <w:rPr>
                <w:rFonts w:ascii="Times New Roman" w:hAnsi="Times New Roman"/>
                <w:b w:val="0"/>
                <w:i w:val="0"/>
                <w:color w:val="000000"/>
                <w:sz w:val="22"/>
              </w:rPr>
              <w:t>0.04</w:t>
            </w:r>
          </w:p>
        </w:tc>
        <w:tc>
          <w:tcPr>
            <w:tcW w:type="dxa" w:w="1881"/>
          </w:tcPr>
          <w:p>
            <w:r>
              <w:rPr>
                <w:rFonts w:ascii="Times New Roman" w:hAnsi="Times New Roman"/>
                <w:b/>
                <w:i w:val="0"/>
                <w:color w:val="000000"/>
                <w:sz w:val="22"/>
              </w:rPr>
              <w:t>+12.21</w:t>
            </w:r>
          </w:p>
        </w:tc>
        <w:tc>
          <w:tcPr>
            <w:tcW w:type="dxa" w:w="1881"/>
          </w:tcPr>
          <w:p>
            <w:r>
              <w:rPr>
                <w:rFonts w:ascii="Times New Roman" w:hAnsi="Times New Roman"/>
                <w:b w:val="0"/>
                <w:i w:val="0"/>
                <w:color w:val="000000"/>
                <w:sz w:val="22"/>
              </w:rPr>
              <w:t>0.04</w:t>
            </w:r>
          </w:p>
        </w:tc>
      </w:tr>
      <w:tr>
        <w:tc>
          <w:tcPr>
            <w:tcW w:type="dxa" w:w="1881"/>
          </w:tcPr>
          <w:p>
            <w:r>
              <w:rPr>
                <w:rFonts w:ascii="Times New Roman" w:hAnsi="Times New Roman"/>
                <w:b w:val="0"/>
                <w:i w:val="0"/>
                <w:color w:val="000000"/>
                <w:sz w:val="22"/>
              </w:rPr>
              <w:t>ALFA (Carbon-Z, raw GPS)</w:t>
            </w:r>
          </w:p>
        </w:tc>
        <w:tc>
          <w:tcPr>
            <w:tcW w:type="dxa" w:w="1881"/>
          </w:tcPr>
          <w:p>
            <w:r>
              <w:rPr>
                <w:rFonts w:ascii="Times New Roman" w:hAnsi="Times New Roman"/>
                <w:b w:val="0"/>
                <w:i w:val="0"/>
                <w:color w:val="000000"/>
                <w:sz w:val="22"/>
              </w:rPr>
              <w:t>2.76</w:t>
            </w:r>
          </w:p>
        </w:tc>
        <w:tc>
          <w:tcPr>
            <w:tcW w:type="dxa" w:w="1881"/>
          </w:tcPr>
          <w:p>
            <w:r>
              <w:rPr>
                <w:rFonts w:ascii="Times New Roman" w:hAnsi="Times New Roman"/>
                <w:b w:val="0"/>
                <w:i w:val="0"/>
                <w:color w:val="000000"/>
                <w:sz w:val="22"/>
              </w:rPr>
              <w:t>0.42</w:t>
            </w:r>
          </w:p>
        </w:tc>
        <w:tc>
          <w:tcPr>
            <w:tcW w:type="dxa" w:w="1881"/>
          </w:tcPr>
          <w:p>
            <w:r>
              <w:rPr>
                <w:rFonts w:ascii="Times New Roman" w:hAnsi="Times New Roman"/>
                <w:b w:val="0"/>
                <w:i w:val="0"/>
                <w:color w:val="000000"/>
                <w:sz w:val="22"/>
              </w:rPr>
              <w:t>-0.94</w:t>
            </w:r>
          </w:p>
        </w:tc>
        <w:tc>
          <w:tcPr>
            <w:tcW w:type="dxa" w:w="1881"/>
          </w:tcPr>
          <w:p>
            <w:r>
              <w:rPr>
                <w:rFonts w:ascii="Times New Roman" w:hAnsi="Times New Roman"/>
                <w:b w:val="0"/>
                <w:i w:val="0"/>
                <w:color w:val="000000"/>
                <w:sz w:val="22"/>
              </w:rPr>
              <w:t>6.0</w:t>
            </w:r>
          </w:p>
        </w:tc>
      </w:tr>
    </w:tbl>
    <w:p>
      <w:pPr>
        <w:jc w:val="center"/>
      </w:pPr>
      <w:r>
        <w:drawing>
          <wp:inline xmlns:a="http://schemas.openxmlformats.org/drawingml/2006/main" xmlns:pic="http://schemas.openxmlformats.org/drawingml/2006/picture">
            <wp:extent cx="5029200" cy="1382741"/>
            <wp:docPr id="2" name="Picture 2"/>
            <wp:cNvGraphicFramePr>
              <a:graphicFrameLocks noChangeAspect="1"/>
            </wp:cNvGraphicFramePr>
            <a:graphic>
              <a:graphicData uri="http://schemas.openxmlformats.org/drawingml/2006/picture">
                <pic:pic>
                  <pic:nvPicPr>
                    <pic:cNvPr id="0" name="sim_real_noise.png"/>
                    <pic:cNvPicPr/>
                  </pic:nvPicPr>
                  <pic:blipFill>
                    <a:blip r:embed="rId10"/>
                    <a:stretch>
                      <a:fillRect/>
                    </a:stretch>
                  </pic:blipFill>
                  <pic:spPr>
                    <a:xfrm>
                      <a:off x="0" y="0"/>
                      <a:ext cx="5029200" cy="1382741"/>
                    </a:xfrm>
                    <a:prstGeom prst="rect"/>
                  </pic:spPr>
                </pic:pic>
              </a:graphicData>
            </a:graphic>
          </wp:inline>
        </w:drawing>
      </w:r>
    </w:p>
    <w:p>
      <w:pPr>
        <w:jc w:val="center"/>
      </w:pPr>
      <w:r>
        <w:rPr>
          <w:rFonts w:ascii="Times New Roman" w:hAnsi="Times New Roman"/>
          <w:b w:val="0"/>
          <w:i/>
          <w:color w:val="000000"/>
          <w:sz w:val="18"/>
        </w:rPr>
        <w:t>Sim vs real noise statistics</w:t>
      </w:r>
    </w:p>
    <w:p>
      <w:r>
        <w:rPr>
          <w:rFonts w:ascii="Times New Roman" w:hAnsi="Times New Roman"/>
          <w:b w:val="0"/>
          <w:i w:val="0"/>
          <w:color w:val="000000"/>
          <w:sz w:val="22"/>
        </w:rPr>
        <w:t xml:space="preserve">The MATLAB sensor model produces additive Gaussian innovations with excess kurtosis ≈ 0, exactly as designed. The IEEE DataPort live data, which we read from the EKF-fused </w:t>
      </w:r>
      <w:r>
        <w:rPr>
          <w:rFonts w:ascii="Consolas" w:hAnsi="Consolas"/>
          <w:b w:val="0"/>
          <w:i w:val="0"/>
          <w:color w:val="000000"/>
          <w:sz w:val="20"/>
        </w:rPr>
        <w:t>vehicle_local_position</w:t>
      </w:r>
      <w:r>
        <w:rPr>
          <w:rFonts w:ascii="Times New Roman" w:hAnsi="Times New Roman"/>
          <w:b w:val="0"/>
          <w:i w:val="0"/>
          <w:color w:val="000000"/>
          <w:sz w:val="22"/>
        </w:rPr>
        <w:t xml:space="preserve"> topic, has a much tighter step-to-step σ but an excess kurtosis above 12, indicating heavy non-Gaussian tails consistent with multipath outliers and clock-step events that the EKF lets through. ALFA reports raw GPS at coarser resolution: the σ is closer to the MATLAB simulation, but the kurtosis is sub-Gaussian (-0.94), reflecting the platform's smoother flight envelope. None of the three real-world distributions is captured by the simulation noise model alone, which is precisely why the cross-distribution gap exists.</w:t>
      </w:r>
    </w:p>
    <w:p>
      <w:r>
        <w:rPr>
          <w:rFonts w:ascii="Times New Roman" w:hAnsi="Times New Roman"/>
          <w:b/>
          <w:i w:val="0"/>
          <w:color w:val="0064B4"/>
          <w:sz w:val="22"/>
        </w:rPr>
        <w:t>Action:</w:t>
      </w:r>
      <w:r>
        <w:rPr>
          <w:rFonts w:ascii="Times New Roman" w:hAnsi="Times New Roman"/>
          <w:b w:val="0"/>
          <w:i w:val="0"/>
          <w:color w:val="0064B4"/>
          <w:sz w:val="22"/>
        </w:rPr>
        <w:t xml:space="preserve"> Section V-G (cross-distribution evaluation, three sources), Section V-H (controlled platform-matching experiment), the cross-domain DR@5s figure, the ALFA controlled-comparison figure, the cross-domain summary table, and the ALFA controlled table have all been added. Section VI-C (Limitations) explicitly disclaims strict sim-to-real scope and now references the noise-statistic gap quantitatively.</w:t>
      </w:r>
    </w:p>
    <w:p>
      <w:r>
        <w:rPr>
          <w:rFonts w:ascii="Times New Roman" w:hAnsi="Times New Roman"/>
          <w:b/>
          <w:i w:val="0"/>
          <w:color w:val="B43C3C"/>
          <w:sz w:val="22"/>
        </w:rPr>
        <w:t>[Reviewer 1, Comment 4]</w:t>
      </w:r>
    </w:p>
    <w:p>
      <w:pPr>
        <w:ind w:left="576"/>
      </w:pPr>
      <w:r>
        <w:rPr>
          <w:rFonts w:ascii="Times New Roman" w:hAnsi="Times New Roman"/>
          <w:b w:val="0"/>
          <w:i/>
          <w:color w:val="000000"/>
          <w:sz w:val="22"/>
        </w:rPr>
        <w:t>"The threshold values (DR@5s ≥ 85%, MTBFA ≥ 0.1 h) are justified by analogy to medical and industrial standards, not UAV-specific evidence."</w:t>
      </w:r>
    </w:p>
    <w:p>
      <w:r>
        <w:rPr>
          <w:rFonts w:ascii="Times New Roman" w:hAnsi="Times New Roman"/>
          <w:b/>
          <w:i w:val="0"/>
          <w:color w:val="000000"/>
          <w:sz w:val="22"/>
        </w:rPr>
        <w:t>Response:</w:t>
      </w:r>
      <w:r>
        <w:rPr>
          <w:rFonts w:ascii="Times New Roman" w:hAnsi="Times New Roman"/>
          <w:b w:val="0"/>
          <w:i w:val="0"/>
          <w:color w:val="000000"/>
          <w:sz w:val="22"/>
        </w:rPr>
        <w:t xml:space="preserve"> Section IV-E has been rewritten with a UAV-specific risk derivation as the primary argument. The chain is:</w:t>
      </w:r>
    </w:p>
    <w:p>
      <w:pPr>
        <w:pStyle w:val="ListNumber"/>
      </w:pPr>
      <w:r>
        <w:rPr>
          <w:rFonts w:ascii="Times New Roman" w:hAnsi="Times New Roman"/>
          <w:b/>
          <w:i w:val="0"/>
          <w:color w:val="000000"/>
          <w:sz w:val="22"/>
        </w:rPr>
        <w:t>Operating regime.</w:t>
      </w:r>
      <w:r>
        <w:rPr>
          <w:rFonts w:ascii="Times New Roman" w:hAnsi="Times New Roman"/>
          <w:b w:val="0"/>
          <w:i w:val="0"/>
          <w:color w:val="000000"/>
          <w:sz w:val="22"/>
        </w:rPr>
        <w:t xml:space="preserve"> The inspection cruise speed is </w:t>
      </w:r>
      <w:r>
        <w:rPr>
          <w:rFonts w:ascii="Times New Roman" w:hAnsi="Times New Roman"/>
          <w:b w:val="0"/>
          <w:i/>
          <w:color w:val="000000"/>
          <w:sz w:val="22"/>
        </w:rPr>
        <w:t>v</w:t>
      </w:r>
      <w:r>
        <w:rPr>
          <w:rFonts w:ascii="Times New Roman" w:hAnsi="Times New Roman"/>
          <w:b w:val="0"/>
          <w:i w:val="0"/>
          <w:color w:val="000000"/>
          <w:sz w:val="22"/>
        </w:rPr>
        <w:t xml:space="preserve"> = 5 m/s and the detection budget is Δ</w:t>
      </w:r>
      <w:r>
        <w:rPr>
          <w:rFonts w:ascii="Times New Roman" w:hAnsi="Times New Roman"/>
          <w:b w:val="0"/>
          <w:i/>
          <w:color w:val="000000"/>
          <w:sz w:val="22"/>
        </w:rPr>
        <w:t>t</w:t>
      </w:r>
      <w:r>
        <w:rPr>
          <w:rFonts w:ascii="Times New Roman" w:hAnsi="Times New Roman"/>
          <w:b w:val="0"/>
          <w:i w:val="0"/>
          <w:color w:val="000000"/>
          <w:sz w:val="22"/>
        </w:rPr>
        <w:t xml:space="preserve"> = 5 s.</w:t>
      </w:r>
    </w:p>
    <w:p>
      <w:pPr>
        <w:pStyle w:val="ListNumber"/>
      </w:pPr>
      <w:r>
        <w:rPr>
          <w:rFonts w:ascii="Times New Roman" w:hAnsi="Times New Roman"/>
          <w:b/>
          <w:i w:val="0"/>
          <w:color w:val="000000"/>
          <w:sz w:val="22"/>
        </w:rPr>
        <w:t>Drift during detection.</w:t>
      </w:r>
      <w:r>
        <w:rPr>
          <w:rFonts w:ascii="Times New Roman" w:hAnsi="Times New Roman"/>
          <w:b w:val="0"/>
          <w:i w:val="0"/>
          <w:color w:val="000000"/>
          <w:sz w:val="22"/>
        </w:rPr>
        <w:t xml:space="preserve"> A spoofed UAV that follows the false trajectory drifts </w:t>
      </w:r>
      <w:r>
        <w:rPr>
          <w:rFonts w:ascii="Times New Roman" w:hAnsi="Times New Roman"/>
          <w:b w:val="0"/>
          <w:i/>
          <w:color w:val="000000"/>
          <w:sz w:val="22"/>
        </w:rPr>
        <w:t>v</w:t>
      </w:r>
      <w:r>
        <w:rPr>
          <w:rFonts w:ascii="Times New Roman" w:hAnsi="Times New Roman"/>
          <w:b w:val="0"/>
          <w:i w:val="0"/>
          <w:color w:val="000000"/>
          <w:sz w:val="22"/>
        </w:rPr>
        <w:t xml:space="preserve"> · Δ</w:t>
      </w:r>
      <w:r>
        <w:rPr>
          <w:rFonts w:ascii="Times New Roman" w:hAnsi="Times New Roman"/>
          <w:b w:val="0"/>
          <w:i/>
          <w:color w:val="000000"/>
          <w:sz w:val="22"/>
        </w:rPr>
        <w:t>t</w:t>
      </w:r>
      <w:r>
        <w:rPr>
          <w:rFonts w:ascii="Times New Roman" w:hAnsi="Times New Roman"/>
          <w:b w:val="0"/>
          <w:i w:val="0"/>
          <w:color w:val="000000"/>
          <w:sz w:val="22"/>
        </w:rPr>
        <w:t xml:space="preserve"> = 25 m before the detector is required to fire.</w:t>
      </w:r>
    </w:p>
    <w:p>
      <w:pPr>
        <w:pStyle w:val="ListNumber"/>
      </w:pPr>
      <w:r>
        <w:rPr>
          <w:rFonts w:ascii="Times New Roman" w:hAnsi="Times New Roman"/>
          <w:b/>
          <w:i w:val="0"/>
          <w:color w:val="000000"/>
          <w:sz w:val="22"/>
        </w:rPr>
        <w:t>Mitigation latency.</w:t>
      </w:r>
      <w:r>
        <w:rPr>
          <w:rFonts w:ascii="Times New Roman" w:hAnsi="Times New Roman"/>
          <w:b w:val="0"/>
          <w:i w:val="0"/>
          <w:color w:val="000000"/>
          <w:sz w:val="22"/>
        </w:rPr>
        <w:t xml:space="preserve"> Adding a 1 s reserve for the autopilot to abort yields a total displacement of approximately </w:t>
      </w:r>
      <w:r>
        <w:rPr>
          <w:rFonts w:ascii="Times New Roman" w:hAnsi="Times New Roman"/>
          <w:b w:val="0"/>
          <w:i/>
          <w:color w:val="000000"/>
          <w:sz w:val="22"/>
        </w:rPr>
        <w:t>v</w:t>
      </w:r>
      <w:r>
        <w:rPr>
          <w:rFonts w:ascii="Times New Roman" w:hAnsi="Times New Roman"/>
          <w:b w:val="0"/>
          <w:i w:val="0"/>
          <w:color w:val="000000"/>
          <w:sz w:val="22"/>
        </w:rPr>
        <w:t xml:space="preserve"> · (Δ</w:t>
      </w:r>
      <w:r>
        <w:rPr>
          <w:rFonts w:ascii="Times New Roman" w:hAnsi="Times New Roman"/>
          <w:b w:val="0"/>
          <w:i/>
          <w:color w:val="000000"/>
          <w:sz w:val="22"/>
        </w:rPr>
        <w:t>t</w:t>
      </w:r>
      <w:r>
        <w:rPr>
          <w:rFonts w:ascii="Times New Roman" w:hAnsi="Times New Roman"/>
          <w:b w:val="0"/>
          <w:i w:val="0"/>
          <w:color w:val="000000"/>
          <w:sz w:val="22"/>
        </w:rPr>
        <w:t xml:space="preserve"> + 1 s) = 30 m.</w:t>
      </w:r>
    </w:p>
    <w:p>
      <w:pPr>
        <w:pStyle w:val="ListNumber"/>
      </w:pPr>
      <w:r>
        <w:rPr>
          <w:rFonts w:ascii="Times New Roman" w:hAnsi="Times New Roman"/>
          <w:b/>
          <w:i w:val="0"/>
          <w:color w:val="000000"/>
          <w:sz w:val="22"/>
        </w:rPr>
        <w:t>Allowed margin.</w:t>
      </w:r>
      <w:r>
        <w:rPr>
          <w:rFonts w:ascii="Times New Roman" w:hAnsi="Times New Roman"/>
          <w:b w:val="0"/>
          <w:i w:val="0"/>
          <w:color w:val="000000"/>
          <w:sz w:val="22"/>
        </w:rPr>
        <w:t xml:space="preserve"> GB 26860-2011 specifies a 5 m safe-approach distance to 500 kV transmission lines against a 35 m planned standoff, leaving a 30 m abort margin between the planned trajectory and the no-fly boundary.</w:t>
      </w:r>
    </w:p>
    <w:p>
      <w:pPr>
        <w:pStyle w:val="ListNumber"/>
      </w:pPr>
      <w:r>
        <w:rPr>
          <w:rFonts w:ascii="Times New Roman" w:hAnsi="Times New Roman"/>
          <w:b/>
          <w:i w:val="0"/>
          <w:color w:val="000000"/>
          <w:sz w:val="22"/>
        </w:rPr>
        <w:t>Required detection rate.</w:t>
      </w:r>
      <w:r>
        <w:rPr>
          <w:rFonts w:ascii="Times New Roman" w:hAnsi="Times New Roman"/>
          <w:b w:val="0"/>
          <w:i w:val="0"/>
          <w:color w:val="000000"/>
          <w:sz w:val="22"/>
        </w:rPr>
        <w:t xml:space="preserve"> A DR@5s ≥ 85% means at most 15% of attacks are missed within the 5 s budget; the remaining 30 m abort margin tolerates this miss rate at 5 m/s.</w:t>
      </w:r>
    </w:p>
    <w:p>
      <w:r>
        <w:rPr>
          <w:rFonts w:ascii="Times New Roman" w:hAnsi="Times New Roman"/>
          <w:b w:val="0"/>
          <w:i w:val="0"/>
          <w:color w:val="000000"/>
          <w:sz w:val="22"/>
        </w:rPr>
        <w:t>The MTBFA ≥ 0.1 h threshold follows from a tolerance of ≤10 nuisance alarms per 1-hour inspection tour, consistent with Axelsson [ref10] and ISO 11064-5 supervisory-control practice. The medical/industrial analogies from ISO 11064-5 [ref32] are retained only as supporting evidence rather than as the load-bearing argument.</w:t>
      </w:r>
    </w:p>
    <w:p>
      <w:r>
        <w:rPr>
          <w:rFonts w:ascii="Times New Roman" w:hAnsi="Times New Roman"/>
          <w:b/>
          <w:i w:val="0"/>
          <w:color w:val="0064B4"/>
          <w:sz w:val="22"/>
        </w:rPr>
        <w:t>Action:</w:t>
      </w:r>
      <w:r>
        <w:rPr>
          <w:rFonts w:ascii="Times New Roman" w:hAnsi="Times New Roman"/>
          <w:b w:val="0"/>
          <w:i w:val="0"/>
          <w:color w:val="0064B4"/>
          <w:sz w:val="22"/>
        </w:rPr>
        <w:t xml:space="preserve"> Section IV-E substantially rewritten with the risk equation and the GB 26860-2011 citation as the primary basis. Domain-analogy references demoted to supporting evidence.</w:t>
      </w:r>
    </w:p>
    <w:p>
      <w:r>
        <w:rPr>
          <w:rFonts w:ascii="Times New Roman" w:hAnsi="Times New Roman"/>
          <w:b/>
          <w:i w:val="0"/>
          <w:color w:val="B43C3C"/>
          <w:sz w:val="22"/>
        </w:rPr>
        <w:t>[Reviewer 1, Comment 5]</w:t>
      </w:r>
    </w:p>
    <w:p>
      <w:pPr>
        <w:ind w:left="576"/>
      </w:pPr>
      <w:r>
        <w:rPr>
          <w:rFonts w:ascii="Times New Roman" w:hAnsi="Times New Roman"/>
          <w:b w:val="0"/>
          <w:i/>
          <w:color w:val="000000"/>
          <w:sz w:val="22"/>
        </w:rPr>
        <w:t>"No confidence intervals or significance testing for comparison claims."</w:t>
      </w:r>
    </w:p>
    <w:p>
      <w:r>
        <w:rPr>
          <w:rFonts w:ascii="Times New Roman" w:hAnsi="Times New Roman"/>
          <w:b/>
          <w:i w:val="0"/>
          <w:color w:val="000000"/>
          <w:sz w:val="22"/>
        </w:rPr>
        <w:t>Response:</w:t>
      </w:r>
      <w:r>
        <w:rPr>
          <w:rFonts w:ascii="Times New Roman" w:hAnsi="Times New Roman"/>
          <w:b w:val="0"/>
          <w:i w:val="0"/>
          <w:color w:val="000000"/>
          <w:sz w:val="22"/>
        </w:rPr>
        <w:t xml:space="preserve"> All metrics are reported as mean ± 95% CI computed by 1,000-iteration percentile bootstrap over five independent training seeds. Pairwise paired </w:t>
      </w:r>
      <w:r>
        <w:rPr>
          <w:rFonts w:ascii="Times New Roman" w:hAnsi="Times New Roman"/>
          <w:b w:val="0"/>
          <w:i/>
          <w:color w:val="000000"/>
          <w:sz w:val="22"/>
        </w:rPr>
        <w:t>t</w:t>
      </w:r>
      <w:r>
        <w:rPr>
          <w:rFonts w:ascii="Times New Roman" w:hAnsi="Times New Roman"/>
          <w:b w:val="0"/>
          <w:i w:val="0"/>
          <w:color w:val="000000"/>
          <w:sz w:val="22"/>
        </w:rPr>
        <w:t xml:space="preserve">-tests with Bonferroni correction (α-adjusted for </w:t>
      </w:r>
      <w:r>
        <w:rPr>
          <w:rFonts w:ascii="Times New Roman" w:hAnsi="Times New Roman"/>
          <w:b w:val="0"/>
          <w:i/>
          <w:color w:val="000000"/>
          <w:sz w:val="22"/>
        </w:rPr>
        <w:t>C</w:t>
      </w:r>
      <w:r>
        <w:rPr>
          <w:rFonts w:ascii="Times New Roman" w:hAnsi="Times New Roman"/>
          <w:b w:val="0"/>
          <w:i w:val="0"/>
          <w:color w:val="000000"/>
          <w:sz w:val="22"/>
        </w:rPr>
        <w:t xml:space="preserve">(7, 2) = 21 comparisons; α = 0.05/21 ≈ 0.00238) are reported for DR@5s. The full pairwise </w:t>
      </w:r>
      <w:r>
        <w:rPr>
          <w:rFonts w:ascii="Times New Roman" w:hAnsi="Times New Roman"/>
          <w:b w:val="0"/>
          <w:i/>
          <w:color w:val="000000"/>
          <w:sz w:val="22"/>
        </w:rPr>
        <w:t>p</w:t>
      </w:r>
      <w:r>
        <w:rPr>
          <w:rFonts w:ascii="Times New Roman" w:hAnsi="Times New Roman"/>
          <w:b w:val="0"/>
          <w:i w:val="0"/>
          <w:color w:val="000000"/>
          <w:sz w:val="22"/>
        </w:rPr>
        <w:t>-value matrix is inlined below.</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Times New Roman" w:hAnsi="Times New Roman"/>
                <w:b/>
                <w:i w:val="0"/>
                <w:color w:val="000000"/>
                <w:sz w:val="22"/>
              </w:rPr>
            </w:r>
          </w:p>
        </w:tc>
        <w:tc>
          <w:tcPr>
            <w:tcW w:type="dxa" w:w="1176"/>
          </w:tcPr>
          <w:p>
            <w:r>
              <w:rPr>
                <w:rFonts w:ascii="Times New Roman" w:hAnsi="Times New Roman"/>
                <w:b/>
                <w:i w:val="0"/>
                <w:color w:val="000000"/>
                <w:sz w:val="22"/>
              </w:rPr>
              <w:t>CNN</w:t>
            </w:r>
          </w:p>
        </w:tc>
        <w:tc>
          <w:tcPr>
            <w:tcW w:type="dxa" w:w="1176"/>
          </w:tcPr>
          <w:p>
            <w:r>
              <w:rPr>
                <w:rFonts w:ascii="Times New Roman" w:hAnsi="Times New Roman"/>
                <w:b/>
                <w:i w:val="0"/>
                <w:color w:val="000000"/>
                <w:sz w:val="22"/>
              </w:rPr>
              <w:t>LSTM</w:t>
            </w:r>
          </w:p>
        </w:tc>
        <w:tc>
          <w:tcPr>
            <w:tcW w:type="dxa" w:w="1176"/>
          </w:tcPr>
          <w:p>
            <w:r>
              <w:rPr>
                <w:rFonts w:ascii="Times New Roman" w:hAnsi="Times New Roman"/>
                <w:b/>
                <w:i w:val="0"/>
                <w:color w:val="000000"/>
                <w:sz w:val="22"/>
              </w:rPr>
              <w:t>BiLSTM</w:t>
            </w:r>
          </w:p>
        </w:tc>
        <w:tc>
          <w:tcPr>
            <w:tcW w:type="dxa" w:w="1176"/>
          </w:tcPr>
          <w:p>
            <w:r>
              <w:rPr>
                <w:rFonts w:ascii="Times New Roman" w:hAnsi="Times New Roman"/>
                <w:b/>
                <w:i w:val="0"/>
                <w:color w:val="000000"/>
                <w:sz w:val="22"/>
              </w:rPr>
              <w:t>GRU</w:t>
            </w:r>
          </w:p>
        </w:tc>
        <w:tc>
          <w:tcPr>
            <w:tcW w:type="dxa" w:w="1176"/>
          </w:tcPr>
          <w:p>
            <w:r>
              <w:rPr>
                <w:rFonts w:ascii="Times New Roman" w:hAnsi="Times New Roman"/>
                <w:b/>
                <w:i w:val="0"/>
                <w:color w:val="000000"/>
                <w:sz w:val="22"/>
              </w:rPr>
              <w:t>CNN-LSTM</w:t>
            </w:r>
          </w:p>
        </w:tc>
        <w:tc>
          <w:tcPr>
            <w:tcW w:type="dxa" w:w="1176"/>
          </w:tcPr>
          <w:p>
            <w:r>
              <w:rPr>
                <w:rFonts w:ascii="Times New Roman" w:hAnsi="Times New Roman"/>
                <w:b/>
                <w:i w:val="0"/>
                <w:color w:val="000000"/>
                <w:sz w:val="22"/>
              </w:rPr>
              <w:t>TCN</w:t>
            </w:r>
          </w:p>
        </w:tc>
        <w:tc>
          <w:tcPr>
            <w:tcW w:type="dxa" w:w="1176"/>
          </w:tcPr>
          <w:p>
            <w:r>
              <w:rPr>
                <w:rFonts w:ascii="Times New Roman" w:hAnsi="Times New Roman"/>
                <w:b/>
                <w:i w:val="0"/>
                <w:color w:val="000000"/>
                <w:sz w:val="22"/>
              </w:rPr>
              <w:t>Transformer</w:t>
            </w:r>
          </w:p>
        </w:tc>
      </w:tr>
      <w:tr>
        <w:tc>
          <w:tcPr>
            <w:tcW w:type="dxa" w:w="1176"/>
          </w:tcPr>
          <w:p>
            <w:r>
              <w:rPr>
                <w:rFonts w:ascii="Times New Roman" w:hAnsi="Times New Roman"/>
                <w:b w:val="0"/>
                <w:i w:val="0"/>
                <w:color w:val="000000"/>
                <w:sz w:val="22"/>
              </w:rPr>
              <w:t>CNN</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0.074</w:t>
            </w:r>
          </w:p>
        </w:tc>
        <w:tc>
          <w:tcPr>
            <w:tcW w:type="dxa" w:w="1176"/>
          </w:tcPr>
          <w:p>
            <w:r>
              <w:rPr>
                <w:rFonts w:ascii="Times New Roman" w:hAnsi="Times New Roman"/>
                <w:b w:val="0"/>
                <w:i w:val="0"/>
                <w:color w:val="000000"/>
                <w:sz w:val="22"/>
              </w:rPr>
              <w:t>0.027</w:t>
            </w:r>
          </w:p>
        </w:tc>
        <w:tc>
          <w:tcPr>
            <w:tcW w:type="dxa" w:w="1176"/>
          </w:tcPr>
          <w:p>
            <w:r>
              <w:rPr>
                <w:rFonts w:ascii="Times New Roman" w:hAnsi="Times New Roman"/>
                <w:b w:val="0"/>
                <w:i w:val="0"/>
                <w:color w:val="000000"/>
                <w:sz w:val="22"/>
              </w:rPr>
              <w:t>0.150</w:t>
            </w:r>
          </w:p>
        </w:tc>
        <w:tc>
          <w:tcPr>
            <w:tcW w:type="dxa" w:w="1176"/>
          </w:tcPr>
          <w:p>
            <w:r>
              <w:rPr>
                <w:rFonts w:ascii="Times New Roman" w:hAnsi="Times New Roman"/>
                <w:b w:val="0"/>
                <w:i w:val="0"/>
                <w:color w:val="000000"/>
                <w:sz w:val="22"/>
              </w:rPr>
              <w:t>0.654</w:t>
            </w:r>
          </w:p>
        </w:tc>
        <w:tc>
          <w:tcPr>
            <w:tcW w:type="dxa" w:w="1176"/>
          </w:tcPr>
          <w:p>
            <w:r>
              <w:rPr>
                <w:rFonts w:ascii="Times New Roman" w:hAnsi="Times New Roman"/>
                <w:b/>
                <w:i w:val="0"/>
                <w:color w:val="000000"/>
                <w:sz w:val="22"/>
              </w:rPr>
              <w:t>0.0002</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0.214</w:t>
            </w:r>
          </w:p>
        </w:tc>
      </w:tr>
      <w:tr>
        <w:tc>
          <w:tcPr>
            <w:tcW w:type="dxa" w:w="1176"/>
          </w:tcPr>
          <w:p>
            <w:r>
              <w:rPr>
                <w:rFonts w:ascii="Times New Roman" w:hAnsi="Times New Roman"/>
                <w:b w:val="0"/>
                <w:i w:val="0"/>
                <w:color w:val="000000"/>
                <w:sz w:val="22"/>
              </w:rPr>
              <w:t>LSTM</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0.463</w:t>
            </w:r>
          </w:p>
        </w:tc>
        <w:tc>
          <w:tcPr>
            <w:tcW w:type="dxa" w:w="1176"/>
          </w:tcPr>
          <w:p>
            <w:r>
              <w:rPr>
                <w:rFonts w:ascii="Times New Roman" w:hAnsi="Times New Roman"/>
                <w:b w:val="0"/>
                <w:i w:val="0"/>
                <w:color w:val="000000"/>
                <w:sz w:val="22"/>
              </w:rPr>
              <w:t>0.354</w:t>
            </w:r>
          </w:p>
        </w:tc>
        <w:tc>
          <w:tcPr>
            <w:tcW w:type="dxa" w:w="1176"/>
          </w:tcPr>
          <w:p>
            <w:r>
              <w:rPr>
                <w:rFonts w:ascii="Times New Roman" w:hAnsi="Times New Roman"/>
                <w:b w:val="0"/>
                <w:i w:val="0"/>
                <w:color w:val="000000"/>
                <w:sz w:val="22"/>
              </w:rPr>
              <w:t>0.076</w:t>
            </w:r>
          </w:p>
        </w:tc>
        <w:tc>
          <w:tcPr>
            <w:tcW w:type="dxa" w:w="1176"/>
          </w:tcPr>
          <w:p>
            <w:r>
              <w:rPr>
                <w:rFonts w:ascii="Times New Roman" w:hAnsi="Times New Roman"/>
                <w:b/>
                <w:i w:val="0"/>
                <w:color w:val="000000"/>
                <w:sz w:val="22"/>
              </w:rPr>
              <w:t>0.0021</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0.628</w:t>
            </w:r>
          </w:p>
        </w:tc>
      </w:tr>
      <w:tr>
        <w:tc>
          <w:tcPr>
            <w:tcW w:type="dxa" w:w="1176"/>
          </w:tcPr>
          <w:p>
            <w:r>
              <w:rPr>
                <w:rFonts w:ascii="Times New Roman" w:hAnsi="Times New Roman"/>
                <w:b w:val="0"/>
                <w:i w:val="0"/>
                <w:color w:val="000000"/>
                <w:sz w:val="22"/>
              </w:rPr>
              <w:t>BiLSTM</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0.008</w:t>
            </w:r>
          </w:p>
        </w:tc>
        <w:tc>
          <w:tcPr>
            <w:tcW w:type="dxa" w:w="1176"/>
          </w:tcPr>
          <w:p>
            <w:r>
              <w:rPr>
                <w:rFonts w:ascii="Times New Roman" w:hAnsi="Times New Roman"/>
                <w:b w:val="0"/>
                <w:i w:val="0"/>
                <w:color w:val="000000"/>
                <w:sz w:val="22"/>
              </w:rPr>
              <w:t>0.034</w:t>
            </w:r>
          </w:p>
        </w:tc>
        <w:tc>
          <w:tcPr>
            <w:tcW w:type="dxa" w:w="1176"/>
          </w:tcPr>
          <w:p>
            <w:r>
              <w:rPr>
                <w:rFonts w:ascii="Times New Roman" w:hAnsi="Times New Roman"/>
                <w:b/>
                <w:i w:val="0"/>
                <w:color w:val="000000"/>
                <w:sz w:val="22"/>
              </w:rPr>
              <w:t>0.0013</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0.808</w:t>
            </w:r>
          </w:p>
        </w:tc>
      </w:tr>
      <w:tr>
        <w:tc>
          <w:tcPr>
            <w:tcW w:type="dxa" w:w="1176"/>
          </w:tcPr>
          <w:p>
            <w:r>
              <w:rPr>
                <w:rFonts w:ascii="Times New Roman" w:hAnsi="Times New Roman"/>
                <w:b w:val="0"/>
                <w:i w:val="0"/>
                <w:color w:val="000000"/>
                <w:sz w:val="22"/>
              </w:rPr>
              <w:t>GRU</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0.347</w:t>
            </w:r>
          </w:p>
        </w:tc>
        <w:tc>
          <w:tcPr>
            <w:tcW w:type="dxa" w:w="1176"/>
          </w:tcPr>
          <w:p>
            <w:r>
              <w:rPr>
                <w:rFonts w:ascii="Times New Roman" w:hAnsi="Times New Roman"/>
                <w:b/>
                <w:i w:val="0"/>
                <w:color w:val="000000"/>
                <w:sz w:val="22"/>
              </w:rPr>
              <w:t>0.0008</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0.466</w:t>
            </w:r>
          </w:p>
        </w:tc>
      </w:tr>
      <w:tr>
        <w:tc>
          <w:tcPr>
            <w:tcW w:type="dxa" w:w="1176"/>
          </w:tcPr>
          <w:p>
            <w:r>
              <w:rPr>
                <w:rFonts w:ascii="Times New Roman" w:hAnsi="Times New Roman"/>
                <w:b w:val="0"/>
                <w:i w:val="0"/>
                <w:color w:val="000000"/>
                <w:sz w:val="22"/>
              </w:rPr>
              <w:t>CNN-LSTM</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i w:val="0"/>
                <w:color w:val="000000"/>
                <w:sz w:val="22"/>
              </w:rPr>
              <w:t>0.0005</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0.287</w:t>
            </w:r>
          </w:p>
        </w:tc>
      </w:tr>
      <w:tr>
        <w:tc>
          <w:tcPr>
            <w:tcW w:type="dxa" w:w="1176"/>
          </w:tcPr>
          <w:p>
            <w:r>
              <w:rPr>
                <w:rFonts w:ascii="Times New Roman" w:hAnsi="Times New Roman"/>
                <w:b w:val="0"/>
                <w:i w:val="0"/>
                <w:color w:val="000000"/>
                <w:sz w:val="22"/>
              </w:rPr>
              <w:t>TCN</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0.007</w:t>
            </w:r>
          </w:p>
        </w:tc>
      </w:tr>
      <w:tr>
        <w:tc>
          <w:tcPr>
            <w:tcW w:type="dxa" w:w="1176"/>
          </w:tcPr>
          <w:p>
            <w:r>
              <w:rPr>
                <w:rFonts w:ascii="Times New Roman" w:hAnsi="Times New Roman"/>
                <w:b w:val="0"/>
                <w:i w:val="0"/>
                <w:color w:val="000000"/>
                <w:sz w:val="22"/>
              </w:rPr>
              <w:t>Transformer</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r>
    </w:tbl>
    <w:p>
      <w:r>
        <w:rPr>
          <w:rFonts w:ascii="Times New Roman" w:hAnsi="Times New Roman"/>
          <w:b w:val="0"/>
          <w:i w:val="0"/>
          <w:color w:val="000000"/>
          <w:sz w:val="22"/>
        </w:rPr>
        <w:t>\</w:t>
      </w:r>
      <w:r>
        <w:rPr>
          <w:rFonts w:ascii="Times New Roman" w:hAnsi="Times New Roman"/>
          <w:b w:val="0"/>
          <w:i/>
          <w:color w:val="000000"/>
          <w:sz w:val="22"/>
        </w:rPr>
        <w:t xml:space="preserve"> significant at Bonferroni-corrected α = 0.05/21 ≈ 0.00238. At the corrected threshold, five pairs are statistically significant on DR@5s: CNN vs TCN (</w:t>
      </w:r>
      <w:r>
        <w:rPr>
          <w:rFonts w:ascii="Times New Roman" w:hAnsi="Times New Roman"/>
          <w:b w:val="0"/>
          <w:i w:val="0"/>
          <w:color w:val="000000"/>
          <w:sz w:val="22"/>
        </w:rPr>
        <w:t>p</w:t>
      </w:r>
      <w:r>
        <w:rPr>
          <w:rFonts w:ascii="Times New Roman" w:hAnsi="Times New Roman"/>
          <w:b w:val="0"/>
          <w:i/>
          <w:color w:val="000000"/>
          <w:sz w:val="22"/>
        </w:rPr>
        <w:t xml:space="preserve"> = 0.0002), LSTM vs TCN (</w:t>
      </w:r>
      <w:r>
        <w:rPr>
          <w:rFonts w:ascii="Times New Roman" w:hAnsi="Times New Roman"/>
          <w:b w:val="0"/>
          <w:i w:val="0"/>
          <w:color w:val="000000"/>
          <w:sz w:val="22"/>
        </w:rPr>
        <w:t>p</w:t>
      </w:r>
      <w:r>
        <w:rPr>
          <w:rFonts w:ascii="Times New Roman" w:hAnsi="Times New Roman"/>
          <w:b w:val="0"/>
          <w:i/>
          <w:color w:val="000000"/>
          <w:sz w:val="22"/>
        </w:rPr>
        <w:t xml:space="preserve"> = 0.0021), BiLSTM vs TCN (</w:t>
      </w:r>
      <w:r>
        <w:rPr>
          <w:rFonts w:ascii="Times New Roman" w:hAnsi="Times New Roman"/>
          <w:b w:val="0"/>
          <w:i w:val="0"/>
          <w:color w:val="000000"/>
          <w:sz w:val="22"/>
        </w:rPr>
        <w:t>p</w:t>
      </w:r>
      <w:r>
        <w:rPr>
          <w:rFonts w:ascii="Times New Roman" w:hAnsi="Times New Roman"/>
          <w:b w:val="0"/>
          <w:i/>
          <w:color w:val="000000"/>
          <w:sz w:val="22"/>
        </w:rPr>
        <w:t xml:space="preserve"> = 0.0013), GRU vs TCN (</w:t>
      </w:r>
      <w:r>
        <w:rPr>
          <w:rFonts w:ascii="Times New Roman" w:hAnsi="Times New Roman"/>
          <w:b w:val="0"/>
          <w:i w:val="0"/>
          <w:color w:val="000000"/>
          <w:sz w:val="22"/>
        </w:rPr>
        <w:t>p</w:t>
      </w:r>
      <w:r>
        <w:rPr>
          <w:rFonts w:ascii="Times New Roman" w:hAnsi="Times New Roman"/>
          <w:b w:val="0"/>
          <w:i/>
          <w:color w:val="000000"/>
          <w:sz w:val="22"/>
        </w:rPr>
        <w:t xml:space="preserve"> = 0.0008), and CNN-LSTM vs TCN (</w:t>
      </w:r>
      <w:r>
        <w:rPr>
          <w:rFonts w:ascii="Times New Roman" w:hAnsi="Times New Roman"/>
          <w:b w:val="0"/>
          <w:i w:val="0"/>
          <w:color w:val="000000"/>
          <w:sz w:val="22"/>
        </w:rPr>
        <w:t>p* = 0.0005), confirming that TCN's substantially lower DR@5s is not an artefact of seed-level variance.</w:t>
      </w:r>
    </w:p>
    <w:p>
      <w:r>
        <w:rPr>
          <w:rFonts w:ascii="Times New Roman" w:hAnsi="Times New Roman"/>
          <w:b/>
          <w:i w:val="0"/>
          <w:color w:val="0064B4"/>
          <w:sz w:val="22"/>
        </w:rPr>
        <w:t>Action:</w:t>
      </w:r>
      <w:r>
        <w:rPr>
          <w:rFonts w:ascii="Times New Roman" w:hAnsi="Times New Roman"/>
          <w:b w:val="0"/>
          <w:i w:val="0"/>
          <w:color w:val="0064B4"/>
          <w:sz w:val="22"/>
        </w:rPr>
        <w:t xml:space="preserve"> Statistical methods described in Section IV-D. All tables regenerated with CIs; the pairwise </w:t>
      </w:r>
      <w:r>
        <w:rPr>
          <w:rFonts w:ascii="Times New Roman" w:hAnsi="Times New Roman"/>
          <w:b w:val="0"/>
          <w:i/>
          <w:color w:val="0064B4"/>
          <w:sz w:val="22"/>
        </w:rPr>
        <w:t>t</w:t>
      </w:r>
      <w:r>
        <w:rPr>
          <w:rFonts w:ascii="Times New Roman" w:hAnsi="Times New Roman"/>
          <w:b w:val="0"/>
          <w:i w:val="0"/>
          <w:color w:val="0064B4"/>
          <w:sz w:val="22"/>
        </w:rPr>
        <w:t>-test table appears in Section V.</w:t>
      </w:r>
    </w:p>
    <w:p>
      <w:r>
        <w:rPr>
          <w:rFonts w:ascii="Times New Roman" w:hAnsi="Times New Roman"/>
          <w:b/>
          <w:i w:val="0"/>
          <w:color w:val="B43C3C"/>
          <w:sz w:val="22"/>
        </w:rPr>
        <w:t>[Reviewer 1, Comment 6]</w:t>
      </w:r>
    </w:p>
    <w:p>
      <w:pPr>
        <w:ind w:left="576"/>
      </w:pPr>
      <w:r>
        <w:rPr>
          <w:rFonts w:ascii="Times New Roman" w:hAnsi="Times New Roman"/>
          <w:b w:val="0"/>
          <w:i/>
          <w:color w:val="000000"/>
          <w:sz w:val="22"/>
        </w:rPr>
        <w:t>"No ablation study on window size or step size."</w:t>
      </w:r>
    </w:p>
    <w:p>
      <w:r>
        <w:rPr>
          <w:rFonts w:ascii="Times New Roman" w:hAnsi="Times New Roman"/>
          <w:b/>
          <w:i w:val="0"/>
          <w:color w:val="000000"/>
          <w:sz w:val="22"/>
        </w:rPr>
        <w:t>Response:</w:t>
      </w:r>
      <w:r>
        <w:rPr>
          <w:rFonts w:ascii="Times New Roman" w:hAnsi="Times New Roman"/>
          <w:b w:val="0"/>
          <w:i w:val="0"/>
          <w:color w:val="000000"/>
          <w:sz w:val="22"/>
        </w:rPr>
        <w:t xml:space="preserve"> Window size </w:t>
      </w:r>
      <w:r>
        <w:rPr>
          <w:rFonts w:ascii="Times New Roman" w:hAnsi="Times New Roman"/>
          <w:b w:val="0"/>
          <w:i/>
          <w:color w:val="000000"/>
          <w:sz w:val="22"/>
        </w:rPr>
        <w:t>L</w:t>
      </w:r>
      <w:r>
        <w:rPr>
          <w:rFonts w:ascii="Times New Roman" w:hAnsi="Times New Roman"/>
          <w:b w:val="0"/>
          <w:i w:val="0"/>
          <w:color w:val="000000"/>
          <w:sz w:val="22"/>
        </w:rPr>
        <w:t xml:space="preserve"> ∈ {30, 50, 80} samples and step size </w:t>
      </w:r>
      <w:r>
        <w:rPr>
          <w:rFonts w:ascii="Times New Roman" w:hAnsi="Times New Roman"/>
          <w:b w:val="0"/>
          <w:i/>
          <w:color w:val="000000"/>
          <w:sz w:val="22"/>
        </w:rPr>
        <w:t>S</w:t>
      </w:r>
      <w:r>
        <w:rPr>
          <w:rFonts w:ascii="Times New Roman" w:hAnsi="Times New Roman"/>
          <w:b w:val="0"/>
          <w:i w:val="0"/>
          <w:color w:val="000000"/>
          <w:sz w:val="22"/>
        </w:rPr>
        <w:t xml:space="preserve"> ∈ {3, 5, 10} samples were swept on GRU (three seeds per cell) and the resulting DR@5s grid is: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r>
          </w:p>
        </w:tc>
        <w:tc>
          <w:tcPr>
            <w:tcW w:type="dxa" w:w="2351"/>
          </w:tcPr>
          <w:p>
            <w:r>
              <w:rPr>
                <w:rFonts w:ascii="Times New Roman" w:hAnsi="Times New Roman"/>
                <w:b/>
                <w:i w:val="0"/>
                <w:color w:val="000000"/>
                <w:sz w:val="22"/>
              </w:rPr>
              <w:t>Step 3</w:t>
            </w:r>
          </w:p>
        </w:tc>
        <w:tc>
          <w:tcPr>
            <w:tcW w:type="dxa" w:w="2351"/>
          </w:tcPr>
          <w:p>
            <w:r>
              <w:rPr>
                <w:rFonts w:ascii="Times New Roman" w:hAnsi="Times New Roman"/>
                <w:b/>
                <w:i w:val="0"/>
                <w:color w:val="000000"/>
                <w:sz w:val="22"/>
              </w:rPr>
              <w:t>Step 5</w:t>
            </w:r>
          </w:p>
        </w:tc>
        <w:tc>
          <w:tcPr>
            <w:tcW w:type="dxa" w:w="2351"/>
          </w:tcPr>
          <w:p>
            <w:r>
              <w:rPr>
                <w:rFonts w:ascii="Times New Roman" w:hAnsi="Times New Roman"/>
                <w:b/>
                <w:i w:val="0"/>
                <w:color w:val="000000"/>
                <w:sz w:val="22"/>
              </w:rPr>
              <w:t>Step 10</w:t>
            </w:r>
          </w:p>
        </w:tc>
      </w:tr>
      <w:tr>
        <w:tc>
          <w:tcPr>
            <w:tcW w:type="dxa" w:w="2351"/>
          </w:tcPr>
          <w:p>
            <w:r>
              <w:rPr>
                <w:rFonts w:ascii="Times New Roman" w:hAnsi="Times New Roman"/>
                <w:b/>
                <w:i w:val="0"/>
                <w:color w:val="000000"/>
                <w:sz w:val="22"/>
              </w:rPr>
              <w:t>L = 30</w:t>
            </w:r>
          </w:p>
        </w:tc>
        <w:tc>
          <w:tcPr>
            <w:tcW w:type="dxa" w:w="2351"/>
          </w:tcPr>
          <w:p>
            <w:r>
              <w:rPr>
                <w:rFonts w:ascii="Times New Roman" w:hAnsi="Times New Roman"/>
                <w:b w:val="0"/>
                <w:i w:val="0"/>
                <w:color w:val="000000"/>
                <w:sz w:val="22"/>
              </w:rPr>
              <w:t>0.951</w:t>
            </w:r>
          </w:p>
        </w:tc>
        <w:tc>
          <w:tcPr>
            <w:tcW w:type="dxa" w:w="2351"/>
          </w:tcPr>
          <w:p>
            <w:r>
              <w:rPr>
                <w:rFonts w:ascii="Times New Roman" w:hAnsi="Times New Roman"/>
                <w:b w:val="0"/>
                <w:i w:val="0"/>
                <w:color w:val="000000"/>
                <w:sz w:val="22"/>
              </w:rPr>
              <w:t>0.948</w:t>
            </w:r>
          </w:p>
        </w:tc>
        <w:tc>
          <w:tcPr>
            <w:tcW w:type="dxa" w:w="2351"/>
          </w:tcPr>
          <w:p>
            <w:r>
              <w:rPr>
                <w:rFonts w:ascii="Times New Roman" w:hAnsi="Times New Roman"/>
                <w:b w:val="0"/>
                <w:i w:val="0"/>
                <w:color w:val="000000"/>
                <w:sz w:val="22"/>
              </w:rPr>
              <w:t>0.949</w:t>
            </w:r>
          </w:p>
        </w:tc>
      </w:tr>
      <w:tr>
        <w:tc>
          <w:tcPr>
            <w:tcW w:type="dxa" w:w="2351"/>
          </w:tcPr>
          <w:p>
            <w:r>
              <w:rPr>
                <w:rFonts w:ascii="Times New Roman" w:hAnsi="Times New Roman"/>
                <w:b/>
                <w:i w:val="0"/>
                <w:color w:val="000000"/>
                <w:sz w:val="22"/>
              </w:rPr>
              <w:t>L = 50</w:t>
            </w:r>
          </w:p>
        </w:tc>
        <w:tc>
          <w:tcPr>
            <w:tcW w:type="dxa" w:w="2351"/>
          </w:tcPr>
          <w:p>
            <w:r>
              <w:rPr>
                <w:rFonts w:ascii="Times New Roman" w:hAnsi="Times New Roman"/>
                <w:b w:val="0"/>
                <w:i w:val="0"/>
                <w:color w:val="000000"/>
                <w:sz w:val="22"/>
              </w:rPr>
              <w:t>0.953</w:t>
            </w:r>
          </w:p>
        </w:tc>
        <w:tc>
          <w:tcPr>
            <w:tcW w:type="dxa" w:w="2351"/>
          </w:tcPr>
          <w:p>
            <w:r>
              <w:rPr>
                <w:rFonts w:ascii="Times New Roman" w:hAnsi="Times New Roman"/>
                <w:b w:val="0"/>
                <w:i w:val="0"/>
                <w:color w:val="000000"/>
                <w:sz w:val="22"/>
              </w:rPr>
              <w:t>0.940</w:t>
            </w:r>
          </w:p>
        </w:tc>
        <w:tc>
          <w:tcPr>
            <w:tcW w:type="dxa" w:w="2351"/>
          </w:tcPr>
          <w:p>
            <w:r>
              <w:rPr>
                <w:rFonts w:ascii="Times New Roman" w:hAnsi="Times New Roman"/>
                <w:b w:val="0"/>
                <w:i w:val="0"/>
                <w:color w:val="000000"/>
                <w:sz w:val="22"/>
              </w:rPr>
              <w:t>0.924</w:t>
            </w:r>
          </w:p>
        </w:tc>
      </w:tr>
      <w:tr>
        <w:tc>
          <w:tcPr>
            <w:tcW w:type="dxa" w:w="2351"/>
          </w:tcPr>
          <w:p>
            <w:r>
              <w:rPr>
                <w:rFonts w:ascii="Times New Roman" w:hAnsi="Times New Roman"/>
                <w:b/>
                <w:i w:val="0"/>
                <w:color w:val="000000"/>
                <w:sz w:val="22"/>
              </w:rPr>
              <w:t>L = 80</w:t>
            </w:r>
          </w:p>
        </w:tc>
        <w:tc>
          <w:tcPr>
            <w:tcW w:type="dxa" w:w="2351"/>
          </w:tcPr>
          <w:p>
            <w:r>
              <w:rPr>
                <w:rFonts w:ascii="Times New Roman" w:hAnsi="Times New Roman"/>
                <w:b w:val="0"/>
                <w:i w:val="0"/>
                <w:color w:val="000000"/>
                <w:sz w:val="22"/>
              </w:rPr>
              <w:t>0.951</w:t>
            </w:r>
          </w:p>
        </w:tc>
        <w:tc>
          <w:tcPr>
            <w:tcW w:type="dxa" w:w="2351"/>
          </w:tcPr>
          <w:p>
            <w:r>
              <w:rPr>
                <w:rFonts w:ascii="Times New Roman" w:hAnsi="Times New Roman"/>
                <w:b w:val="0"/>
                <w:i w:val="0"/>
                <w:color w:val="000000"/>
                <w:sz w:val="22"/>
              </w:rPr>
              <w:t>0.930</w:t>
            </w:r>
          </w:p>
        </w:tc>
        <w:tc>
          <w:tcPr>
            <w:tcW w:type="dxa" w:w="2351"/>
          </w:tcPr>
          <w:p>
            <w:r>
              <w:rPr>
                <w:rFonts w:ascii="Times New Roman" w:hAnsi="Times New Roman"/>
                <w:b w:val="0"/>
                <w:i w:val="0"/>
                <w:color w:val="000000"/>
                <w:sz w:val="22"/>
              </w:rPr>
              <w:t>0.965</w:t>
            </w:r>
          </w:p>
        </w:tc>
      </w:tr>
    </w:tbl>
    <w:p>
      <w:r>
        <w:rPr>
          <w:rFonts w:ascii="Times New Roman" w:hAnsi="Times New Roman"/>
          <w:b w:val="0"/>
          <w:i w:val="0"/>
          <w:color w:val="000000"/>
          <w:sz w:val="22"/>
        </w:rPr>
        <w:t xml:space="preserve">DR@5s ranges only from 0.924 to 0.965 across the entire 9-cell grid, a span of about 4 percentage points, which is comparable to seed-level noise. Architectural conclusions are therefore not artefacts of the window-and-step choice. The threshold-sensitivity paragraph in Section V-D additionally reports that at decision threshold </w:t>
      </w:r>
      <w:r>
        <w:rPr>
          <w:rFonts w:ascii="Times New Roman" w:hAnsi="Times New Roman"/>
          <w:b w:val="0"/>
          <w:i/>
          <w:color w:val="000000"/>
          <w:sz w:val="22"/>
        </w:rPr>
        <w:t>p</w:t>
      </w:r>
      <w:r>
        <w:rPr>
          <w:rFonts w:ascii="Times New Roman" w:hAnsi="Times New Roman"/>
          <w:b w:val="0"/>
          <w:i w:val="0"/>
          <w:color w:val="000000"/>
          <w:sz w:val="22"/>
        </w:rPr>
        <w:t xml:space="preserve"> = 0.5 every architecture's MTBFA falls in 0.016–0.043 h, well below the 0.1 h deployability target — establishing that the deployability gap we report is structural rather than threshold-tuned.</w:t>
      </w:r>
    </w:p>
    <w:p>
      <w:r>
        <w:rPr>
          <w:rFonts w:ascii="Times New Roman" w:hAnsi="Times New Roman"/>
          <w:b/>
          <w:i w:val="0"/>
          <w:color w:val="0064B4"/>
          <w:sz w:val="22"/>
        </w:rPr>
        <w:t>Action:</w:t>
      </w:r>
      <w:r>
        <w:rPr>
          <w:rFonts w:ascii="Times New Roman" w:hAnsi="Times New Roman"/>
          <w:b w:val="0"/>
          <w:i w:val="0"/>
          <w:color w:val="0064B4"/>
          <w:sz w:val="22"/>
        </w:rPr>
        <w:t xml:space="preserve"> Section V-D (Robustness Analysis) added; window/step heatmap figure added.</w:t>
      </w:r>
    </w:p>
    <w:p>
      <w:r>
        <w:rPr>
          <w:rFonts w:ascii="Times New Roman" w:hAnsi="Times New Roman"/>
          <w:b/>
          <w:i w:val="0"/>
          <w:color w:val="B43C3C"/>
          <w:sz w:val="22"/>
        </w:rPr>
        <w:t>[Reviewer 1, Comment 7]</w:t>
      </w:r>
    </w:p>
    <w:p>
      <w:pPr>
        <w:ind w:left="576"/>
      </w:pPr>
      <w:r>
        <w:rPr>
          <w:rFonts w:ascii="Times New Roman" w:hAnsi="Times New Roman"/>
          <w:b w:val="0"/>
          <w:i/>
          <w:color w:val="000000"/>
          <w:sz w:val="22"/>
        </w:rPr>
        <w:t>"References 27, 30, 31, 32, 33 are non-standard or missing DOIs."</w:t>
      </w:r>
    </w:p>
    <w:p>
      <w:r>
        <w:rPr>
          <w:rFonts w:ascii="Times New Roman" w:hAnsi="Times New Roman"/>
          <w:b/>
          <w:i w:val="0"/>
          <w:color w:val="000000"/>
          <w:sz w:val="22"/>
        </w:rPr>
        <w:t>Response:</w:t>
      </w:r>
      <w:r>
        <w:rPr>
          <w:rFonts w:ascii="Times New Roman" w:hAnsi="Times New Roman"/>
          <w:b w:val="0"/>
          <w:i w:val="0"/>
          <w:color w:val="000000"/>
          <w:sz w:val="22"/>
        </w:rPr>
        <w:t xml:space="preserve"> ref27 (NHS guidance) and ref33 (EEMUA 191) were removed: the medical/industrial analogies they supported are no longer the primary basis for deployability thresholds, which are now derived from UAV-specific risk constraints. ref31 (PX4 documentation) was removed when the experimental foundation switched from PX4 SITL to the MATLAB UAV Toolbox pipeline. ref30 (GB 26860-2011) is retained as the load-bearing safety-distance citation with full publisher and SAC URL. ref32 (ISO 11064-5:2008) is retained as a single supporting-analogy citation with full bibliographic detail and a publicly accessible URL. Four 2024 references have also been added: ref34 (Alhoraibi et al., </w:t>
      </w:r>
      <w:r>
        <w:rPr>
          <w:rFonts w:ascii="Times New Roman" w:hAnsi="Times New Roman"/>
          <w:b w:val="0"/>
          <w:i/>
          <w:color w:val="000000"/>
          <w:sz w:val="22"/>
        </w:rPr>
        <w:t>Sensors</w:t>
      </w:r>
      <w:r>
        <w:rPr>
          <w:rFonts w:ascii="Times New Roman" w:hAnsi="Times New Roman"/>
          <w:b w:val="0"/>
          <w:i w:val="0"/>
          <w:color w:val="000000"/>
          <w:sz w:val="22"/>
        </w:rPr>
        <w:t xml:space="preserve">, 2024), ref35 (Niu et al., </w:t>
      </w:r>
      <w:r>
        <w:rPr>
          <w:rFonts w:ascii="Times New Roman" w:hAnsi="Times New Roman"/>
          <w:b w:val="0"/>
          <w:i/>
          <w:color w:val="000000"/>
          <w:sz w:val="22"/>
        </w:rPr>
        <w:t>Adv. Space Res.</w:t>
      </w:r>
      <w:r>
        <w:rPr>
          <w:rFonts w:ascii="Times New Roman" w:hAnsi="Times New Roman"/>
          <w:b w:val="0"/>
          <w:i w:val="0"/>
          <w:color w:val="000000"/>
          <w:sz w:val="22"/>
        </w:rPr>
        <w:t>, 2024), ref36 (Humphreys ION GNSS spoofer reference), and ref38 (IEEE DataPort UAV Attack Dataset).</w:t>
      </w:r>
    </w:p>
    <w:p>
      <w:r>
        <w:rPr>
          <w:rFonts w:ascii="Times New Roman" w:hAnsi="Times New Roman"/>
          <w:b/>
          <w:i w:val="0"/>
          <w:color w:val="0064B4"/>
          <w:sz w:val="22"/>
        </w:rPr>
        <w:t>Action:</w:t>
      </w:r>
      <w:r>
        <w:rPr>
          <w:rFonts w:ascii="Times New Roman" w:hAnsi="Times New Roman"/>
          <w:b w:val="0"/>
          <w:i w:val="0"/>
          <w:color w:val="0064B4"/>
          <w:sz w:val="22"/>
        </w:rPr>
        <w:t xml:space="preserve"> ref27, ref31, ref33 removed; ref30 and ref32 retained with complete bibliographic detail; ref34, ref35, ref36, ref38 added.</w:t>
      </w:r>
    </w:p>
    <w:p/>
    <w:p>
      <w:r>
        <w:rPr>
          <w:rFonts w:ascii="Times New Roman" w:hAnsi="Times New Roman"/>
          <w:b/>
          <w:i w:val="0"/>
          <w:color w:val="000000"/>
          <w:sz w:val="26"/>
        </w:rPr>
        <w:t>Reviewer 2</w:t>
      </w:r>
    </w:p>
    <w:p>
      <w:r>
        <w:rPr>
          <w:rFonts w:ascii="Times New Roman" w:hAnsi="Times New Roman"/>
          <w:b/>
          <w:i w:val="0"/>
          <w:color w:val="B43C3C"/>
          <w:sz w:val="22"/>
        </w:rPr>
        <w:t>[Reviewer 2, Comment 1]</w:t>
      </w:r>
    </w:p>
    <w:p>
      <w:pPr>
        <w:ind w:left="576"/>
      </w:pPr>
      <w:r>
        <w:rPr>
          <w:rFonts w:ascii="Times New Roman" w:hAnsi="Times New Roman"/>
          <w:b w:val="0"/>
          <w:i/>
          <w:color w:val="000000"/>
          <w:sz w:val="22"/>
        </w:rPr>
        <w:t>"The notation is inconsistent across sections. A unified notation table would help clarity."</w:t>
      </w:r>
    </w:p>
    <w:p>
      <w:r>
        <w:rPr>
          <w:rFonts w:ascii="Times New Roman" w:hAnsi="Times New Roman"/>
          <w:b/>
          <w:i w:val="0"/>
          <w:color w:val="000000"/>
          <w:sz w:val="22"/>
        </w:rPr>
        <w:t>Response:</w:t>
      </w:r>
      <w:r>
        <w:rPr>
          <w:rFonts w:ascii="Times New Roman" w:hAnsi="Times New Roman"/>
          <w:b w:val="0"/>
          <w:i w:val="0"/>
          <w:color w:val="000000"/>
          <w:sz w:val="22"/>
        </w:rPr>
        <w:t xml:space="preserve"> Section III now opens with a single authoritative notation table, reproduced inline here, used consistently throughout the framework and case-study sections.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Times New Roman" w:hAnsi="Times New Roman"/>
                <w:b/>
                <w:i w:val="0"/>
                <w:color w:val="000000"/>
                <w:sz w:val="22"/>
              </w:rPr>
              <w:t>Symbol</w:t>
            </w:r>
          </w:p>
        </w:tc>
        <w:tc>
          <w:tcPr>
            <w:tcW w:type="dxa" w:w="3135"/>
          </w:tcPr>
          <w:p>
            <w:r>
              <w:rPr>
                <w:rFonts w:ascii="Times New Roman" w:hAnsi="Times New Roman"/>
                <w:b/>
                <w:i w:val="0"/>
                <w:color w:val="000000"/>
                <w:sz w:val="22"/>
              </w:rPr>
              <w:t>Meaning</w:t>
            </w:r>
          </w:p>
        </w:tc>
        <w:tc>
          <w:tcPr>
            <w:tcW w:type="dxa" w:w="3135"/>
          </w:tcPr>
          <w:p>
            <w:r>
              <w:rPr>
                <w:rFonts w:ascii="Times New Roman" w:hAnsi="Times New Roman"/>
                <w:b/>
                <w:i w:val="0"/>
                <w:color w:val="000000"/>
                <w:sz w:val="22"/>
              </w:rPr>
              <w:t>Units</w:t>
            </w:r>
          </w:p>
        </w:tc>
      </w:tr>
      <w:tr>
        <w:tc>
          <w:tcPr>
            <w:tcW w:type="dxa" w:w="3135"/>
          </w:tcPr>
          <w:p>
            <w:r>
              <w:rPr>
                <w:rFonts w:ascii="Times New Roman" w:hAnsi="Times New Roman"/>
                <w:b w:val="0"/>
                <w:i w:val="0"/>
                <w:color w:val="000000"/>
                <w:sz w:val="22"/>
              </w:rPr>
              <w:t>τ_k</w:t>
            </w:r>
          </w:p>
        </w:tc>
        <w:tc>
          <w:tcPr>
            <w:tcW w:type="dxa" w:w="3135"/>
          </w:tcPr>
          <w:p>
            <w:r>
              <w:rPr>
                <w:rFonts w:ascii="Times New Roman" w:hAnsi="Times New Roman"/>
                <w:b w:val="0"/>
                <w:i w:val="0"/>
                <w:color w:val="000000"/>
                <w:sz w:val="22"/>
              </w:rPr>
              <w:t xml:space="preserve">onset time of the </w:t>
            </w:r>
            <w:r>
              <w:rPr>
                <w:rFonts w:ascii="Times New Roman" w:hAnsi="Times New Roman"/>
                <w:b w:val="0"/>
                <w:i/>
                <w:color w:val="000000"/>
                <w:sz w:val="22"/>
              </w:rPr>
              <w:t>k</w:t>
            </w:r>
            <w:r>
              <w:rPr>
                <w:rFonts w:ascii="Times New Roman" w:hAnsi="Times New Roman"/>
                <w:b w:val="0"/>
                <w:i w:val="0"/>
                <w:color w:val="000000"/>
                <w:sz w:val="22"/>
              </w:rPr>
              <w:t>-th ground-truth attack</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t_s</w:t>
            </w:r>
          </w:p>
        </w:tc>
        <w:tc>
          <w:tcPr>
            <w:tcW w:type="dxa" w:w="3135"/>
          </w:tcPr>
          <w:p>
            <w:r>
              <w:rPr>
                <w:rFonts w:ascii="Times New Roman" w:hAnsi="Times New Roman"/>
                <w:b w:val="0"/>
                <w:i w:val="0"/>
                <w:color w:val="000000"/>
                <w:sz w:val="22"/>
              </w:rPr>
              <w:t>wall-clock timestamp of a sliding-window decision</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t_d</w:t>
            </w:r>
          </w:p>
        </w:tc>
        <w:tc>
          <w:tcPr>
            <w:tcW w:type="dxa" w:w="3135"/>
          </w:tcPr>
          <w:p>
            <w:r>
              <w:rPr>
                <w:rFonts w:ascii="Times New Roman" w:hAnsi="Times New Roman"/>
                <w:b w:val="0"/>
                <w:i w:val="0"/>
                <w:color w:val="000000"/>
                <w:sz w:val="22"/>
              </w:rPr>
              <w:t>first detection time after τ_k</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Δt</w:t>
            </w:r>
          </w:p>
        </w:tc>
        <w:tc>
          <w:tcPr>
            <w:tcW w:type="dxa" w:w="3135"/>
          </w:tcPr>
          <w:p>
            <w:r>
              <w:rPr>
                <w:rFonts w:ascii="Times New Roman" w:hAnsi="Times New Roman"/>
                <w:b w:val="0"/>
                <w:i w:val="0"/>
                <w:color w:val="000000"/>
                <w:sz w:val="22"/>
              </w:rPr>
              <w:t>detection-budget length (default 5 s)</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L</w:t>
            </w:r>
          </w:p>
        </w:tc>
        <w:tc>
          <w:tcPr>
            <w:tcW w:type="dxa" w:w="3135"/>
          </w:tcPr>
          <w:p>
            <w:r>
              <w:rPr>
                <w:rFonts w:ascii="Times New Roman" w:hAnsi="Times New Roman"/>
                <w:b w:val="0"/>
                <w:i w:val="0"/>
                <w:color w:val="000000"/>
                <w:sz w:val="22"/>
              </w:rPr>
              <w:t>sliding-window length</w:t>
            </w:r>
          </w:p>
        </w:tc>
        <w:tc>
          <w:tcPr>
            <w:tcW w:type="dxa" w:w="3135"/>
          </w:tcPr>
          <w:p>
            <w:r>
              <w:rPr>
                <w:rFonts w:ascii="Times New Roman" w:hAnsi="Times New Roman"/>
                <w:b w:val="0"/>
                <w:i w:val="0"/>
                <w:color w:val="000000"/>
                <w:sz w:val="22"/>
              </w:rPr>
              <w:t>samples</w:t>
            </w:r>
          </w:p>
        </w:tc>
      </w:tr>
      <w:tr>
        <w:tc>
          <w:tcPr>
            <w:tcW w:type="dxa" w:w="3135"/>
          </w:tcPr>
          <w:p>
            <w:r>
              <w:rPr>
                <w:rFonts w:ascii="Times New Roman" w:hAnsi="Times New Roman"/>
                <w:b w:val="0"/>
                <w:i w:val="0"/>
                <w:color w:val="000000"/>
                <w:sz w:val="22"/>
              </w:rPr>
              <w:t>S</w:t>
            </w:r>
          </w:p>
        </w:tc>
        <w:tc>
          <w:tcPr>
            <w:tcW w:type="dxa" w:w="3135"/>
          </w:tcPr>
          <w:p>
            <w:r>
              <w:rPr>
                <w:rFonts w:ascii="Times New Roman" w:hAnsi="Times New Roman"/>
                <w:b w:val="0"/>
                <w:i w:val="0"/>
                <w:color w:val="000000"/>
                <w:sz w:val="22"/>
              </w:rPr>
              <w:t>sliding-window step</w:t>
            </w:r>
          </w:p>
        </w:tc>
        <w:tc>
          <w:tcPr>
            <w:tcW w:type="dxa" w:w="3135"/>
          </w:tcPr>
          <w:p>
            <w:r>
              <w:rPr>
                <w:rFonts w:ascii="Times New Roman" w:hAnsi="Times New Roman"/>
                <w:b w:val="0"/>
                <w:i w:val="0"/>
                <w:color w:val="000000"/>
                <w:sz w:val="22"/>
              </w:rPr>
              <w:t>samples</w:t>
            </w:r>
          </w:p>
        </w:tc>
      </w:tr>
      <w:tr>
        <w:tc>
          <w:tcPr>
            <w:tcW w:type="dxa" w:w="3135"/>
          </w:tcPr>
          <w:p>
            <w:r>
              <w:rPr>
                <w:rFonts w:ascii="Times New Roman" w:hAnsi="Times New Roman"/>
                <w:b w:val="0"/>
                <w:i w:val="0"/>
                <w:color w:val="000000"/>
                <w:sz w:val="22"/>
              </w:rPr>
              <w:t>f_s</w:t>
            </w:r>
          </w:p>
        </w:tc>
        <w:tc>
          <w:tcPr>
            <w:tcW w:type="dxa" w:w="3135"/>
          </w:tcPr>
          <w:p>
            <w:r>
              <w:rPr>
                <w:rFonts w:ascii="Times New Roman" w:hAnsi="Times New Roman"/>
                <w:b w:val="0"/>
                <w:i w:val="0"/>
                <w:color w:val="000000"/>
                <w:sz w:val="22"/>
              </w:rPr>
              <w:t>sensor sampling rate (10 Hz)</w:t>
            </w:r>
          </w:p>
        </w:tc>
        <w:tc>
          <w:tcPr>
            <w:tcW w:type="dxa" w:w="3135"/>
          </w:tcPr>
          <w:p>
            <w:r>
              <w:rPr>
                <w:rFonts w:ascii="Times New Roman" w:hAnsi="Times New Roman"/>
                <w:b w:val="0"/>
                <w:i w:val="0"/>
                <w:color w:val="000000"/>
                <w:sz w:val="22"/>
              </w:rPr>
              <w:t>Hz</w:t>
            </w:r>
          </w:p>
        </w:tc>
      </w:tr>
      <w:tr>
        <w:tc>
          <w:tcPr>
            <w:tcW w:type="dxa" w:w="3135"/>
          </w:tcPr>
          <w:p>
            <w:r>
              <w:rPr>
                <w:rFonts w:ascii="Times New Roman" w:hAnsi="Times New Roman"/>
                <w:b w:val="0"/>
                <w:i w:val="0"/>
                <w:color w:val="000000"/>
                <w:sz w:val="22"/>
              </w:rPr>
              <w:t>K</w:t>
            </w:r>
          </w:p>
        </w:tc>
        <w:tc>
          <w:tcPr>
            <w:tcW w:type="dxa" w:w="3135"/>
          </w:tcPr>
          <w:p>
            <w:r>
              <w:rPr>
                <w:rFonts w:ascii="Times New Roman" w:hAnsi="Times New Roman"/>
                <w:b w:val="0"/>
                <w:i w:val="0"/>
                <w:color w:val="000000"/>
                <w:sz w:val="22"/>
              </w:rPr>
              <w:t>number of ground-truth attacks in a flight</w:t>
            </w:r>
          </w:p>
        </w:tc>
        <w:tc>
          <w:tcPr>
            <w:tcW w:type="dxa" w:w="3135"/>
          </w:tcPr>
          <w:p>
            <w:r>
              <w:rPr>
                <w:rFonts w:ascii="Times New Roman" w:hAnsi="Times New Roman"/>
                <w:b w:val="0"/>
                <w:i w:val="0"/>
                <w:color w:val="000000"/>
                <w:sz w:val="22"/>
              </w:rPr>
              <w:t>—</w:t>
            </w:r>
          </w:p>
        </w:tc>
      </w:tr>
      <w:tr>
        <w:tc>
          <w:tcPr>
            <w:tcW w:type="dxa" w:w="3135"/>
          </w:tcPr>
          <w:p>
            <w:r>
              <w:rPr>
                <w:rFonts w:ascii="Times New Roman" w:hAnsi="Times New Roman"/>
                <w:b w:val="0"/>
                <w:i w:val="0"/>
                <w:color w:val="000000"/>
                <w:sz w:val="22"/>
              </w:rPr>
              <w:t>N</w:t>
            </w:r>
          </w:p>
        </w:tc>
        <w:tc>
          <w:tcPr>
            <w:tcW w:type="dxa" w:w="3135"/>
          </w:tcPr>
          <w:p>
            <w:r>
              <w:rPr>
                <w:rFonts w:ascii="Times New Roman" w:hAnsi="Times New Roman"/>
                <w:b w:val="0"/>
                <w:i w:val="0"/>
                <w:color w:val="000000"/>
                <w:sz w:val="22"/>
              </w:rPr>
              <w:t>total sliding windows on the test set</w:t>
            </w:r>
          </w:p>
        </w:tc>
        <w:tc>
          <w:tcPr>
            <w:tcW w:type="dxa" w:w="3135"/>
          </w:tcPr>
          <w:p>
            <w:r>
              <w:rPr>
                <w:rFonts w:ascii="Times New Roman" w:hAnsi="Times New Roman"/>
                <w:b w:val="0"/>
                <w:i w:val="0"/>
                <w:color w:val="000000"/>
                <w:sz w:val="22"/>
              </w:rPr>
              <w:t>—</w:t>
            </w:r>
          </w:p>
        </w:tc>
      </w:tr>
      <w:tr>
        <w:tc>
          <w:tcPr>
            <w:tcW w:type="dxa" w:w="3135"/>
          </w:tcPr>
          <w:p>
            <w:r>
              <w:rPr>
                <w:rFonts w:ascii="Times New Roman" w:hAnsi="Times New Roman"/>
                <w:b w:val="0"/>
                <w:i w:val="0"/>
                <w:color w:val="000000"/>
                <w:sz w:val="22"/>
              </w:rPr>
              <w:t>F</w:t>
            </w:r>
          </w:p>
        </w:tc>
        <w:tc>
          <w:tcPr>
            <w:tcW w:type="dxa" w:w="3135"/>
          </w:tcPr>
          <w:p>
            <w:r>
              <w:rPr>
                <w:rFonts w:ascii="Times New Roman" w:hAnsi="Times New Roman"/>
                <w:b w:val="0"/>
                <w:i w:val="0"/>
                <w:color w:val="000000"/>
                <w:sz w:val="22"/>
              </w:rPr>
              <w:t xml:space="preserve">number of false-positive </w:t>
            </w:r>
            <w:r>
              <w:rPr>
                <w:rFonts w:ascii="Times New Roman" w:hAnsi="Times New Roman"/>
                <w:b/>
                <w:i w:val="0"/>
                <w:color w:val="000000"/>
                <w:sz w:val="22"/>
              </w:rPr>
              <w:t>events</w:t>
            </w:r>
            <w:r>
              <w:rPr>
                <w:rFonts w:ascii="Times New Roman" w:hAnsi="Times New Roman"/>
                <w:b w:val="0"/>
                <w:i w:val="0"/>
                <w:color w:val="000000"/>
                <w:sz w:val="22"/>
              </w:rPr>
              <w:t xml:space="preserve"> after rising-edge aggregation</w:t>
            </w:r>
          </w:p>
        </w:tc>
        <w:tc>
          <w:tcPr>
            <w:tcW w:type="dxa" w:w="3135"/>
          </w:tcPr>
          <w:p>
            <w:r>
              <w:rPr>
                <w:rFonts w:ascii="Times New Roman" w:hAnsi="Times New Roman"/>
                <w:b w:val="0"/>
                <w:i w:val="0"/>
                <w:color w:val="000000"/>
                <w:sz w:val="22"/>
              </w:rPr>
              <w:t>—</w:t>
            </w:r>
          </w:p>
        </w:tc>
      </w:tr>
      <w:tr>
        <w:tc>
          <w:tcPr>
            <w:tcW w:type="dxa" w:w="3135"/>
          </w:tcPr>
          <w:p>
            <w:r>
              <w:rPr>
                <w:rFonts w:ascii="Times New Roman" w:hAnsi="Times New Roman"/>
                <w:b w:val="0"/>
                <w:i w:val="0"/>
                <w:color w:val="000000"/>
                <w:sz w:val="22"/>
              </w:rPr>
              <w:t>MTBFA</w:t>
            </w:r>
          </w:p>
        </w:tc>
        <w:tc>
          <w:tcPr>
            <w:tcW w:type="dxa" w:w="3135"/>
          </w:tcPr>
          <w:p>
            <w:r>
              <w:rPr>
                <w:rFonts w:ascii="Times New Roman" w:hAnsi="Times New Roman"/>
                <w:b w:val="0"/>
                <w:i w:val="0"/>
                <w:color w:val="000000"/>
                <w:sz w:val="22"/>
              </w:rPr>
              <w:t>mean time between false alarms</w:t>
            </w:r>
          </w:p>
        </w:tc>
        <w:tc>
          <w:tcPr>
            <w:tcW w:type="dxa" w:w="3135"/>
          </w:tcPr>
          <w:p>
            <w:r>
              <w:rPr>
                <w:rFonts w:ascii="Times New Roman" w:hAnsi="Times New Roman"/>
                <w:b w:val="0"/>
                <w:i w:val="0"/>
                <w:color w:val="000000"/>
                <w:sz w:val="22"/>
              </w:rPr>
              <w:t>h</w:t>
            </w:r>
          </w:p>
        </w:tc>
      </w:tr>
    </w:tbl>
    <w:p>
      <w:r>
        <w:rPr>
          <w:rFonts w:ascii="Times New Roman" w:hAnsi="Times New Roman"/>
          <w:b/>
          <w:i w:val="0"/>
          <w:color w:val="0064B4"/>
          <w:sz w:val="22"/>
        </w:rPr>
        <w:t>Action:</w:t>
      </w:r>
      <w:r>
        <w:rPr>
          <w:rFonts w:ascii="Times New Roman" w:hAnsi="Times New Roman"/>
          <w:b w:val="0"/>
          <w:i w:val="0"/>
          <w:color w:val="0064B4"/>
          <w:sz w:val="22"/>
        </w:rPr>
        <w:t xml:space="preserve"> The notation table is added to Section III.</w:t>
      </w:r>
    </w:p>
    <w:p>
      <w:r>
        <w:rPr>
          <w:rFonts w:ascii="Times New Roman" w:hAnsi="Times New Roman"/>
          <w:b/>
          <w:i w:val="0"/>
          <w:color w:val="B43C3C"/>
          <w:sz w:val="22"/>
        </w:rPr>
        <w:t>[Reviewer 2, Comment 2]</w:t>
      </w:r>
    </w:p>
    <w:p>
      <w:pPr>
        <w:ind w:left="576"/>
      </w:pPr>
      <w:r>
        <w:rPr>
          <w:rFonts w:ascii="Times New Roman" w:hAnsi="Times New Roman"/>
          <w:b w:val="0"/>
          <w:i/>
          <w:color w:val="000000"/>
          <w:sz w:val="22"/>
        </w:rPr>
        <w:t>"The FP event aggregation mechanism is not illustrated with a concrete example."</w:t>
      </w:r>
    </w:p>
    <w:p>
      <w:r>
        <w:rPr>
          <w:rFonts w:ascii="Times New Roman" w:hAnsi="Times New Roman"/>
          <w:b/>
          <w:i w:val="0"/>
          <w:color w:val="000000"/>
          <w:sz w:val="22"/>
        </w:rPr>
        <w:t>Response:</w:t>
      </w:r>
      <w:r>
        <w:rPr>
          <w:rFonts w:ascii="Times New Roman" w:hAnsi="Times New Roman"/>
          <w:b w:val="0"/>
          <w:i w:val="0"/>
          <w:color w:val="000000"/>
          <w:sz w:val="22"/>
        </w:rPr>
        <w:t xml:space="preserve"> Section III-B-2 now contains a full algorithmic specification of the rising-edge counting logic, a concrete numerical worked example, and the precision–MTBFA paradox plot. The rising-edge logic is: a false-positive event begins on a window where the prediction first transitions from negative to positive on a normal segment, and that event continues until the prediction transitions back to negative. Consecutive positive windows therefore aggregate into a single event, which is the operationally meaningful unit because a single sustained alarm requires only one operator response.</w:t>
      </w:r>
    </w:p>
    <w:p>
      <w:r>
        <w:rPr>
          <w:rFonts w:ascii="Times New Roman" w:hAnsi="Times New Roman"/>
          <w:b w:val="0"/>
          <w:i w:val="0"/>
          <w:color w:val="000000"/>
          <w:sz w:val="22"/>
        </w:rPr>
        <w:t>A concrete worked example over a 30-window normal segment with prediction sequence</w:t>
      </w:r>
    </w:p>
    <w:p>
      <w:pPr>
        <w:ind w:left="454"/>
      </w:pPr>
      <w:r>
        <w:rPr>
          <w:rFonts w:ascii="Consolas" w:hAnsi="Consolas"/>
          <w:color w:val="000000"/>
          <w:sz w:val="18"/>
        </w:rPr>
        <w:t>window:  1 2 3 4 5 6 7 8 9 10 11 12 13 14 15 16 17 18 19 20 21 22 23 24 25 26 27 28 29 30</w:t>
        <w:br/>
        <w:t>predict: 0 1 1 1 0 0 1 1 0 0  1  0  0  0  0  1  1  1  1  1  1  1  1  1  1  0  0  0  0  0</w:t>
      </w:r>
    </w:p>
    <w:p>
      <w:r>
        <w:rPr>
          <w:rFonts w:ascii="Times New Roman" w:hAnsi="Times New Roman"/>
          <w:b w:val="0"/>
          <w:i w:val="0"/>
          <w:color w:val="000000"/>
          <w:sz w:val="22"/>
        </w:rPr>
        <w:t>contains nine consecutive false-positive windows but only three rising-edge transitions (0→1 at windows 2, 7, 11, 16). The window-level FPR is 9/30 = 30%; the event-level FP count is 3, and MTBFA = (segment length / F).</w:t>
      </w:r>
    </w:p>
    <w:p>
      <w:r>
        <w:rPr>
          <w:rFonts w:ascii="Times New Roman" w:hAnsi="Times New Roman"/>
          <w:b w:val="0"/>
          <w:i w:val="0"/>
          <w:color w:val="000000"/>
          <w:sz w:val="22"/>
        </w:rPr>
        <w:t>The same logic produces the precision–MTBFA divergence summarised below: a detector that fires many short alarms can have higher window-level precision than a detector that fires a few long alarms but a worse MTBFA, because operator workload scales with events not windows.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Detector</w:t>
            </w:r>
          </w:p>
        </w:tc>
        <w:tc>
          <w:tcPr>
            <w:tcW w:type="dxa" w:w="1881"/>
          </w:tcPr>
          <w:p>
            <w:r>
              <w:rPr>
                <w:rFonts w:ascii="Times New Roman" w:hAnsi="Times New Roman"/>
                <w:b/>
                <w:i w:val="0"/>
                <w:color w:val="000000"/>
                <w:sz w:val="22"/>
              </w:rPr>
              <w:t>FP windows</w:t>
            </w:r>
          </w:p>
        </w:tc>
        <w:tc>
          <w:tcPr>
            <w:tcW w:type="dxa" w:w="1881"/>
          </w:tcPr>
          <w:p>
            <w:r>
              <w:rPr>
                <w:rFonts w:ascii="Times New Roman" w:hAnsi="Times New Roman"/>
                <w:b/>
                <w:i w:val="0"/>
                <w:color w:val="000000"/>
                <w:sz w:val="22"/>
              </w:rPr>
              <w:t>FP events</w:t>
            </w:r>
          </w:p>
        </w:tc>
        <w:tc>
          <w:tcPr>
            <w:tcW w:type="dxa" w:w="1881"/>
          </w:tcPr>
          <w:p>
            <w:r>
              <w:rPr>
                <w:rFonts w:ascii="Times New Roman" w:hAnsi="Times New Roman"/>
                <w:b/>
                <w:i w:val="0"/>
                <w:color w:val="000000"/>
                <w:sz w:val="22"/>
              </w:rPr>
              <w:t>Window-level precision</w:t>
            </w:r>
          </w:p>
        </w:tc>
        <w:tc>
          <w:tcPr>
            <w:tcW w:type="dxa" w:w="1881"/>
          </w:tcPr>
          <w:p>
            <w:r>
              <w:rPr>
                <w:rFonts w:ascii="Times New Roman" w:hAnsi="Times New Roman"/>
                <w:b/>
                <w:i w:val="0"/>
                <w:color w:val="000000"/>
                <w:sz w:val="22"/>
              </w:rPr>
              <w:t>MTBFA (h)</w:t>
            </w:r>
          </w:p>
        </w:tc>
      </w:tr>
      <w:tr>
        <w:tc>
          <w:tcPr>
            <w:tcW w:type="dxa" w:w="1881"/>
          </w:tcPr>
          <w:p>
            <w:r>
              <w:rPr>
                <w:rFonts w:ascii="Times New Roman" w:hAnsi="Times New Roman"/>
                <w:b w:val="0"/>
                <w:i w:val="0"/>
                <w:color w:val="000000"/>
                <w:sz w:val="22"/>
              </w:rPr>
              <w:t>A (many short alarms)</w:t>
            </w:r>
          </w:p>
        </w:tc>
        <w:tc>
          <w:tcPr>
            <w:tcW w:type="dxa" w:w="1881"/>
          </w:tcPr>
          <w:p>
            <w:r>
              <w:rPr>
                <w:rFonts w:ascii="Times New Roman" w:hAnsi="Times New Roman"/>
                <w:b w:val="0"/>
                <w:i w:val="0"/>
                <w:color w:val="000000"/>
                <w:sz w:val="22"/>
              </w:rPr>
              <w:t>100</w:t>
            </w:r>
          </w:p>
        </w:tc>
        <w:tc>
          <w:tcPr>
            <w:tcW w:type="dxa" w:w="1881"/>
          </w:tcPr>
          <w:p>
            <w:r>
              <w:rPr>
                <w:rFonts w:ascii="Times New Roman" w:hAnsi="Times New Roman"/>
                <w:b w:val="0"/>
                <w:i w:val="0"/>
                <w:color w:val="000000"/>
                <w:sz w:val="22"/>
              </w:rPr>
              <w:t>10</w:t>
            </w:r>
          </w:p>
        </w:tc>
        <w:tc>
          <w:tcPr>
            <w:tcW w:type="dxa" w:w="1881"/>
          </w:tcPr>
          <w:p>
            <w:r>
              <w:rPr>
                <w:rFonts w:ascii="Times New Roman" w:hAnsi="Times New Roman"/>
                <w:b w:val="0"/>
                <w:i w:val="0"/>
                <w:color w:val="000000"/>
                <w:sz w:val="22"/>
              </w:rPr>
              <w:t>0.92</w:t>
            </w:r>
          </w:p>
        </w:tc>
        <w:tc>
          <w:tcPr>
            <w:tcW w:type="dxa" w:w="1881"/>
          </w:tcPr>
          <w:p>
            <w:r>
              <w:rPr>
                <w:rFonts w:ascii="Times New Roman" w:hAnsi="Times New Roman"/>
                <w:b w:val="0"/>
                <w:i w:val="0"/>
                <w:color w:val="000000"/>
                <w:sz w:val="22"/>
              </w:rPr>
              <w:t>0.20</w:t>
            </w:r>
          </w:p>
        </w:tc>
      </w:tr>
      <w:tr>
        <w:tc>
          <w:tcPr>
            <w:tcW w:type="dxa" w:w="1881"/>
          </w:tcPr>
          <w:p>
            <w:r>
              <w:rPr>
                <w:rFonts w:ascii="Times New Roman" w:hAnsi="Times New Roman"/>
                <w:b w:val="0"/>
                <w:i w:val="0"/>
                <w:color w:val="000000"/>
                <w:sz w:val="22"/>
              </w:rPr>
              <w:t>B (few long alarms)</w:t>
            </w:r>
          </w:p>
        </w:tc>
        <w:tc>
          <w:tcPr>
            <w:tcW w:type="dxa" w:w="1881"/>
          </w:tcPr>
          <w:p>
            <w:r>
              <w:rPr>
                <w:rFonts w:ascii="Times New Roman" w:hAnsi="Times New Roman"/>
                <w:b w:val="0"/>
                <w:i w:val="0"/>
                <w:color w:val="000000"/>
                <w:sz w:val="22"/>
              </w:rPr>
              <w:t>200</w:t>
            </w:r>
          </w:p>
        </w:tc>
        <w:tc>
          <w:tcPr>
            <w:tcW w:type="dxa" w:w="1881"/>
          </w:tcPr>
          <w:p>
            <w:r>
              <w:rPr>
                <w:rFonts w:ascii="Times New Roman" w:hAnsi="Times New Roman"/>
                <w:b w:val="0"/>
                <w:i w:val="0"/>
                <w:color w:val="000000"/>
                <w:sz w:val="22"/>
              </w:rPr>
              <w:t>5</w:t>
            </w:r>
          </w:p>
        </w:tc>
        <w:tc>
          <w:tcPr>
            <w:tcW w:type="dxa" w:w="1881"/>
          </w:tcPr>
          <w:p>
            <w:r>
              <w:rPr>
                <w:rFonts w:ascii="Times New Roman" w:hAnsi="Times New Roman"/>
                <w:b w:val="0"/>
                <w:i w:val="0"/>
                <w:color w:val="000000"/>
                <w:sz w:val="22"/>
              </w:rPr>
              <w:t>0.85</w:t>
            </w:r>
          </w:p>
        </w:tc>
        <w:tc>
          <w:tcPr>
            <w:tcW w:type="dxa" w:w="1881"/>
          </w:tcPr>
          <w:p>
            <w:r>
              <w:rPr>
                <w:rFonts w:ascii="Times New Roman" w:hAnsi="Times New Roman"/>
                <w:b/>
                <w:i w:val="0"/>
                <w:color w:val="000000"/>
                <w:sz w:val="22"/>
              </w:rPr>
              <w:t>0.40</w:t>
            </w:r>
          </w:p>
        </w:tc>
      </w:tr>
    </w:tbl>
    <w:p>
      <w:pPr>
        <w:jc w:val="center"/>
      </w:pPr>
      <w:r>
        <w:drawing>
          <wp:inline xmlns:a="http://schemas.openxmlformats.org/drawingml/2006/main" xmlns:pic="http://schemas.openxmlformats.org/drawingml/2006/picture">
            <wp:extent cx="5029200" cy="3772979"/>
            <wp:docPr id="3" name="Picture 3"/>
            <wp:cNvGraphicFramePr>
              <a:graphicFrameLocks noChangeAspect="1"/>
            </wp:cNvGraphicFramePr>
            <a:graphic>
              <a:graphicData uri="http://schemas.openxmlformats.org/drawingml/2006/picture">
                <pic:pic>
                  <pic:nvPicPr>
                    <pic:cNvPr id="0" name="fig_b3_precision_mtbfa_paradox.png"/>
                    <pic:cNvPicPr/>
                  </pic:nvPicPr>
                  <pic:blipFill>
                    <a:blip r:embed="rId11"/>
                    <a:stretch>
                      <a:fillRect/>
                    </a:stretch>
                  </pic:blipFill>
                  <pic:spPr>
                    <a:xfrm>
                      <a:off x="0" y="0"/>
                      <a:ext cx="5029200" cy="3772979"/>
                    </a:xfrm>
                    <a:prstGeom prst="rect"/>
                  </pic:spPr>
                </pic:pic>
              </a:graphicData>
            </a:graphic>
          </wp:inline>
        </w:drawing>
      </w:r>
    </w:p>
    <w:p>
      <w:pPr>
        <w:jc w:val="center"/>
      </w:pPr>
      <w:r>
        <w:rPr>
          <w:rFonts w:ascii="Times New Roman" w:hAnsi="Times New Roman"/>
          <w:b w:val="0"/>
          <w:i/>
          <w:color w:val="000000"/>
          <w:sz w:val="18"/>
        </w:rPr>
        <w:t>Precision vs MTBFA paradox</w:t>
      </w:r>
    </w:p>
    <w:p>
      <w:r>
        <w:rPr>
          <w:rFonts w:ascii="Times New Roman" w:hAnsi="Times New Roman"/>
          <w:b/>
          <w:i w:val="0"/>
          <w:color w:val="0064B4"/>
          <w:sz w:val="22"/>
        </w:rPr>
        <w:t>Action:</w:t>
      </w:r>
      <w:r>
        <w:rPr>
          <w:rFonts w:ascii="Times New Roman" w:hAnsi="Times New Roman"/>
          <w:b w:val="0"/>
          <w:i w:val="0"/>
          <w:color w:val="0064B4"/>
          <w:sz w:val="22"/>
        </w:rPr>
        <w:t xml:space="preserve"> Section III-B-2 algorithm, the precision–MTBFA worked-example table, and the precision–MTBFA paradox figure added.</w:t>
      </w:r>
    </w:p>
    <w:p>
      <w:r>
        <w:rPr>
          <w:rFonts w:ascii="Times New Roman" w:hAnsi="Times New Roman"/>
          <w:b/>
          <w:i w:val="0"/>
          <w:color w:val="B43C3C"/>
          <w:sz w:val="22"/>
        </w:rPr>
        <w:t>[Reviewer 2, Comment 3]</w:t>
      </w:r>
    </w:p>
    <w:p>
      <w:pPr>
        <w:ind w:left="576"/>
      </w:pPr>
      <w:r>
        <w:rPr>
          <w:rFonts w:ascii="Times New Roman" w:hAnsi="Times New Roman"/>
          <w:b w:val="0"/>
          <w:i/>
          <w:color w:val="000000"/>
          <w:sz w:val="22"/>
        </w:rPr>
        <w:t>"The relationship between the proposed metrics and existing anomaly detection evaluation frameworks (Tatbul, NAB) is not discussed."</w:t>
      </w:r>
    </w:p>
    <w:p>
      <w:r>
        <w:rPr>
          <w:rFonts w:ascii="Times New Roman" w:hAnsi="Times New Roman"/>
          <w:b/>
          <w:i w:val="0"/>
          <w:color w:val="000000"/>
          <w:sz w:val="22"/>
        </w:rPr>
        <w:t>Response:</w:t>
      </w:r>
      <w:r>
        <w:rPr>
          <w:rFonts w:ascii="Times New Roman" w:hAnsi="Times New Roman"/>
          <w:b w:val="0"/>
          <w:i w:val="0"/>
          <w:color w:val="000000"/>
          <w:sz w:val="22"/>
        </w:rPr>
        <w:t xml:space="preserve"> Section III-D </w:t>
      </w:r>
      <w:r>
        <w:rPr>
          <w:rFonts w:ascii="Times New Roman" w:hAnsi="Times New Roman"/>
          <w:b w:val="0"/>
          <w:i/>
          <w:color w:val="000000"/>
          <w:sz w:val="22"/>
        </w:rPr>
        <w:t>Positioning Relative to Prior Work</w:t>
      </w:r>
      <w:r>
        <w:rPr>
          <w:rFonts w:ascii="Times New Roman" w:hAnsi="Times New Roman"/>
          <w:b w:val="0"/>
          <w:i w:val="0"/>
          <w:color w:val="000000"/>
          <w:sz w:val="22"/>
        </w:rPr>
        <w:t xml:space="preserve"> distinguishes our contributions from Tatbul et al.'s range-based time-series metrics, the Numenta Anomaly Benchmark (NAB), and classical IDS false-alarm rates. The key axes of comparison are summarised below.</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Axis</w:t>
            </w:r>
          </w:p>
        </w:tc>
        <w:tc>
          <w:tcPr>
            <w:tcW w:type="dxa" w:w="1881"/>
          </w:tcPr>
          <w:p>
            <w:r>
              <w:rPr>
                <w:rFonts w:ascii="Times New Roman" w:hAnsi="Times New Roman"/>
                <w:b/>
                <w:i w:val="0"/>
                <w:color w:val="000000"/>
                <w:sz w:val="22"/>
              </w:rPr>
              <w:t>Tatbul et al. (range-based)</w:t>
            </w:r>
          </w:p>
        </w:tc>
        <w:tc>
          <w:tcPr>
            <w:tcW w:type="dxa" w:w="1881"/>
          </w:tcPr>
          <w:p>
            <w:r>
              <w:rPr>
                <w:rFonts w:ascii="Times New Roman" w:hAnsi="Times New Roman"/>
                <w:b/>
                <w:i w:val="0"/>
                <w:color w:val="000000"/>
                <w:sz w:val="22"/>
              </w:rPr>
              <w:t>NAB</w:t>
            </w:r>
          </w:p>
        </w:tc>
        <w:tc>
          <w:tcPr>
            <w:tcW w:type="dxa" w:w="1881"/>
          </w:tcPr>
          <w:p>
            <w:r>
              <w:rPr>
                <w:rFonts w:ascii="Times New Roman" w:hAnsi="Times New Roman"/>
                <w:b/>
                <w:i w:val="0"/>
                <w:color w:val="000000"/>
                <w:sz w:val="22"/>
              </w:rPr>
              <w:t>Classical IDS (FPR)</w:t>
            </w:r>
          </w:p>
        </w:tc>
        <w:tc>
          <w:tcPr>
            <w:tcW w:type="dxa" w:w="1881"/>
          </w:tcPr>
          <w:p>
            <w:r>
              <w:rPr>
                <w:rFonts w:ascii="Times New Roman" w:hAnsi="Times New Roman"/>
                <w:b/>
                <w:i w:val="0"/>
                <w:color w:val="000000"/>
                <w:sz w:val="22"/>
              </w:rPr>
              <w:t>**This work**</w:t>
            </w:r>
          </w:p>
        </w:tc>
      </w:tr>
      <w:tr>
        <w:tc>
          <w:tcPr>
            <w:tcW w:type="dxa" w:w="1881"/>
          </w:tcPr>
          <w:p>
            <w:r>
              <w:rPr>
                <w:rFonts w:ascii="Times New Roman" w:hAnsi="Times New Roman"/>
                <w:b w:val="0"/>
                <w:i w:val="0"/>
                <w:color w:val="000000"/>
                <w:sz w:val="22"/>
              </w:rPr>
              <w:t>Causality at the metric level</w:t>
            </w:r>
          </w:p>
        </w:tc>
        <w:tc>
          <w:tcPr>
            <w:tcW w:type="dxa" w:w="1881"/>
          </w:tcPr>
          <w:p>
            <w:r>
              <w:rPr>
                <w:rFonts w:ascii="Times New Roman" w:hAnsi="Times New Roman"/>
                <w:b w:val="0"/>
                <w:i w:val="0"/>
                <w:color w:val="000000"/>
                <w:sz w:val="22"/>
              </w:rPr>
              <w:t>offline (windowed)</w:t>
            </w:r>
          </w:p>
        </w:tc>
        <w:tc>
          <w:tcPr>
            <w:tcW w:type="dxa" w:w="1881"/>
          </w:tcPr>
          <w:p>
            <w:r>
              <w:rPr>
                <w:rFonts w:ascii="Times New Roman" w:hAnsi="Times New Roman"/>
                <w:b w:val="0"/>
                <w:i w:val="0"/>
                <w:color w:val="000000"/>
                <w:sz w:val="22"/>
              </w:rPr>
              <w:t>offline (windowed)</w:t>
            </w:r>
          </w:p>
        </w:tc>
        <w:tc>
          <w:tcPr>
            <w:tcW w:type="dxa" w:w="1881"/>
          </w:tcPr>
          <w:p>
            <w:r>
              <w:rPr>
                <w:rFonts w:ascii="Times New Roman" w:hAnsi="Times New Roman"/>
                <w:b w:val="0"/>
                <w:i w:val="0"/>
                <w:color w:val="000000"/>
                <w:sz w:val="22"/>
              </w:rPr>
              <w:t>offline</w:t>
            </w:r>
          </w:p>
        </w:tc>
        <w:tc>
          <w:tcPr>
            <w:tcW w:type="dxa" w:w="1881"/>
          </w:tcPr>
          <w:p>
            <w:r>
              <w:rPr>
                <w:rFonts w:ascii="Times New Roman" w:hAnsi="Times New Roman"/>
                <w:b/>
                <w:i w:val="0"/>
                <w:color w:val="000000"/>
                <w:sz w:val="22"/>
              </w:rPr>
              <w:t>causal first-detection only</w:t>
            </w:r>
          </w:p>
        </w:tc>
      </w:tr>
      <w:tr>
        <w:tc>
          <w:tcPr>
            <w:tcW w:type="dxa" w:w="1881"/>
          </w:tcPr>
          <w:p>
            <w:r>
              <w:rPr>
                <w:rFonts w:ascii="Times New Roman" w:hAnsi="Times New Roman"/>
                <w:b w:val="0"/>
                <w:i w:val="0"/>
                <w:color w:val="000000"/>
                <w:sz w:val="22"/>
              </w:rPr>
              <w:t>User-specified time budget</w:t>
            </w:r>
          </w:p>
        </w:tc>
        <w:tc>
          <w:tcPr>
            <w:tcW w:type="dxa" w:w="1881"/>
          </w:tcPr>
          <w:p>
            <w:r>
              <w:rPr>
                <w:rFonts w:ascii="Times New Roman" w:hAnsi="Times New Roman"/>
                <w:b w:val="0"/>
                <w:i w:val="0"/>
                <w:color w:val="000000"/>
                <w:sz w:val="22"/>
              </w:rPr>
              <w:t>none</w:t>
            </w:r>
          </w:p>
        </w:tc>
        <w:tc>
          <w:tcPr>
            <w:tcW w:type="dxa" w:w="1881"/>
          </w:tcPr>
          <w:p>
            <w:r>
              <w:rPr>
                <w:rFonts w:ascii="Times New Roman" w:hAnsi="Times New Roman"/>
                <w:b w:val="0"/>
                <w:i w:val="0"/>
                <w:color w:val="000000"/>
                <w:sz w:val="22"/>
              </w:rPr>
              <w:t>scoring profile (fixed)</w:t>
            </w:r>
          </w:p>
        </w:tc>
        <w:tc>
          <w:tcPr>
            <w:tcW w:type="dxa" w:w="1881"/>
          </w:tcPr>
          <w:p>
            <w:r>
              <w:rPr>
                <w:rFonts w:ascii="Times New Roman" w:hAnsi="Times New Roman"/>
                <w:b w:val="0"/>
                <w:i w:val="0"/>
                <w:color w:val="000000"/>
                <w:sz w:val="22"/>
              </w:rPr>
              <w:t>none</w:t>
            </w:r>
          </w:p>
        </w:tc>
        <w:tc>
          <w:tcPr>
            <w:tcW w:type="dxa" w:w="1881"/>
          </w:tcPr>
          <w:p>
            <w:r>
              <w:rPr>
                <w:rFonts w:ascii="Times New Roman" w:hAnsi="Times New Roman"/>
                <w:b/>
                <w:i w:val="0"/>
                <w:color w:val="000000"/>
                <w:sz w:val="22"/>
              </w:rPr>
              <w:t>explicit Δt parameter</w:t>
            </w:r>
          </w:p>
        </w:tc>
      </w:tr>
      <w:tr>
        <w:tc>
          <w:tcPr>
            <w:tcW w:type="dxa" w:w="1881"/>
          </w:tcPr>
          <w:p>
            <w:r>
              <w:rPr>
                <w:rFonts w:ascii="Times New Roman" w:hAnsi="Times New Roman"/>
                <w:b w:val="0"/>
                <w:i w:val="0"/>
                <w:color w:val="000000"/>
                <w:sz w:val="22"/>
              </w:rPr>
              <w:t>False-alarm metric</w:t>
            </w:r>
          </w:p>
        </w:tc>
        <w:tc>
          <w:tcPr>
            <w:tcW w:type="dxa" w:w="1881"/>
          </w:tcPr>
          <w:p>
            <w:r>
              <w:rPr>
                <w:rFonts w:ascii="Times New Roman" w:hAnsi="Times New Roman"/>
                <w:b w:val="0"/>
                <w:i w:val="0"/>
                <w:color w:val="000000"/>
                <w:sz w:val="22"/>
              </w:rPr>
              <w:t>range-based FP</w:t>
            </w:r>
          </w:p>
        </w:tc>
        <w:tc>
          <w:tcPr>
            <w:tcW w:type="dxa" w:w="1881"/>
          </w:tcPr>
          <w:p>
            <w:r>
              <w:rPr>
                <w:rFonts w:ascii="Times New Roman" w:hAnsi="Times New Roman"/>
                <w:b w:val="0"/>
                <w:i w:val="0"/>
                <w:color w:val="000000"/>
                <w:sz w:val="22"/>
              </w:rPr>
              <w:t>weighted score</w:t>
            </w:r>
          </w:p>
        </w:tc>
        <w:tc>
          <w:tcPr>
            <w:tcW w:type="dxa" w:w="1881"/>
          </w:tcPr>
          <w:p>
            <w:r>
              <w:rPr>
                <w:rFonts w:ascii="Times New Roman" w:hAnsi="Times New Roman"/>
                <w:b w:val="0"/>
                <w:i w:val="0"/>
                <w:color w:val="000000"/>
                <w:sz w:val="22"/>
              </w:rPr>
              <w:t>fractional FPR</w:t>
            </w:r>
          </w:p>
        </w:tc>
        <w:tc>
          <w:tcPr>
            <w:tcW w:type="dxa" w:w="1881"/>
          </w:tcPr>
          <w:p>
            <w:r>
              <w:rPr>
                <w:rFonts w:ascii="Times New Roman" w:hAnsi="Times New Roman"/>
                <w:b/>
                <w:i w:val="0"/>
                <w:color w:val="000000"/>
                <w:sz w:val="22"/>
              </w:rPr>
              <w:t>MTBFA in operational time units</w:t>
            </w:r>
          </w:p>
        </w:tc>
      </w:tr>
      <w:tr>
        <w:tc>
          <w:tcPr>
            <w:tcW w:type="dxa" w:w="1881"/>
          </w:tcPr>
          <w:p>
            <w:r>
              <w:rPr>
                <w:rFonts w:ascii="Times New Roman" w:hAnsi="Times New Roman"/>
                <w:b w:val="0"/>
                <w:i w:val="0"/>
                <w:color w:val="000000"/>
                <w:sz w:val="22"/>
              </w:rPr>
              <w:t>Threshold derivation</w:t>
            </w:r>
          </w:p>
        </w:tc>
        <w:tc>
          <w:tcPr>
            <w:tcW w:type="dxa" w:w="1881"/>
          </w:tcPr>
          <w:p>
            <w:r>
              <w:rPr>
                <w:rFonts w:ascii="Times New Roman" w:hAnsi="Times New Roman"/>
                <w:b w:val="0"/>
                <w:i w:val="0"/>
                <w:color w:val="000000"/>
                <w:sz w:val="22"/>
              </w:rPr>
              <w:t>not addressed</w:t>
            </w:r>
          </w:p>
        </w:tc>
        <w:tc>
          <w:tcPr>
            <w:tcW w:type="dxa" w:w="1881"/>
          </w:tcPr>
          <w:p>
            <w:r>
              <w:rPr>
                <w:rFonts w:ascii="Times New Roman" w:hAnsi="Times New Roman"/>
                <w:b w:val="0"/>
                <w:i w:val="0"/>
                <w:color w:val="000000"/>
                <w:sz w:val="22"/>
              </w:rPr>
              <w:t>not addressed</w:t>
            </w:r>
          </w:p>
        </w:tc>
        <w:tc>
          <w:tcPr>
            <w:tcW w:type="dxa" w:w="1881"/>
          </w:tcPr>
          <w:p>
            <w:r>
              <w:rPr>
                <w:rFonts w:ascii="Times New Roman" w:hAnsi="Times New Roman"/>
                <w:b w:val="0"/>
                <w:i w:val="0"/>
                <w:color w:val="000000"/>
                <w:sz w:val="22"/>
              </w:rPr>
              <w:t>not addressed</w:t>
            </w:r>
          </w:p>
        </w:tc>
        <w:tc>
          <w:tcPr>
            <w:tcW w:type="dxa" w:w="1881"/>
          </w:tcPr>
          <w:p>
            <w:r>
              <w:rPr>
                <w:rFonts w:ascii="Times New Roman" w:hAnsi="Times New Roman"/>
                <w:b/>
                <w:i w:val="0"/>
                <w:color w:val="000000"/>
                <w:sz w:val="22"/>
              </w:rPr>
              <w:t>deployment-grounded (GB 26860, ISO 11064-5)</w:t>
            </w:r>
          </w:p>
        </w:tc>
      </w:tr>
    </w:tbl>
    <w:p>
      <w:r>
        <w:rPr>
          <w:rFonts w:ascii="Times New Roman" w:hAnsi="Times New Roman"/>
          <w:b w:val="0"/>
          <w:i w:val="0"/>
          <w:color w:val="000000"/>
          <w:sz w:val="22"/>
        </w:rPr>
        <w:t>Our framework is the first to combine all four properties — explicit time-budgeted DR@Δt with first-detection causality, event-level MTBFA in operational time units, and deployment-grounded threshold derivation — within a multi-distribution UAV case study.</w:t>
      </w:r>
    </w:p>
    <w:p>
      <w:r>
        <w:rPr>
          <w:rFonts w:ascii="Times New Roman" w:hAnsi="Times New Roman"/>
          <w:b/>
          <w:i w:val="0"/>
          <w:color w:val="0064B4"/>
          <w:sz w:val="22"/>
        </w:rPr>
        <w:t>Action:</w:t>
      </w:r>
      <w:r>
        <w:rPr>
          <w:rFonts w:ascii="Times New Roman" w:hAnsi="Times New Roman"/>
          <w:b w:val="0"/>
          <w:i w:val="0"/>
          <w:color w:val="0064B4"/>
          <w:sz w:val="22"/>
        </w:rPr>
        <w:t xml:space="preserve"> Section III-D (Positioning Relative to Prior Work) added; the four-axis comparison table is included verbatim.</w:t>
      </w:r>
    </w:p>
    <w:p>
      <w:r>
        <w:rPr>
          <w:rFonts w:ascii="Times New Roman" w:hAnsi="Times New Roman"/>
          <w:b/>
          <w:i w:val="0"/>
          <w:color w:val="B43C3C"/>
          <w:sz w:val="22"/>
        </w:rPr>
        <w:t>[Reviewer 2, Comment 4]</w:t>
      </w:r>
    </w:p>
    <w:p>
      <w:pPr>
        <w:ind w:left="576"/>
      </w:pPr>
      <w:r>
        <w:rPr>
          <w:rFonts w:ascii="Times New Roman" w:hAnsi="Times New Roman"/>
          <w:b w:val="0"/>
          <w:i/>
          <w:color w:val="000000"/>
          <w:sz w:val="22"/>
        </w:rPr>
        <w:t>"The model comparison in Section V dominates the paper, obscuring the framework contribution."</w:t>
      </w:r>
    </w:p>
    <w:p>
      <w:r>
        <w:rPr>
          <w:rFonts w:ascii="Times New Roman" w:hAnsi="Times New Roman"/>
          <w:b/>
          <w:i w:val="0"/>
          <w:color w:val="000000"/>
          <w:sz w:val="22"/>
        </w:rPr>
        <w:t>Response:</w:t>
      </w:r>
      <w:r>
        <w:rPr>
          <w:rFonts w:ascii="Times New Roman" w:hAnsi="Times New Roman"/>
          <w:b w:val="0"/>
          <w:i w:val="0"/>
          <w:color w:val="000000"/>
          <w:sz w:val="22"/>
        </w:rPr>
        <w:t xml:space="preserve"> Section V has been retitled </w:t>
      </w:r>
      <w:r>
        <w:rPr>
          <w:rFonts w:ascii="Times New Roman" w:hAnsi="Times New Roman"/>
          <w:b w:val="0"/>
          <w:i/>
          <w:color w:val="000000"/>
          <w:sz w:val="22"/>
        </w:rPr>
        <w:t>Case Study: Validating the Framework on Seven Detectors</w:t>
      </w:r>
      <w:r>
        <w:rPr>
          <w:rFonts w:ascii="Times New Roman" w:hAnsi="Times New Roman"/>
          <w:b w:val="0"/>
          <w:i w:val="0"/>
          <w:color w:val="000000"/>
          <w:sz w:val="22"/>
        </w:rPr>
        <w:t>; every subsection is framed as a demonstration of the framework's discriminative power rather than as an architectural recommendation. The Abstract and Introduction now state explicitly that specific metric values depend on training data and hyperparameters, and that what remains invariant is the framework's ability to reveal detectors that pass conventional metrics yet fail operational time-aware standards. Section VI-A (Generality of the Framework) elaborates on detector-agnostic and task-agnostic design.</w:t>
      </w:r>
    </w:p>
    <w:p>
      <w:r>
        <w:rPr>
          <w:rFonts w:ascii="Times New Roman" w:hAnsi="Times New Roman"/>
          <w:b/>
          <w:i w:val="0"/>
          <w:color w:val="0064B4"/>
          <w:sz w:val="22"/>
        </w:rPr>
        <w:t>Action:</w:t>
      </w:r>
      <w:r>
        <w:rPr>
          <w:rFonts w:ascii="Times New Roman" w:hAnsi="Times New Roman"/>
          <w:b w:val="0"/>
          <w:i w:val="0"/>
          <w:color w:val="0064B4"/>
          <w:sz w:val="22"/>
        </w:rPr>
        <w:t xml:space="preserve"> Section V retitled and reframed; Abstract and Introduction revised; Section VI-A added.</w:t>
      </w:r>
    </w:p>
    <w:p>
      <w:r>
        <w:rPr>
          <w:rFonts w:ascii="Times New Roman" w:hAnsi="Times New Roman"/>
          <w:b/>
          <w:i w:val="0"/>
          <w:color w:val="B43C3C"/>
          <w:sz w:val="22"/>
        </w:rPr>
        <w:t>[Reviewer 2, Comment 5]</w:t>
      </w:r>
    </w:p>
    <w:p>
      <w:pPr>
        <w:ind w:left="576"/>
      </w:pPr>
      <w:r>
        <w:rPr>
          <w:rFonts w:ascii="Times New Roman" w:hAnsi="Times New Roman"/>
          <w:b w:val="0"/>
          <w:i/>
          <w:color w:val="000000"/>
          <w:sz w:val="22"/>
        </w:rPr>
        <w:t>"Model architecture details and reproducibility information are insufficient."</w:t>
      </w:r>
    </w:p>
    <w:p>
      <w:r>
        <w:rPr>
          <w:rFonts w:ascii="Times New Roman" w:hAnsi="Times New Roman"/>
          <w:b/>
          <w:i w:val="0"/>
          <w:color w:val="000000"/>
          <w:sz w:val="22"/>
        </w:rPr>
        <w:t>Response:</w:t>
      </w:r>
      <w:r>
        <w:rPr>
          <w:rFonts w:ascii="Times New Roman" w:hAnsi="Times New Roman"/>
          <w:b w:val="0"/>
          <w:i w:val="0"/>
          <w:color w:val="000000"/>
          <w:sz w:val="22"/>
        </w:rPr>
        <w:t xml:space="preserve"> Section IV-F (Reproducibility) provides the architecture summary table (reproduced inline below), the training-hyperparameter table, and a public code repository URL (https://github.com/jawkjiang/UAV). The MATLAB simulation pipeline, the Python detection pipeline, the trained checkpoints, and every script that produces the tables and figures in the manuscript are open-sourced.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Model</w:t>
            </w:r>
          </w:p>
        </w:tc>
        <w:tc>
          <w:tcPr>
            <w:tcW w:type="dxa" w:w="1881"/>
          </w:tcPr>
          <w:p>
            <w:r>
              <w:rPr>
                <w:rFonts w:ascii="Times New Roman" w:hAnsi="Times New Roman"/>
                <w:b/>
                <w:i w:val="0"/>
                <w:color w:val="000000"/>
                <w:sz w:val="22"/>
              </w:rPr>
              <w:t>Architecture</w:t>
            </w:r>
          </w:p>
        </w:tc>
        <w:tc>
          <w:tcPr>
            <w:tcW w:type="dxa" w:w="1881"/>
          </w:tcPr>
          <w:p>
            <w:r>
              <w:rPr>
                <w:rFonts w:ascii="Times New Roman" w:hAnsi="Times New Roman"/>
                <w:b/>
                <w:i w:val="0"/>
                <w:color w:val="000000"/>
                <w:sz w:val="22"/>
              </w:rPr>
              <w:t>Hidden dim / Filters</w:t>
            </w:r>
          </w:p>
        </w:tc>
        <w:tc>
          <w:tcPr>
            <w:tcW w:type="dxa" w:w="1881"/>
          </w:tcPr>
          <w:p>
            <w:r>
              <w:rPr>
                <w:rFonts w:ascii="Times New Roman" w:hAnsi="Times New Roman"/>
                <w:b/>
                <w:i w:val="0"/>
                <w:color w:val="000000"/>
                <w:sz w:val="22"/>
              </w:rPr>
              <w:t>Layers</w:t>
            </w:r>
          </w:p>
        </w:tc>
        <w:tc>
          <w:tcPr>
            <w:tcW w:type="dxa" w:w="1881"/>
          </w:tcPr>
          <w:p>
            <w:r>
              <w:rPr>
                <w:rFonts w:ascii="Times New Roman" w:hAnsi="Times New Roman"/>
                <w:b/>
                <w:i w:val="0"/>
                <w:color w:val="000000"/>
                <w:sz w:val="22"/>
              </w:rPr>
              <w:t>Approx. parameters</w:t>
            </w:r>
          </w:p>
        </w:tc>
      </w:tr>
      <w:tr>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1D conv stack</w:t>
            </w:r>
          </w:p>
        </w:tc>
        <w:tc>
          <w:tcPr>
            <w:tcW w:type="dxa" w:w="1881"/>
          </w:tcPr>
          <w:p>
            <w:r>
              <w:rPr>
                <w:rFonts w:ascii="Times New Roman" w:hAnsi="Times New Roman"/>
                <w:b w:val="0"/>
                <w:i w:val="0"/>
                <w:color w:val="000000"/>
                <w:sz w:val="22"/>
              </w:rPr>
              <w:t>64</w:t>
            </w:r>
          </w:p>
        </w:tc>
        <w:tc>
          <w:tcPr>
            <w:tcW w:type="dxa" w:w="1881"/>
          </w:tcPr>
          <w:p>
            <w:r>
              <w:rPr>
                <w:rFonts w:ascii="Times New Roman" w:hAnsi="Times New Roman"/>
                <w:b w:val="0"/>
                <w:i w:val="0"/>
                <w:color w:val="000000"/>
                <w:sz w:val="22"/>
              </w:rPr>
              <w:t>3 conv + 2 FC</w:t>
            </w:r>
          </w:p>
        </w:tc>
        <w:tc>
          <w:tcPr>
            <w:tcW w:type="dxa" w:w="1881"/>
          </w:tcPr>
          <w:p>
            <w:r>
              <w:rPr>
                <w:rFonts w:ascii="Times New Roman" w:hAnsi="Times New Roman"/>
                <w:b w:val="0"/>
                <w:i w:val="0"/>
                <w:color w:val="000000"/>
                <w:sz w:val="22"/>
              </w:rPr>
              <w:t>47k</w:t>
            </w:r>
          </w:p>
        </w:tc>
      </w:tr>
      <w:tr>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unidirectional LSTM</w:t>
            </w:r>
          </w:p>
        </w:tc>
        <w:tc>
          <w:tcPr>
            <w:tcW w:type="dxa" w:w="1881"/>
          </w:tcPr>
          <w:p>
            <w:r>
              <w:rPr>
                <w:rFonts w:ascii="Times New Roman" w:hAnsi="Times New Roman"/>
                <w:b w:val="0"/>
                <w:i w:val="0"/>
                <w:color w:val="000000"/>
                <w:sz w:val="22"/>
              </w:rPr>
              <w:t>128</w:t>
            </w:r>
          </w:p>
        </w:tc>
        <w:tc>
          <w:tcPr>
            <w:tcW w:type="dxa" w:w="1881"/>
          </w:tcPr>
          <w:p>
            <w:r>
              <w:rPr>
                <w:rFonts w:ascii="Times New Roman" w:hAnsi="Times New Roman"/>
                <w:b w:val="0"/>
                <w:i w:val="0"/>
                <w:color w:val="000000"/>
                <w:sz w:val="22"/>
              </w:rPr>
              <w:t>2</w:t>
            </w:r>
          </w:p>
        </w:tc>
        <w:tc>
          <w:tcPr>
            <w:tcW w:type="dxa" w:w="1881"/>
          </w:tcPr>
          <w:p>
            <w:r>
              <w:rPr>
                <w:rFonts w:ascii="Times New Roman" w:hAnsi="Times New Roman"/>
                <w:b w:val="0"/>
                <w:i w:val="0"/>
                <w:color w:val="000000"/>
                <w:sz w:val="22"/>
              </w:rPr>
              <w:t>142k</w:t>
            </w:r>
          </w:p>
        </w:tc>
      </w:tr>
      <w:tr>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bidirectional LSTM</w:t>
            </w:r>
          </w:p>
        </w:tc>
        <w:tc>
          <w:tcPr>
            <w:tcW w:type="dxa" w:w="1881"/>
          </w:tcPr>
          <w:p>
            <w:r>
              <w:rPr>
                <w:rFonts w:ascii="Times New Roman" w:hAnsi="Times New Roman"/>
                <w:b w:val="0"/>
                <w:i w:val="0"/>
                <w:color w:val="000000"/>
                <w:sz w:val="22"/>
              </w:rPr>
              <w:t>128</w:t>
            </w:r>
          </w:p>
        </w:tc>
        <w:tc>
          <w:tcPr>
            <w:tcW w:type="dxa" w:w="1881"/>
          </w:tcPr>
          <w:p>
            <w:r>
              <w:rPr>
                <w:rFonts w:ascii="Times New Roman" w:hAnsi="Times New Roman"/>
                <w:b w:val="0"/>
                <w:i w:val="0"/>
                <w:color w:val="000000"/>
                <w:sz w:val="22"/>
              </w:rPr>
              <w:t>2</w:t>
            </w:r>
          </w:p>
        </w:tc>
        <w:tc>
          <w:tcPr>
            <w:tcW w:type="dxa" w:w="1881"/>
          </w:tcPr>
          <w:p>
            <w:r>
              <w:rPr>
                <w:rFonts w:ascii="Times New Roman" w:hAnsi="Times New Roman"/>
                <w:b w:val="0"/>
                <w:i w:val="0"/>
                <w:color w:val="000000"/>
                <w:sz w:val="22"/>
              </w:rPr>
              <w:t>280k</w:t>
            </w:r>
          </w:p>
        </w:tc>
      </w:tr>
      <w:tr>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unidirectional GRU</w:t>
            </w:r>
          </w:p>
        </w:tc>
        <w:tc>
          <w:tcPr>
            <w:tcW w:type="dxa" w:w="1881"/>
          </w:tcPr>
          <w:p>
            <w:r>
              <w:rPr>
                <w:rFonts w:ascii="Times New Roman" w:hAnsi="Times New Roman"/>
                <w:b w:val="0"/>
                <w:i w:val="0"/>
                <w:color w:val="000000"/>
                <w:sz w:val="22"/>
              </w:rPr>
              <w:t>128</w:t>
            </w:r>
          </w:p>
        </w:tc>
        <w:tc>
          <w:tcPr>
            <w:tcW w:type="dxa" w:w="1881"/>
          </w:tcPr>
          <w:p>
            <w:r>
              <w:rPr>
                <w:rFonts w:ascii="Times New Roman" w:hAnsi="Times New Roman"/>
                <w:b w:val="0"/>
                <w:i w:val="0"/>
                <w:color w:val="000000"/>
                <w:sz w:val="22"/>
              </w:rPr>
              <w:t>2</w:t>
            </w:r>
          </w:p>
        </w:tc>
        <w:tc>
          <w:tcPr>
            <w:tcW w:type="dxa" w:w="1881"/>
          </w:tcPr>
          <w:p>
            <w:r>
              <w:rPr>
                <w:rFonts w:ascii="Times New Roman" w:hAnsi="Times New Roman"/>
                <w:b w:val="0"/>
                <w:i w:val="0"/>
                <w:color w:val="000000"/>
                <w:sz w:val="22"/>
              </w:rPr>
              <w:t>108k</w:t>
            </w:r>
          </w:p>
        </w:tc>
      </w:tr>
      <w:tr>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conv front-end + LSTM</w:t>
            </w:r>
          </w:p>
        </w:tc>
        <w:tc>
          <w:tcPr>
            <w:tcW w:type="dxa" w:w="1881"/>
          </w:tcPr>
          <w:p>
            <w:r>
              <w:rPr>
                <w:rFonts w:ascii="Times New Roman" w:hAnsi="Times New Roman"/>
                <w:b w:val="0"/>
                <w:i w:val="0"/>
                <w:color w:val="000000"/>
                <w:sz w:val="22"/>
              </w:rPr>
              <w:t>64 conv / 128 LSTM</w:t>
            </w:r>
          </w:p>
        </w:tc>
        <w:tc>
          <w:tcPr>
            <w:tcW w:type="dxa" w:w="1881"/>
          </w:tcPr>
          <w:p>
            <w:r>
              <w:rPr>
                <w:rFonts w:ascii="Times New Roman" w:hAnsi="Times New Roman"/>
                <w:b w:val="0"/>
                <w:i w:val="0"/>
                <w:color w:val="000000"/>
                <w:sz w:val="22"/>
              </w:rPr>
              <w:t>2 conv + 2 LSTM</w:t>
            </w:r>
          </w:p>
        </w:tc>
        <w:tc>
          <w:tcPr>
            <w:tcW w:type="dxa" w:w="1881"/>
          </w:tcPr>
          <w:p>
            <w:r>
              <w:rPr>
                <w:rFonts w:ascii="Times New Roman" w:hAnsi="Times New Roman"/>
                <w:b w:val="0"/>
                <w:i w:val="0"/>
                <w:color w:val="000000"/>
                <w:sz w:val="22"/>
              </w:rPr>
              <w:t>175k</w:t>
            </w:r>
          </w:p>
        </w:tc>
      </w:tr>
      <w:tr>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dilated temporal conv</w:t>
            </w:r>
          </w:p>
        </w:tc>
        <w:tc>
          <w:tcPr>
            <w:tcW w:type="dxa" w:w="1881"/>
          </w:tcPr>
          <w:p>
            <w:r>
              <w:rPr>
                <w:rFonts w:ascii="Times New Roman" w:hAnsi="Times New Roman"/>
                <w:b w:val="0"/>
                <w:i w:val="0"/>
                <w:color w:val="000000"/>
                <w:sz w:val="22"/>
              </w:rPr>
              <w:t>64</w:t>
            </w:r>
          </w:p>
        </w:tc>
        <w:tc>
          <w:tcPr>
            <w:tcW w:type="dxa" w:w="1881"/>
          </w:tcPr>
          <w:p>
            <w:r>
              <w:rPr>
                <w:rFonts w:ascii="Times New Roman" w:hAnsi="Times New Roman"/>
                <w:b w:val="0"/>
                <w:i w:val="0"/>
                <w:color w:val="000000"/>
                <w:sz w:val="22"/>
              </w:rPr>
              <w:t>4 (dilations 1,2,4,8)</w:t>
            </w:r>
          </w:p>
        </w:tc>
        <w:tc>
          <w:tcPr>
            <w:tcW w:type="dxa" w:w="1881"/>
          </w:tcPr>
          <w:p>
            <w:r>
              <w:rPr>
                <w:rFonts w:ascii="Times New Roman" w:hAnsi="Times New Roman"/>
                <w:b w:val="0"/>
                <w:i w:val="0"/>
                <w:color w:val="000000"/>
                <w:sz w:val="22"/>
              </w:rPr>
              <w:t>95k</w:t>
            </w:r>
          </w:p>
        </w:tc>
      </w:tr>
      <w:tr>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encoder-only</w:t>
            </w:r>
          </w:p>
        </w:tc>
        <w:tc>
          <w:tcPr>
            <w:tcW w:type="dxa" w:w="1881"/>
          </w:tcPr>
          <w:p>
            <w:r>
              <w:rPr>
                <w:rFonts w:ascii="Times New Roman" w:hAnsi="Times New Roman"/>
                <w:b w:val="0"/>
                <w:i w:val="0"/>
                <w:color w:val="000000"/>
                <w:sz w:val="22"/>
              </w:rPr>
              <w:t>128 (d_model) / 4 heads</w:t>
            </w:r>
          </w:p>
        </w:tc>
        <w:tc>
          <w:tcPr>
            <w:tcW w:type="dxa" w:w="1881"/>
          </w:tcPr>
          <w:p>
            <w:r>
              <w:rPr>
                <w:rFonts w:ascii="Times New Roman" w:hAnsi="Times New Roman"/>
                <w:b w:val="0"/>
                <w:i w:val="0"/>
                <w:color w:val="000000"/>
                <w:sz w:val="22"/>
              </w:rPr>
              <w:t>4 encoder</w:t>
            </w:r>
          </w:p>
        </w:tc>
        <w:tc>
          <w:tcPr>
            <w:tcW w:type="dxa" w:w="1881"/>
          </w:tcPr>
          <w:p>
            <w:r>
              <w:rPr>
                <w:rFonts w:ascii="Times New Roman" w:hAnsi="Times New Roman"/>
                <w:b w:val="0"/>
                <w:i w:val="0"/>
                <w:color w:val="000000"/>
                <w:sz w:val="22"/>
              </w:rPr>
              <w:t>220k</w:t>
            </w:r>
          </w:p>
        </w:tc>
      </w:tr>
    </w:tbl>
    <w:p>
      <w:r>
        <w:rPr>
          <w:rFonts w:ascii="Times New Roman" w:hAnsi="Times New Roman"/>
          <w:b w:val="0"/>
          <w:i w:val="0"/>
          <w:color w:val="000000"/>
          <w:sz w:val="22"/>
        </w:rPr>
        <w:t>Training hyperparameters: Adam (lr = 1e-3, β = (0.9, 0.999)), batch size 64, BCE loss with weighted positive class, early stopping on validation F1, five seeds (0–4) per architecture.</w:t>
      </w:r>
    </w:p>
    <w:p>
      <w:r>
        <w:rPr>
          <w:rFonts w:ascii="Times New Roman" w:hAnsi="Times New Roman"/>
          <w:b/>
          <w:i w:val="0"/>
          <w:color w:val="0064B4"/>
          <w:sz w:val="22"/>
        </w:rPr>
        <w:t>Action:</w:t>
      </w:r>
      <w:r>
        <w:rPr>
          <w:rFonts w:ascii="Times New Roman" w:hAnsi="Times New Roman"/>
          <w:b w:val="0"/>
          <w:i w:val="0"/>
          <w:color w:val="0064B4"/>
          <w:sz w:val="22"/>
        </w:rPr>
        <w:t xml:space="preserve"> Section IV-F with the architecture summary table and the training-config table added; repository URL provided.</w:t>
      </w:r>
    </w:p>
    <w:p/>
    <w:p>
      <w:r>
        <w:rPr>
          <w:rFonts w:ascii="Times New Roman" w:hAnsi="Times New Roman"/>
          <w:b/>
          <w:i w:val="0"/>
          <w:color w:val="000000"/>
          <w:sz w:val="26"/>
        </w:rPr>
        <w:t>Reviewer 3</w:t>
      </w:r>
    </w:p>
    <w:p>
      <w:r>
        <w:rPr>
          <w:rFonts w:ascii="Times New Roman" w:hAnsi="Times New Roman"/>
          <w:b/>
          <w:i w:val="0"/>
          <w:color w:val="B43C3C"/>
          <w:sz w:val="22"/>
        </w:rPr>
        <w:t>[Reviewer 3, Comment 1]</w:t>
      </w:r>
    </w:p>
    <w:p>
      <w:pPr>
        <w:ind w:left="576"/>
      </w:pPr>
      <w:r>
        <w:rPr>
          <w:rFonts w:ascii="Times New Roman" w:hAnsi="Times New Roman"/>
          <w:b w:val="0"/>
          <w:i/>
          <w:color w:val="000000"/>
          <w:sz w:val="22"/>
        </w:rPr>
        <w:t>"The dataset is too small (209 flights, ~17 test attacks). Deep learning conclusions are not credible at this scale."</w:t>
      </w:r>
    </w:p>
    <w:p>
      <w:r>
        <w:rPr>
          <w:rFonts w:ascii="Times New Roman" w:hAnsi="Times New Roman"/>
          <w:b/>
          <w:i w:val="0"/>
          <w:color w:val="000000"/>
          <w:sz w:val="22"/>
        </w:rPr>
        <w:t>Response:</w:t>
      </w:r>
      <w:r>
        <w:rPr>
          <w:rFonts w:ascii="Times New Roman" w:hAnsi="Times New Roman"/>
          <w:b w:val="0"/>
          <w:i w:val="0"/>
          <w:color w:val="000000"/>
          <w:sz w:val="22"/>
        </w:rPr>
        <w:t xml:space="preserve"> The dataset has been completely replaced. The new test set alone contains 600 flights with 229 attacked flights (more than 13× the original attacked-flight count), and the full split spans 1,800 / 600 / 600 train / val / test flights at the flight level, preventing any data leakage across splits. The detailed split table is reproduced inline in our response to Reviewer 1, Comment 2.</w:t>
      </w:r>
    </w:p>
    <w:p>
      <w:r>
        <w:rPr>
          <w:rFonts w:ascii="Times New Roman" w:hAnsi="Times New Roman"/>
          <w:b/>
          <w:i w:val="0"/>
          <w:color w:val="0064B4"/>
          <w:sz w:val="22"/>
        </w:rPr>
        <w:t>Action:</w:t>
      </w:r>
      <w:r>
        <w:rPr>
          <w:rFonts w:ascii="Times New Roman" w:hAnsi="Times New Roman"/>
          <w:b w:val="0"/>
          <w:i w:val="0"/>
          <w:color w:val="0064B4"/>
          <w:sz w:val="22"/>
        </w:rPr>
        <w:t xml:space="preserve"> Dataset table in Section IV-A; full statistical reporting protocol described in Section IV-D.</w:t>
      </w:r>
    </w:p>
    <w:p>
      <w:r>
        <w:rPr>
          <w:rFonts w:ascii="Times New Roman" w:hAnsi="Times New Roman"/>
          <w:b/>
          <w:i w:val="0"/>
          <w:color w:val="B43C3C"/>
          <w:sz w:val="22"/>
        </w:rPr>
        <w:t>[Reviewer 3, Comment 2]</w:t>
      </w:r>
    </w:p>
    <w:p>
      <w:pPr>
        <w:ind w:left="576"/>
      </w:pPr>
      <w:r>
        <w:rPr>
          <w:rFonts w:ascii="Times New Roman" w:hAnsi="Times New Roman"/>
          <w:b w:val="0"/>
          <w:i/>
          <w:color w:val="000000"/>
          <w:sz w:val="22"/>
        </w:rPr>
        <w:t>"The use of simulation data only is a major weakness. Real GNSS spoofing characteristics differ significantly from Gaussian noise."</w:t>
      </w:r>
    </w:p>
    <w:p>
      <w:r>
        <w:rPr>
          <w:rFonts w:ascii="Times New Roman" w:hAnsi="Times New Roman"/>
          <w:b/>
          <w:i w:val="0"/>
          <w:color w:val="000000"/>
          <w:sz w:val="22"/>
        </w:rPr>
        <w:t>Response:</w:t>
      </w:r>
      <w:r>
        <w:rPr>
          <w:rFonts w:ascii="Times New Roman" w:hAnsi="Times New Roman"/>
          <w:b w:val="0"/>
          <w:i w:val="0"/>
          <w:color w:val="000000"/>
          <w:sz w:val="22"/>
        </w:rPr>
        <w:t xml:space="preserve"> The reviewer is correct on both counts. We added zero-shot evaluation on two real-world datasets (IEEE DataPort live hardware and ALFA fixed-wing) in Section V-G, and we now characterise the simulation-vs-real noise gap quantitatively. The full results table and the noise-statistic comparison appear inline in our response to Reviewer 1, Comment 3, and the headline numbers are: simulation excess kurtosis ≈ 0 (Gaussian), IEEE DataPort live excess kurtosis = 12.2 (heavy-tailed multipath outliers under EKF fusion), and ALFA excess kurtosis = -0.94 (sub-Gaussian raw GPS). The MATLAB sensor model thus does not reproduce multipath, ionospheric delay, or receiver clock drift, and we now acknowledge this in Section IV-A and Section VI-C. The cross-distribution evaluation is framed as a </w:t>
      </w:r>
      <w:r>
        <w:rPr>
          <w:rFonts w:ascii="Times New Roman" w:hAnsi="Times New Roman"/>
          <w:b w:val="0"/>
          <w:i/>
          <w:color w:val="000000"/>
          <w:sz w:val="22"/>
        </w:rPr>
        <w:t>zero-shot stress test</w:t>
      </w:r>
      <w:r>
        <w:rPr>
          <w:rFonts w:ascii="Times New Roman" w:hAnsi="Times New Roman"/>
          <w:b w:val="0"/>
          <w:i w:val="0"/>
          <w:color w:val="000000"/>
          <w:sz w:val="22"/>
        </w:rPr>
        <w:t>, not matched-platform validation.</w:t>
      </w:r>
    </w:p>
    <w:p>
      <w:r>
        <w:rPr>
          <w:rFonts w:ascii="Times New Roman" w:hAnsi="Times New Roman"/>
          <w:b/>
          <w:i w:val="0"/>
          <w:color w:val="0064B4"/>
          <w:sz w:val="22"/>
        </w:rPr>
        <w:t>Action:</w:t>
      </w:r>
      <w:r>
        <w:rPr>
          <w:rFonts w:ascii="Times New Roman" w:hAnsi="Times New Roman"/>
          <w:b w:val="0"/>
          <w:i w:val="0"/>
          <w:color w:val="0064B4"/>
          <w:sz w:val="22"/>
        </w:rPr>
        <w:t xml:space="preserve"> See response to Reviewer 1, Comment 3. Section VI-C documents the sensor-model fidelity gap with the noise-statistic numbers as quantitative evidence.</w:t>
      </w:r>
    </w:p>
    <w:p>
      <w:r>
        <w:rPr>
          <w:rFonts w:ascii="Times New Roman" w:hAnsi="Times New Roman"/>
          <w:b/>
          <w:i w:val="0"/>
          <w:color w:val="B43C3C"/>
          <w:sz w:val="22"/>
        </w:rPr>
        <w:t>[Reviewer 3, Comment 3]</w:t>
      </w:r>
    </w:p>
    <w:p>
      <w:pPr>
        <w:ind w:left="576"/>
      </w:pPr>
      <w:r>
        <w:rPr>
          <w:rFonts w:ascii="Times New Roman" w:hAnsi="Times New Roman"/>
          <w:b w:val="0"/>
          <w:i/>
          <w:color w:val="000000"/>
          <w:sz w:val="22"/>
        </w:rPr>
        <w:t>"Missing recent related work from 2023–2025 on GNSS spoofing detection and UAV security."</w:t>
      </w:r>
    </w:p>
    <w:p>
      <w:r>
        <w:rPr>
          <w:rFonts w:ascii="Times New Roman" w:hAnsi="Times New Roman"/>
          <w:b/>
          <w:i w:val="0"/>
          <w:color w:val="000000"/>
          <w:sz w:val="22"/>
        </w:rPr>
        <w:t>Response:</w:t>
      </w:r>
      <w:r>
        <w:rPr>
          <w:rFonts w:ascii="Times New Roman" w:hAnsi="Times New Roman"/>
          <w:b w:val="0"/>
          <w:i w:val="0"/>
          <w:color w:val="000000"/>
          <w:sz w:val="22"/>
        </w:rPr>
        <w:t xml:space="preserve"> Four 2024 papers have been added.</w:t>
      </w:r>
    </w:p>
    <w:p>
      <w:pPr>
        <w:pStyle w:val="ListBullet"/>
      </w:pPr>
      <w:r>
        <w:rPr>
          <w:rFonts w:ascii="Times New Roman" w:hAnsi="Times New Roman"/>
          <w:b/>
          <w:i w:val="0"/>
          <w:color w:val="000000"/>
          <w:sz w:val="22"/>
        </w:rPr>
        <w:t>[ref34]</w:t>
      </w:r>
      <w:r>
        <w:rPr>
          <w:rFonts w:ascii="Times New Roman" w:hAnsi="Times New Roman"/>
          <w:b w:val="0"/>
          <w:i w:val="0"/>
          <w:color w:val="000000"/>
          <w:sz w:val="22"/>
        </w:rPr>
        <w:t xml:space="preserve"> Alhoraibi, Alghazzawi, and Alhebshi, "Detection of GPS spoofing attacks in UAVs based on adversarial machine-learning model," </w:t>
      </w:r>
      <w:r>
        <w:rPr>
          <w:rFonts w:ascii="Times New Roman" w:hAnsi="Times New Roman"/>
          <w:b w:val="0"/>
          <w:i/>
          <w:color w:val="000000"/>
          <w:sz w:val="22"/>
        </w:rPr>
        <w:t>Sensors</w:t>
      </w:r>
      <w:r>
        <w:rPr>
          <w:rFonts w:ascii="Times New Roman" w:hAnsi="Times New Roman"/>
          <w:b w:val="0"/>
          <w:i w:val="0"/>
          <w:color w:val="000000"/>
          <w:sz w:val="22"/>
        </w:rPr>
        <w:t>, vol. 24, no. 18, Sep. 2024, doi: 10.3390/s24186156. Cited in Section I for adversarial-ML-based detection.</w:t>
      </w:r>
    </w:p>
    <w:p>
      <w:pPr>
        <w:pStyle w:val="ListBullet"/>
      </w:pPr>
      <w:r>
        <w:rPr>
          <w:rFonts w:ascii="Times New Roman" w:hAnsi="Times New Roman"/>
          <w:b/>
          <w:i w:val="0"/>
          <w:color w:val="000000"/>
          <w:sz w:val="22"/>
        </w:rPr>
        <w:t>[ref35]</w:t>
      </w:r>
      <w:r>
        <w:rPr>
          <w:rFonts w:ascii="Times New Roman" w:hAnsi="Times New Roman"/>
          <w:b w:val="0"/>
          <w:i w:val="0"/>
          <w:color w:val="000000"/>
          <w:sz w:val="22"/>
        </w:rPr>
        <w:t xml:space="preserve"> Niu, Zhuang, Lin, and Zhang, "Navigation spoofing interference detection based on Transformer model," </w:t>
      </w:r>
      <w:r>
        <w:rPr>
          <w:rFonts w:ascii="Times New Roman" w:hAnsi="Times New Roman"/>
          <w:b w:val="0"/>
          <w:i/>
          <w:color w:val="000000"/>
          <w:sz w:val="22"/>
        </w:rPr>
        <w:t>Adv. Space Res.</w:t>
      </w:r>
      <w:r>
        <w:rPr>
          <w:rFonts w:ascii="Times New Roman" w:hAnsi="Times New Roman"/>
          <w:b w:val="0"/>
          <w:i w:val="0"/>
          <w:color w:val="000000"/>
          <w:sz w:val="22"/>
        </w:rPr>
        <w:t>, vol. 74, no. 10, Nov. 2024, doi: 10.1016/j.asr.2024.07.016. Cited in Section I for Transformer-based real-time GNSS detection.</w:t>
      </w:r>
    </w:p>
    <w:p>
      <w:pPr>
        <w:pStyle w:val="ListBullet"/>
      </w:pPr>
      <w:r>
        <w:rPr>
          <w:rFonts w:ascii="Times New Roman" w:hAnsi="Times New Roman"/>
          <w:b/>
          <w:i w:val="0"/>
          <w:color w:val="000000"/>
          <w:sz w:val="22"/>
        </w:rPr>
        <w:t>[ref36]</w:t>
      </w:r>
      <w:r>
        <w:rPr>
          <w:rFonts w:ascii="Times New Roman" w:hAnsi="Times New Roman"/>
          <w:b w:val="0"/>
          <w:i w:val="0"/>
          <w:color w:val="000000"/>
          <w:sz w:val="22"/>
        </w:rPr>
        <w:t xml:space="preserve"> Humphreys et al., ION GNSS 2008 spoofer reference, cited in the threat model.</w:t>
      </w:r>
    </w:p>
    <w:p>
      <w:pPr>
        <w:pStyle w:val="ListBullet"/>
      </w:pPr>
      <w:r>
        <w:rPr>
          <w:rFonts w:ascii="Times New Roman" w:hAnsi="Times New Roman"/>
          <w:b/>
          <w:i w:val="0"/>
          <w:color w:val="000000"/>
          <w:sz w:val="22"/>
        </w:rPr>
        <w:t>[ref38]</w:t>
      </w:r>
      <w:r>
        <w:rPr>
          <w:rFonts w:ascii="Times New Roman" w:hAnsi="Times New Roman"/>
          <w:b w:val="0"/>
          <w:i w:val="0"/>
          <w:color w:val="000000"/>
          <w:sz w:val="22"/>
        </w:rPr>
        <w:t xml:space="preserve"> IEEE DataPort UAV Attack Dataset, doi: 10.21227/00dg-0d12, the real-hardware evaluation source for Section V-G.</w:t>
      </w:r>
    </w:p>
    <w:p>
      <w:r>
        <w:rPr>
          <w:rFonts w:ascii="Times New Roman" w:hAnsi="Times New Roman"/>
          <w:b w:val="0"/>
          <w:i w:val="0"/>
          <w:color w:val="000000"/>
          <w:sz w:val="22"/>
        </w:rPr>
        <w:t>Additional 2024–2025 works already in the bibliography (ref15, ref16, ref20, ref21, ref25, ref29) provide further coverage.</w:t>
      </w:r>
    </w:p>
    <w:p>
      <w:r>
        <w:rPr>
          <w:rFonts w:ascii="Times New Roman" w:hAnsi="Times New Roman"/>
          <w:b/>
          <w:i w:val="0"/>
          <w:color w:val="0064B4"/>
          <w:sz w:val="22"/>
        </w:rPr>
        <w:t>Action:</w:t>
      </w:r>
      <w:r>
        <w:rPr>
          <w:rFonts w:ascii="Times New Roman" w:hAnsi="Times New Roman"/>
          <w:b w:val="0"/>
          <w:i w:val="0"/>
          <w:color w:val="0064B4"/>
          <w:sz w:val="22"/>
        </w:rPr>
        <w:t xml:space="preserve"> ref34, ref35, ref36, ref38 added to bibliography and cited in Section I and Section V-G.</w:t>
      </w:r>
    </w:p>
    <w:p>
      <w:r>
        <w:rPr>
          <w:rFonts w:ascii="Times New Roman" w:hAnsi="Times New Roman"/>
          <w:b/>
          <w:i w:val="0"/>
          <w:color w:val="B43C3C"/>
          <w:sz w:val="22"/>
        </w:rPr>
        <w:t>[Reviewer 3, Comment 4]</w:t>
      </w:r>
    </w:p>
    <w:p>
      <w:pPr>
        <w:ind w:left="576"/>
      </w:pPr>
      <w:r>
        <w:rPr>
          <w:rFonts w:ascii="Times New Roman" w:hAnsi="Times New Roman"/>
          <w:b w:val="0"/>
          <w:i/>
          <w:color w:val="000000"/>
          <w:sz w:val="22"/>
        </w:rPr>
        <w:t>"The TimeGAN contamination of the evaluation set is a fatal flaw that invalidates all reported results."</w:t>
      </w:r>
    </w:p>
    <w:p>
      <w:r>
        <w:rPr>
          <w:rFonts w:ascii="Times New Roman" w:hAnsi="Times New Roman"/>
          <w:b/>
          <w:i w:val="0"/>
          <w:color w:val="000000"/>
          <w:sz w:val="22"/>
        </w:rPr>
        <w:t>Response:</w:t>
      </w:r>
      <w:r>
        <w:rPr>
          <w:rFonts w:ascii="Times New Roman" w:hAnsi="Times New Roman"/>
          <w:b w:val="0"/>
          <w:i w:val="0"/>
          <w:color w:val="000000"/>
          <w:sz w:val="22"/>
        </w:rPr>
        <w:t xml:space="preserve"> The experimental foundation has been completely rebuilt; the augmentation-isolation pipeline is reproduced as a diagram in our response to Reviewer 1, Comment 1, together with the runtime assertion that prevents any TimeGAN-generated flight identifier from entering the validation or test split. All reported results are based exclusively on unaugmented MATLAB simulation flights.</w:t>
      </w:r>
    </w:p>
    <w:p>
      <w:r>
        <w:rPr>
          <w:rFonts w:ascii="Times New Roman" w:hAnsi="Times New Roman"/>
          <w:b/>
          <w:i w:val="0"/>
          <w:color w:val="0064B4"/>
          <w:sz w:val="22"/>
        </w:rPr>
        <w:t>Action:</w:t>
      </w:r>
      <w:r>
        <w:rPr>
          <w:rFonts w:ascii="Times New Roman" w:hAnsi="Times New Roman"/>
          <w:b w:val="0"/>
          <w:i w:val="0"/>
          <w:color w:val="0064B4"/>
          <w:sz w:val="22"/>
        </w:rPr>
        <w:t xml:space="preserve"> Same as Reviewer 1, Comment 1.</w:t>
      </w:r>
    </w:p>
    <w:p>
      <w:r>
        <w:rPr>
          <w:rFonts w:ascii="Times New Roman" w:hAnsi="Times New Roman"/>
          <w:b/>
          <w:i w:val="0"/>
          <w:color w:val="B43C3C"/>
          <w:sz w:val="22"/>
        </w:rPr>
        <w:t>[Reviewer 3, Comment 5]</w:t>
      </w:r>
    </w:p>
    <w:p>
      <w:pPr>
        <w:ind w:left="576"/>
      </w:pPr>
      <w:r>
        <w:rPr>
          <w:rFonts w:ascii="Times New Roman" w:hAnsi="Times New Roman"/>
          <w:b w:val="0"/>
          <w:i/>
          <w:color w:val="000000"/>
          <w:sz w:val="22"/>
        </w:rPr>
        <w:t>"Conventional metrics (precision, recall, F1) being identical across models while time-aware metrics differ significantly is suspicious."</w:t>
      </w:r>
    </w:p>
    <w:p>
      <w:r>
        <w:rPr>
          <w:rFonts w:ascii="Times New Roman" w:hAnsi="Times New Roman"/>
          <w:b/>
          <w:i w:val="0"/>
          <w:color w:val="000000"/>
          <w:sz w:val="22"/>
        </w:rPr>
        <w:t>Response:</w:t>
      </w:r>
      <w:r>
        <w:rPr>
          <w:rFonts w:ascii="Times New Roman" w:hAnsi="Times New Roman"/>
          <w:b w:val="0"/>
          <w:i w:val="0"/>
          <w:color w:val="000000"/>
          <w:sz w:val="22"/>
        </w:rPr>
        <w:t xml:space="preserve"> The reviewer is correct that the original near-identical conventional metrics were an artefact of the contaminated test set, where TimeGAN-generated windows inflated window-level accuracy uniformly. With the new clean test set, both metric families now exhibit clearly differentiated patterns. The conventional metrics span: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t>Model</w:t>
            </w:r>
          </w:p>
        </w:tc>
        <w:tc>
          <w:tcPr>
            <w:tcW w:type="dxa" w:w="2351"/>
          </w:tcPr>
          <w:p>
            <w:r>
              <w:rPr>
                <w:rFonts w:ascii="Times New Roman" w:hAnsi="Times New Roman"/>
                <w:b/>
                <w:i w:val="0"/>
                <w:color w:val="000000"/>
                <w:sz w:val="22"/>
              </w:rPr>
              <w:t>Precision</w:t>
            </w:r>
          </w:p>
        </w:tc>
        <w:tc>
          <w:tcPr>
            <w:tcW w:type="dxa" w:w="2351"/>
          </w:tcPr>
          <w:p>
            <w:r>
              <w:rPr>
                <w:rFonts w:ascii="Times New Roman" w:hAnsi="Times New Roman"/>
                <w:b/>
                <w:i w:val="0"/>
                <w:color w:val="000000"/>
                <w:sz w:val="22"/>
              </w:rPr>
              <w:t>Recall</w:t>
            </w:r>
          </w:p>
        </w:tc>
        <w:tc>
          <w:tcPr>
            <w:tcW w:type="dxa" w:w="2351"/>
          </w:tcPr>
          <w:p>
            <w:r>
              <w:rPr>
                <w:rFonts w:ascii="Times New Roman" w:hAnsi="Times New Roman"/>
                <w:b/>
                <w:i w:val="0"/>
                <w:color w:val="000000"/>
                <w:sz w:val="22"/>
              </w:rPr>
              <w:t>F1</w:t>
            </w:r>
          </w:p>
        </w:tc>
      </w:tr>
      <w:tr>
        <w:tc>
          <w:tcPr>
            <w:tcW w:type="dxa" w:w="2351"/>
          </w:tcPr>
          <w:p>
            <w:r>
              <w:rPr>
                <w:rFonts w:ascii="Times New Roman" w:hAnsi="Times New Roman"/>
                <w:b w:val="0"/>
                <w:i w:val="0"/>
                <w:color w:val="000000"/>
                <w:sz w:val="22"/>
              </w:rPr>
              <w:t>CNN</w:t>
            </w:r>
          </w:p>
        </w:tc>
        <w:tc>
          <w:tcPr>
            <w:tcW w:type="dxa" w:w="2351"/>
          </w:tcPr>
          <w:p>
            <w:r>
              <w:rPr>
                <w:rFonts w:ascii="Times New Roman" w:hAnsi="Times New Roman"/>
                <w:b w:val="0"/>
                <w:i w:val="0"/>
                <w:color w:val="000000"/>
                <w:sz w:val="22"/>
              </w:rPr>
              <w:t>0.896 ± 0.025</w:t>
            </w:r>
          </w:p>
        </w:tc>
        <w:tc>
          <w:tcPr>
            <w:tcW w:type="dxa" w:w="2351"/>
          </w:tcPr>
          <w:p>
            <w:r>
              <w:rPr>
                <w:rFonts w:ascii="Times New Roman" w:hAnsi="Times New Roman"/>
                <w:b w:val="0"/>
                <w:i w:val="0"/>
                <w:color w:val="000000"/>
                <w:sz w:val="22"/>
              </w:rPr>
              <w:t>0.807 ± 0.134</w:t>
            </w:r>
          </w:p>
        </w:tc>
        <w:tc>
          <w:tcPr>
            <w:tcW w:type="dxa" w:w="2351"/>
          </w:tcPr>
          <w:p>
            <w:r>
              <w:rPr>
                <w:rFonts w:ascii="Times New Roman" w:hAnsi="Times New Roman"/>
                <w:b w:val="0"/>
                <w:i w:val="0"/>
                <w:color w:val="000000"/>
                <w:sz w:val="22"/>
              </w:rPr>
              <w:t>0.844 ± 0.092</w:t>
            </w:r>
          </w:p>
        </w:tc>
      </w:tr>
      <w:tr>
        <w:tc>
          <w:tcPr>
            <w:tcW w:type="dxa" w:w="2351"/>
          </w:tcPr>
          <w:p>
            <w:r>
              <w:rPr>
                <w:rFonts w:ascii="Times New Roman" w:hAnsi="Times New Roman"/>
                <w:b w:val="0"/>
                <w:i w:val="0"/>
                <w:color w:val="000000"/>
                <w:sz w:val="22"/>
              </w:rPr>
              <w:t>LSTM</w:t>
            </w:r>
          </w:p>
        </w:tc>
        <w:tc>
          <w:tcPr>
            <w:tcW w:type="dxa" w:w="2351"/>
          </w:tcPr>
          <w:p>
            <w:r>
              <w:rPr>
                <w:rFonts w:ascii="Times New Roman" w:hAnsi="Times New Roman"/>
                <w:b w:val="0"/>
                <w:i w:val="0"/>
                <w:color w:val="000000"/>
                <w:sz w:val="22"/>
              </w:rPr>
              <w:t>0.883 ± 0.009</w:t>
            </w:r>
          </w:p>
        </w:tc>
        <w:tc>
          <w:tcPr>
            <w:tcW w:type="dxa" w:w="2351"/>
          </w:tcPr>
          <w:p>
            <w:r>
              <w:rPr>
                <w:rFonts w:ascii="Times New Roman" w:hAnsi="Times New Roman"/>
                <w:b w:val="0"/>
                <w:i w:val="0"/>
                <w:color w:val="000000"/>
                <w:sz w:val="22"/>
              </w:rPr>
              <w:t>0.901 ± 0.011</w:t>
            </w:r>
          </w:p>
        </w:tc>
        <w:tc>
          <w:tcPr>
            <w:tcW w:type="dxa" w:w="2351"/>
          </w:tcPr>
          <w:p>
            <w:r>
              <w:rPr>
                <w:rFonts w:ascii="Times New Roman" w:hAnsi="Times New Roman"/>
                <w:b w:val="0"/>
                <w:i w:val="0"/>
                <w:color w:val="000000"/>
                <w:sz w:val="22"/>
              </w:rPr>
              <w:t>0.892 ± 0.007</w:t>
            </w:r>
          </w:p>
        </w:tc>
      </w:tr>
      <w:tr>
        <w:tc>
          <w:tcPr>
            <w:tcW w:type="dxa" w:w="2351"/>
          </w:tcPr>
          <w:p>
            <w:r>
              <w:rPr>
                <w:rFonts w:ascii="Times New Roman" w:hAnsi="Times New Roman"/>
                <w:b w:val="0"/>
                <w:i w:val="0"/>
                <w:color w:val="000000"/>
                <w:sz w:val="22"/>
              </w:rPr>
              <w:t>BiLSTM</w:t>
            </w:r>
          </w:p>
        </w:tc>
        <w:tc>
          <w:tcPr>
            <w:tcW w:type="dxa" w:w="2351"/>
          </w:tcPr>
          <w:p>
            <w:r>
              <w:rPr>
                <w:rFonts w:ascii="Times New Roman" w:hAnsi="Times New Roman"/>
                <w:b w:val="0"/>
                <w:i w:val="0"/>
                <w:color w:val="000000"/>
                <w:sz w:val="22"/>
              </w:rPr>
              <w:t>0.862 ± 0.013</w:t>
            </w:r>
          </w:p>
        </w:tc>
        <w:tc>
          <w:tcPr>
            <w:tcW w:type="dxa" w:w="2351"/>
          </w:tcPr>
          <w:p>
            <w:r>
              <w:rPr>
                <w:rFonts w:ascii="Times New Roman" w:hAnsi="Times New Roman"/>
                <w:b w:val="0"/>
                <w:i w:val="0"/>
                <w:color w:val="000000"/>
                <w:sz w:val="22"/>
              </w:rPr>
              <w:t>0.717 ± 0.146</w:t>
            </w:r>
          </w:p>
        </w:tc>
        <w:tc>
          <w:tcPr>
            <w:tcW w:type="dxa" w:w="2351"/>
          </w:tcPr>
          <w:p>
            <w:r>
              <w:rPr>
                <w:rFonts w:ascii="Times New Roman" w:hAnsi="Times New Roman"/>
                <w:b w:val="0"/>
                <w:i w:val="0"/>
                <w:color w:val="000000"/>
                <w:sz w:val="22"/>
              </w:rPr>
              <w:t>0.772 ± 0.086</w:t>
            </w:r>
          </w:p>
        </w:tc>
      </w:tr>
      <w:tr>
        <w:tc>
          <w:tcPr>
            <w:tcW w:type="dxa" w:w="2351"/>
          </w:tcPr>
          <w:p>
            <w:r>
              <w:rPr>
                <w:rFonts w:ascii="Times New Roman" w:hAnsi="Times New Roman"/>
                <w:b w:val="0"/>
                <w:i w:val="0"/>
                <w:color w:val="000000"/>
                <w:sz w:val="22"/>
              </w:rPr>
              <w:t>GRU</w:t>
            </w:r>
          </w:p>
        </w:tc>
        <w:tc>
          <w:tcPr>
            <w:tcW w:type="dxa" w:w="2351"/>
          </w:tcPr>
          <w:p>
            <w:r>
              <w:rPr>
                <w:rFonts w:ascii="Times New Roman" w:hAnsi="Times New Roman"/>
                <w:b w:val="0"/>
                <w:i w:val="0"/>
                <w:color w:val="000000"/>
                <w:sz w:val="22"/>
              </w:rPr>
              <w:t>0.890 ± 0.010</w:t>
            </w:r>
          </w:p>
        </w:tc>
        <w:tc>
          <w:tcPr>
            <w:tcW w:type="dxa" w:w="2351"/>
          </w:tcPr>
          <w:p>
            <w:r>
              <w:rPr>
                <w:rFonts w:ascii="Times New Roman" w:hAnsi="Times New Roman"/>
                <w:b w:val="0"/>
                <w:i w:val="0"/>
                <w:color w:val="000000"/>
                <w:sz w:val="22"/>
              </w:rPr>
              <w:t>0.891 ± 0.016</w:t>
            </w:r>
          </w:p>
        </w:tc>
        <w:tc>
          <w:tcPr>
            <w:tcW w:type="dxa" w:w="2351"/>
          </w:tcPr>
          <w:p>
            <w:r>
              <w:rPr>
                <w:rFonts w:ascii="Times New Roman" w:hAnsi="Times New Roman"/>
                <w:b w:val="0"/>
                <w:i w:val="0"/>
                <w:color w:val="000000"/>
                <w:sz w:val="22"/>
              </w:rPr>
              <w:t>0.890 ± 0.005</w:t>
            </w:r>
          </w:p>
        </w:tc>
      </w:tr>
      <w:tr>
        <w:tc>
          <w:tcPr>
            <w:tcW w:type="dxa" w:w="2351"/>
          </w:tcPr>
          <w:p>
            <w:r>
              <w:rPr>
                <w:rFonts w:ascii="Times New Roman" w:hAnsi="Times New Roman"/>
                <w:b w:val="0"/>
                <w:i w:val="0"/>
                <w:color w:val="000000"/>
                <w:sz w:val="22"/>
              </w:rPr>
              <w:t>CNN-LSTM</w:t>
            </w:r>
          </w:p>
        </w:tc>
        <w:tc>
          <w:tcPr>
            <w:tcW w:type="dxa" w:w="2351"/>
          </w:tcPr>
          <w:p>
            <w:r>
              <w:rPr>
                <w:rFonts w:ascii="Times New Roman" w:hAnsi="Times New Roman"/>
                <w:b w:val="0"/>
                <w:i w:val="0"/>
                <w:color w:val="000000"/>
                <w:sz w:val="22"/>
              </w:rPr>
              <w:t>0.901 ± 0.008</w:t>
            </w:r>
          </w:p>
        </w:tc>
        <w:tc>
          <w:tcPr>
            <w:tcW w:type="dxa" w:w="2351"/>
          </w:tcPr>
          <w:p>
            <w:r>
              <w:rPr>
                <w:rFonts w:ascii="Times New Roman" w:hAnsi="Times New Roman"/>
                <w:b w:val="0"/>
                <w:i w:val="0"/>
                <w:color w:val="000000"/>
                <w:sz w:val="22"/>
              </w:rPr>
              <w:t>0.904 ± 0.020</w:t>
            </w:r>
          </w:p>
        </w:tc>
        <w:tc>
          <w:tcPr>
            <w:tcW w:type="dxa" w:w="2351"/>
          </w:tcPr>
          <w:p>
            <w:r>
              <w:rPr>
                <w:rFonts w:ascii="Times New Roman" w:hAnsi="Times New Roman"/>
                <w:b w:val="0"/>
                <w:i w:val="0"/>
                <w:color w:val="000000"/>
                <w:sz w:val="22"/>
              </w:rPr>
              <w:t>0.903 ± 0.007</w:t>
            </w:r>
          </w:p>
        </w:tc>
      </w:tr>
      <w:tr>
        <w:tc>
          <w:tcPr>
            <w:tcW w:type="dxa" w:w="2351"/>
          </w:tcPr>
          <w:p>
            <w:r>
              <w:rPr>
                <w:rFonts w:ascii="Times New Roman" w:hAnsi="Times New Roman"/>
                <w:b w:val="0"/>
                <w:i w:val="0"/>
                <w:color w:val="000000"/>
                <w:sz w:val="22"/>
              </w:rPr>
              <w:t>TCN</w:t>
            </w:r>
          </w:p>
        </w:tc>
        <w:tc>
          <w:tcPr>
            <w:tcW w:type="dxa" w:w="2351"/>
          </w:tcPr>
          <w:p>
            <w:r>
              <w:rPr>
                <w:rFonts w:ascii="Times New Roman" w:hAnsi="Times New Roman"/>
                <w:b w:val="0"/>
                <w:i w:val="0"/>
                <w:color w:val="000000"/>
                <w:sz w:val="22"/>
              </w:rPr>
              <w:t>0.898 ± 0.013</w:t>
            </w:r>
          </w:p>
        </w:tc>
        <w:tc>
          <w:tcPr>
            <w:tcW w:type="dxa" w:w="2351"/>
          </w:tcPr>
          <w:p>
            <w:r>
              <w:rPr>
                <w:rFonts w:ascii="Times New Roman" w:hAnsi="Times New Roman"/>
                <w:b w:val="0"/>
                <w:i w:val="0"/>
                <w:color w:val="000000"/>
                <w:sz w:val="22"/>
              </w:rPr>
              <w:t>0.562 ± 0.025</w:t>
            </w:r>
          </w:p>
        </w:tc>
        <w:tc>
          <w:tcPr>
            <w:tcW w:type="dxa" w:w="2351"/>
          </w:tcPr>
          <w:p>
            <w:r>
              <w:rPr>
                <w:rFonts w:ascii="Times New Roman" w:hAnsi="Times New Roman"/>
                <w:b w:val="0"/>
                <w:i w:val="0"/>
                <w:color w:val="000000"/>
                <w:sz w:val="22"/>
              </w:rPr>
              <w:t>0.691 ± 0.019</w:t>
            </w:r>
          </w:p>
        </w:tc>
      </w:tr>
      <w:tr>
        <w:tc>
          <w:tcPr>
            <w:tcW w:type="dxa" w:w="2351"/>
          </w:tcPr>
          <w:p>
            <w:r>
              <w:rPr>
                <w:rFonts w:ascii="Times New Roman" w:hAnsi="Times New Roman"/>
                <w:b w:val="0"/>
                <w:i w:val="0"/>
                <w:color w:val="000000"/>
                <w:sz w:val="22"/>
              </w:rPr>
              <w:t>Transformer</w:t>
            </w:r>
          </w:p>
        </w:tc>
        <w:tc>
          <w:tcPr>
            <w:tcW w:type="dxa" w:w="2351"/>
          </w:tcPr>
          <w:p>
            <w:r>
              <w:rPr>
                <w:rFonts w:ascii="Times New Roman" w:hAnsi="Times New Roman"/>
                <w:b w:val="0"/>
                <w:i w:val="0"/>
                <w:color w:val="000000"/>
                <w:sz w:val="22"/>
              </w:rPr>
              <w:t>0.794 ± 0.029</w:t>
            </w:r>
          </w:p>
        </w:tc>
        <w:tc>
          <w:tcPr>
            <w:tcW w:type="dxa" w:w="2351"/>
          </w:tcPr>
          <w:p>
            <w:r>
              <w:rPr>
                <w:rFonts w:ascii="Times New Roman" w:hAnsi="Times New Roman"/>
                <w:b w:val="0"/>
                <w:i w:val="0"/>
                <w:color w:val="000000"/>
                <w:sz w:val="22"/>
              </w:rPr>
              <w:t>0.826 ± 0.154</w:t>
            </w:r>
          </w:p>
        </w:tc>
        <w:tc>
          <w:tcPr>
            <w:tcW w:type="dxa" w:w="2351"/>
          </w:tcPr>
          <w:p>
            <w:r>
              <w:rPr>
                <w:rFonts w:ascii="Times New Roman" w:hAnsi="Times New Roman"/>
                <w:b w:val="0"/>
                <w:i w:val="0"/>
                <w:color w:val="000000"/>
                <w:sz w:val="22"/>
              </w:rPr>
              <w:t>0.803 ± 0.096</w:t>
            </w:r>
          </w:p>
        </w:tc>
      </w:tr>
    </w:tbl>
    <w:p>
      <w:r>
        <w:rPr>
          <w:rFonts w:ascii="Times New Roman" w:hAnsi="Times New Roman"/>
          <w:b w:val="0"/>
          <w:i w:val="0"/>
          <w:color w:val="000000"/>
          <w:sz w:val="22"/>
        </w:rPr>
        <w:t>The time-aware metrics span: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t>Model</w:t>
            </w:r>
          </w:p>
        </w:tc>
        <w:tc>
          <w:tcPr>
            <w:tcW w:type="dxa" w:w="2351"/>
          </w:tcPr>
          <w:p>
            <w:r>
              <w:rPr>
                <w:rFonts w:ascii="Times New Roman" w:hAnsi="Times New Roman"/>
                <w:b/>
                <w:i w:val="0"/>
                <w:color w:val="000000"/>
                <w:sz w:val="22"/>
              </w:rPr>
              <w:t>DR@5s</w:t>
            </w:r>
          </w:p>
        </w:tc>
        <w:tc>
          <w:tcPr>
            <w:tcW w:type="dxa" w:w="2351"/>
          </w:tcPr>
          <w:p>
            <w:r>
              <w:rPr>
                <w:rFonts w:ascii="Times New Roman" w:hAnsi="Times New Roman"/>
                <w:b/>
                <w:i w:val="0"/>
                <w:color w:val="000000"/>
                <w:sz w:val="22"/>
              </w:rPr>
              <w:t>ADD (s)</w:t>
            </w:r>
          </w:p>
        </w:tc>
        <w:tc>
          <w:tcPr>
            <w:tcW w:type="dxa" w:w="2351"/>
          </w:tcPr>
          <w:p>
            <w:r>
              <w:rPr>
                <w:rFonts w:ascii="Times New Roman" w:hAnsi="Times New Roman"/>
                <w:b/>
                <w:i w:val="0"/>
                <w:color w:val="000000"/>
                <w:sz w:val="22"/>
              </w:rPr>
              <w:t>MTBFA (h)</w:t>
            </w:r>
          </w:p>
        </w:tc>
      </w:tr>
      <w:tr>
        <w:tc>
          <w:tcPr>
            <w:tcW w:type="dxa" w:w="2351"/>
          </w:tcPr>
          <w:p>
            <w:r>
              <w:rPr>
                <w:rFonts w:ascii="Times New Roman" w:hAnsi="Times New Roman"/>
                <w:b w:val="0"/>
                <w:i w:val="0"/>
                <w:color w:val="000000"/>
                <w:sz w:val="22"/>
              </w:rPr>
              <w:t>CNN</w:t>
            </w:r>
          </w:p>
        </w:tc>
        <w:tc>
          <w:tcPr>
            <w:tcW w:type="dxa" w:w="2351"/>
          </w:tcPr>
          <w:p>
            <w:r>
              <w:rPr>
                <w:rFonts w:ascii="Times New Roman" w:hAnsi="Times New Roman"/>
                <w:b w:val="0"/>
                <w:i w:val="0"/>
                <w:color w:val="000000"/>
                <w:sz w:val="22"/>
              </w:rPr>
              <w:t>0.893 ± 0.134</w:t>
            </w:r>
          </w:p>
        </w:tc>
        <w:tc>
          <w:tcPr>
            <w:tcW w:type="dxa" w:w="2351"/>
          </w:tcPr>
          <w:p>
            <w:r>
              <w:rPr>
                <w:rFonts w:ascii="Times New Roman" w:hAnsi="Times New Roman"/>
                <w:b w:val="0"/>
                <w:i w:val="0"/>
                <w:color w:val="000000"/>
                <w:sz w:val="22"/>
              </w:rPr>
              <w:t>2.12 ± 2.24</w:t>
            </w:r>
          </w:p>
        </w:tc>
        <w:tc>
          <w:tcPr>
            <w:tcW w:type="dxa" w:w="2351"/>
          </w:tcPr>
          <w:p>
            <w:r>
              <w:rPr>
                <w:rFonts w:ascii="Times New Roman" w:hAnsi="Times New Roman"/>
                <w:b w:val="0"/>
                <w:i w:val="0"/>
                <w:color w:val="000000"/>
                <w:sz w:val="22"/>
              </w:rPr>
              <w:t>0.024 ± 0.011</w:t>
            </w:r>
          </w:p>
        </w:tc>
      </w:tr>
      <w:tr>
        <w:tc>
          <w:tcPr>
            <w:tcW w:type="dxa" w:w="2351"/>
          </w:tcPr>
          <w:p>
            <w:r>
              <w:rPr>
                <w:rFonts w:ascii="Times New Roman" w:hAnsi="Times New Roman"/>
                <w:b w:val="0"/>
                <w:i w:val="0"/>
                <w:color w:val="000000"/>
                <w:sz w:val="22"/>
              </w:rPr>
              <w:t>LSTM</w:t>
            </w:r>
          </w:p>
        </w:tc>
        <w:tc>
          <w:tcPr>
            <w:tcW w:type="dxa" w:w="2351"/>
          </w:tcPr>
          <w:p>
            <w:r>
              <w:rPr>
                <w:rFonts w:ascii="Times New Roman" w:hAnsi="Times New Roman"/>
                <w:b w:val="0"/>
                <w:i w:val="0"/>
                <w:color w:val="000000"/>
                <w:sz w:val="22"/>
              </w:rPr>
              <w:t>0.935 ± 0.007</w:t>
            </w:r>
          </w:p>
        </w:tc>
        <w:tc>
          <w:tcPr>
            <w:tcW w:type="dxa" w:w="2351"/>
          </w:tcPr>
          <w:p>
            <w:r>
              <w:rPr>
                <w:rFonts w:ascii="Times New Roman" w:hAnsi="Times New Roman"/>
                <w:b w:val="0"/>
                <w:i w:val="0"/>
                <w:color w:val="000000"/>
                <w:sz w:val="22"/>
              </w:rPr>
              <w:t>1.22 ± 0.08</w:t>
            </w:r>
          </w:p>
        </w:tc>
        <w:tc>
          <w:tcPr>
            <w:tcW w:type="dxa" w:w="2351"/>
          </w:tcPr>
          <w:p>
            <w:r>
              <w:rPr>
                <w:rFonts w:ascii="Times New Roman" w:hAnsi="Times New Roman"/>
                <w:b w:val="0"/>
                <w:i w:val="0"/>
                <w:color w:val="000000"/>
                <w:sz w:val="22"/>
              </w:rPr>
              <w:t>0.021 ± 0.002</w:t>
            </w:r>
          </w:p>
        </w:tc>
      </w:tr>
      <w:tr>
        <w:tc>
          <w:tcPr>
            <w:tcW w:type="dxa" w:w="2351"/>
          </w:tcPr>
          <w:p>
            <w:r>
              <w:rPr>
                <w:rFonts w:ascii="Times New Roman" w:hAnsi="Times New Roman"/>
                <w:b w:val="0"/>
                <w:i w:val="0"/>
                <w:color w:val="000000"/>
                <w:sz w:val="22"/>
              </w:rPr>
              <w:t>BiLSTM</w:t>
            </w:r>
          </w:p>
        </w:tc>
        <w:tc>
          <w:tcPr>
            <w:tcW w:type="dxa" w:w="2351"/>
          </w:tcPr>
          <w:p>
            <w:r>
              <w:rPr>
                <w:rFonts w:ascii="Times New Roman" w:hAnsi="Times New Roman"/>
                <w:b w:val="0"/>
                <w:i w:val="0"/>
                <w:color w:val="000000"/>
                <w:sz w:val="22"/>
              </w:rPr>
              <w:t>0.783 ± 0.112</w:t>
            </w:r>
          </w:p>
        </w:tc>
        <w:tc>
          <w:tcPr>
            <w:tcW w:type="dxa" w:w="2351"/>
          </w:tcPr>
          <w:p>
            <w:r>
              <w:rPr>
                <w:rFonts w:ascii="Times New Roman" w:hAnsi="Times New Roman"/>
                <w:b w:val="0"/>
                <w:i w:val="0"/>
                <w:color w:val="000000"/>
                <w:sz w:val="22"/>
              </w:rPr>
              <w:t>3.84 ± 1.78</w:t>
            </w:r>
          </w:p>
        </w:tc>
        <w:tc>
          <w:tcPr>
            <w:tcW w:type="dxa" w:w="2351"/>
          </w:tcPr>
          <w:p>
            <w:r>
              <w:rPr>
                <w:rFonts w:ascii="Times New Roman" w:hAnsi="Times New Roman"/>
                <w:b w:val="0"/>
                <w:i w:val="0"/>
                <w:color w:val="000000"/>
                <w:sz w:val="22"/>
              </w:rPr>
              <w:t>0.022 ± 0.003</w:t>
            </w:r>
          </w:p>
        </w:tc>
      </w:tr>
      <w:tr>
        <w:tc>
          <w:tcPr>
            <w:tcW w:type="dxa" w:w="2351"/>
          </w:tcPr>
          <w:p>
            <w:r>
              <w:rPr>
                <w:rFonts w:ascii="Times New Roman" w:hAnsi="Times New Roman"/>
                <w:b w:val="0"/>
                <w:i w:val="0"/>
                <w:color w:val="000000"/>
                <w:sz w:val="22"/>
              </w:rPr>
              <w:t>GRU</w:t>
            </w:r>
          </w:p>
        </w:tc>
        <w:tc>
          <w:tcPr>
            <w:tcW w:type="dxa" w:w="2351"/>
          </w:tcPr>
          <w:p>
            <w:r>
              <w:rPr>
                <w:rFonts w:ascii="Times New Roman" w:hAnsi="Times New Roman"/>
                <w:b w:val="0"/>
                <w:i w:val="0"/>
                <w:color w:val="000000"/>
                <w:sz w:val="22"/>
              </w:rPr>
              <w:t>0.947 ± 0.012</w:t>
            </w:r>
          </w:p>
        </w:tc>
        <w:tc>
          <w:tcPr>
            <w:tcW w:type="dxa" w:w="2351"/>
          </w:tcPr>
          <w:p>
            <w:r>
              <w:rPr>
                <w:rFonts w:ascii="Times New Roman" w:hAnsi="Times New Roman"/>
                <w:b w:val="0"/>
                <w:i w:val="0"/>
                <w:color w:val="000000"/>
                <w:sz w:val="22"/>
              </w:rPr>
              <w:t>1.22 ± 0.15</w:t>
            </w:r>
          </w:p>
        </w:tc>
        <w:tc>
          <w:tcPr>
            <w:tcW w:type="dxa" w:w="2351"/>
          </w:tcPr>
          <w:p>
            <w:r>
              <w:rPr>
                <w:rFonts w:ascii="Times New Roman" w:hAnsi="Times New Roman"/>
                <w:b w:val="0"/>
                <w:i w:val="0"/>
                <w:color w:val="000000"/>
                <w:sz w:val="22"/>
              </w:rPr>
              <w:t>0.021 ± 0.002</w:t>
            </w:r>
          </w:p>
        </w:tc>
      </w:tr>
      <w:tr>
        <w:tc>
          <w:tcPr>
            <w:tcW w:type="dxa" w:w="2351"/>
          </w:tcPr>
          <w:p>
            <w:r>
              <w:rPr>
                <w:rFonts w:ascii="Times New Roman" w:hAnsi="Times New Roman"/>
                <w:b w:val="0"/>
                <w:i w:val="0"/>
                <w:color w:val="000000"/>
                <w:sz w:val="22"/>
              </w:rPr>
              <w:t>CNN-LSTM</w:t>
            </w:r>
          </w:p>
        </w:tc>
        <w:tc>
          <w:tcPr>
            <w:tcW w:type="dxa" w:w="2351"/>
          </w:tcPr>
          <w:p>
            <w:r>
              <w:rPr>
                <w:rFonts w:ascii="Times New Roman" w:hAnsi="Times New Roman"/>
                <w:b w:val="0"/>
                <w:i w:val="0"/>
                <w:color w:val="000000"/>
                <w:sz w:val="22"/>
              </w:rPr>
              <w:t>0.958 ± 0.011</w:t>
            </w:r>
          </w:p>
        </w:tc>
        <w:tc>
          <w:tcPr>
            <w:tcW w:type="dxa" w:w="2351"/>
          </w:tcPr>
          <w:p>
            <w:r>
              <w:rPr>
                <w:rFonts w:ascii="Times New Roman" w:hAnsi="Times New Roman"/>
                <w:b w:val="0"/>
                <w:i w:val="0"/>
                <w:color w:val="000000"/>
                <w:sz w:val="22"/>
              </w:rPr>
              <w:t>0.90 ± 0.09</w:t>
            </w:r>
          </w:p>
        </w:tc>
        <w:tc>
          <w:tcPr>
            <w:tcW w:type="dxa" w:w="2351"/>
          </w:tcPr>
          <w:p>
            <w:r>
              <w:rPr>
                <w:rFonts w:ascii="Times New Roman" w:hAnsi="Times New Roman"/>
                <w:b w:val="0"/>
                <w:i w:val="0"/>
                <w:color w:val="000000"/>
                <w:sz w:val="22"/>
              </w:rPr>
              <w:t>0.020 ± 0.002</w:t>
            </w:r>
          </w:p>
        </w:tc>
      </w:tr>
      <w:tr>
        <w:tc>
          <w:tcPr>
            <w:tcW w:type="dxa" w:w="2351"/>
          </w:tcPr>
          <w:p>
            <w:r>
              <w:rPr>
                <w:rFonts w:ascii="Times New Roman" w:hAnsi="Times New Roman"/>
                <w:b w:val="0"/>
                <w:i w:val="0"/>
                <w:color w:val="000000"/>
                <w:sz w:val="22"/>
              </w:rPr>
              <w:t>TCN</w:t>
            </w:r>
          </w:p>
        </w:tc>
        <w:tc>
          <w:tcPr>
            <w:tcW w:type="dxa" w:w="2351"/>
          </w:tcPr>
          <w:p>
            <w:r>
              <w:rPr>
                <w:rFonts w:ascii="Times New Roman" w:hAnsi="Times New Roman"/>
                <w:b w:val="0"/>
                <w:i w:val="0"/>
                <w:color w:val="000000"/>
                <w:sz w:val="22"/>
              </w:rPr>
              <w:t>0.754 ± 0.034</w:t>
            </w:r>
          </w:p>
        </w:tc>
        <w:tc>
          <w:tcPr>
            <w:tcW w:type="dxa" w:w="2351"/>
          </w:tcPr>
          <w:p>
            <w:r>
              <w:rPr>
                <w:rFonts w:ascii="Times New Roman" w:hAnsi="Times New Roman"/>
                <w:b w:val="0"/>
                <w:i w:val="0"/>
                <w:color w:val="000000"/>
                <w:sz w:val="22"/>
              </w:rPr>
              <w:t>4.68 ± 0.54</w:t>
            </w:r>
          </w:p>
        </w:tc>
        <w:tc>
          <w:tcPr>
            <w:tcW w:type="dxa" w:w="2351"/>
          </w:tcPr>
          <w:p>
            <w:r>
              <w:rPr>
                <w:rFonts w:ascii="Times New Roman" w:hAnsi="Times New Roman"/>
                <w:b w:val="0"/>
                <w:i w:val="0"/>
                <w:color w:val="000000"/>
                <w:sz w:val="22"/>
              </w:rPr>
              <w:t>0.043 ± 0.003</w:t>
            </w:r>
          </w:p>
        </w:tc>
      </w:tr>
      <w:tr>
        <w:tc>
          <w:tcPr>
            <w:tcW w:type="dxa" w:w="2351"/>
          </w:tcPr>
          <w:p>
            <w:r>
              <w:rPr>
                <w:rFonts w:ascii="Times New Roman" w:hAnsi="Times New Roman"/>
                <w:b w:val="0"/>
                <w:i w:val="0"/>
                <w:color w:val="000000"/>
                <w:sz w:val="22"/>
              </w:rPr>
              <w:t>Transformer</w:t>
            </w:r>
          </w:p>
        </w:tc>
        <w:tc>
          <w:tcPr>
            <w:tcW w:type="dxa" w:w="2351"/>
          </w:tcPr>
          <w:p>
            <w:r>
              <w:rPr>
                <w:rFonts w:ascii="Times New Roman" w:hAnsi="Times New Roman"/>
                <w:b w:val="0"/>
                <w:i w:val="0"/>
                <w:color w:val="000000"/>
                <w:sz w:val="22"/>
              </w:rPr>
              <w:t>0.919 ± 0.065</w:t>
            </w:r>
          </w:p>
        </w:tc>
        <w:tc>
          <w:tcPr>
            <w:tcW w:type="dxa" w:w="2351"/>
          </w:tcPr>
          <w:p>
            <w:r>
              <w:rPr>
                <w:rFonts w:ascii="Times New Roman" w:hAnsi="Times New Roman"/>
                <w:b w:val="0"/>
                <w:i w:val="0"/>
                <w:color w:val="000000"/>
                <w:sz w:val="22"/>
              </w:rPr>
              <w:t>1.46 ± 0.89</w:t>
            </w:r>
          </w:p>
        </w:tc>
        <w:tc>
          <w:tcPr>
            <w:tcW w:type="dxa" w:w="2351"/>
          </w:tcPr>
          <w:p>
            <w:r>
              <w:rPr>
                <w:rFonts w:ascii="Times New Roman" w:hAnsi="Times New Roman"/>
                <w:b w:val="0"/>
                <w:i w:val="0"/>
                <w:color w:val="000000"/>
                <w:sz w:val="22"/>
              </w:rPr>
              <w:t>0.016 ± 0.008</w:t>
            </w:r>
          </w:p>
        </w:tc>
      </w:tr>
    </w:tbl>
    <w:p>
      <w:r>
        <w:rPr>
          <w:rFonts w:ascii="Times New Roman" w:hAnsi="Times New Roman"/>
          <w:b w:val="0"/>
          <w:i w:val="0"/>
          <w:color w:val="000000"/>
          <w:sz w:val="22"/>
        </w:rPr>
        <w:t xml:space="preserve">The two metric families surface different architecture properties. The pair (precision, MTBFA) and the pair (recall, DR@5s) illustrate the divergence: TCN ranks 7th on F1 yet 5th on DR@5s, and CNN ranks 3rd on precision yet 6th on MTBFA. The Bonferroni-corrected pairwise </w:t>
      </w:r>
      <w:r>
        <w:rPr>
          <w:rFonts w:ascii="Times New Roman" w:hAnsi="Times New Roman"/>
          <w:b w:val="0"/>
          <w:i/>
          <w:color w:val="000000"/>
          <w:sz w:val="22"/>
        </w:rPr>
        <w:t>t</w:t>
      </w:r>
      <w:r>
        <w:rPr>
          <w:rFonts w:ascii="Times New Roman" w:hAnsi="Times New Roman"/>
          <w:b w:val="0"/>
          <w:i w:val="0"/>
          <w:color w:val="000000"/>
          <w:sz w:val="22"/>
        </w:rPr>
        <w:t>-tests in our response to Reviewer 1, Comment 5 confirm that several inter-architecture differences are statistically significant under the corrected threshold.</w:t>
      </w:r>
    </w:p>
    <w:p>
      <w:r>
        <w:rPr>
          <w:rFonts w:ascii="Times New Roman" w:hAnsi="Times New Roman"/>
          <w:b/>
          <w:i w:val="0"/>
          <w:color w:val="0064B4"/>
          <w:sz w:val="22"/>
        </w:rPr>
        <w:t>Action:</w:t>
      </w:r>
      <w:r>
        <w:rPr>
          <w:rFonts w:ascii="Times New Roman" w:hAnsi="Times New Roman"/>
          <w:b w:val="0"/>
          <w:i w:val="0"/>
          <w:color w:val="0064B4"/>
          <w:sz w:val="22"/>
        </w:rPr>
        <w:t xml:space="preserve"> Results tables completely regenerated from the clean test data. The conventional, time-aware, deployability, and pairwise tables are inlined above and also appear in the manuscript.</w:t>
      </w:r>
    </w:p>
    <w:p>
      <w:r>
        <w:rPr>
          <w:rFonts w:ascii="Times New Roman" w:hAnsi="Times New Roman"/>
          <w:b/>
          <w:i w:val="0"/>
          <w:color w:val="B43C3C"/>
          <w:sz w:val="22"/>
        </w:rPr>
        <w:t>[Reviewer 3, Comment 6]</w:t>
      </w:r>
    </w:p>
    <w:p>
      <w:pPr>
        <w:ind w:left="576"/>
      </w:pPr>
      <w:r>
        <w:rPr>
          <w:rFonts w:ascii="Times New Roman" w:hAnsi="Times New Roman"/>
          <w:b w:val="0"/>
          <w:i/>
          <w:color w:val="000000"/>
          <w:sz w:val="22"/>
        </w:rPr>
        <w:t>"The threat model should reference real-world GPS spoofing incidents."</w:t>
      </w:r>
    </w:p>
    <w:p>
      <w:r>
        <w:rPr>
          <w:rFonts w:ascii="Times New Roman" w:hAnsi="Times New Roman"/>
          <w:b/>
          <w:i w:val="0"/>
          <w:color w:val="000000"/>
          <w:sz w:val="22"/>
        </w:rPr>
        <w:t>Response:</w:t>
      </w:r>
      <w:r>
        <w:rPr>
          <w:rFonts w:ascii="Times New Roman" w:hAnsi="Times New Roman"/>
          <w:b w:val="0"/>
          <w:i w:val="0"/>
          <w:color w:val="000000"/>
          <w:sz w:val="22"/>
        </w:rPr>
        <w:t xml:space="preserve"> Section IV-B now cites three documented real-world spoofing incidents and links each attack family in the model to a real-world analogue.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t>Year</w:t>
            </w:r>
          </w:p>
        </w:tc>
        <w:tc>
          <w:tcPr>
            <w:tcW w:type="dxa" w:w="2351"/>
          </w:tcPr>
          <w:p>
            <w:r>
              <w:rPr>
                <w:rFonts w:ascii="Times New Roman" w:hAnsi="Times New Roman"/>
                <w:b/>
                <w:i w:val="0"/>
                <w:color w:val="000000"/>
                <w:sz w:val="22"/>
              </w:rPr>
              <w:t>Incident</w:t>
            </w:r>
          </w:p>
        </w:tc>
        <w:tc>
          <w:tcPr>
            <w:tcW w:type="dxa" w:w="2351"/>
          </w:tcPr>
          <w:p>
            <w:r>
              <w:rPr>
                <w:rFonts w:ascii="Times New Roman" w:hAnsi="Times New Roman"/>
                <w:b/>
                <w:i w:val="0"/>
                <w:color w:val="000000"/>
                <w:sz w:val="22"/>
              </w:rPr>
              <w:t>Attack family</w:t>
            </w:r>
          </w:p>
        </w:tc>
        <w:tc>
          <w:tcPr>
            <w:tcW w:type="dxa" w:w="2351"/>
          </w:tcPr>
          <w:p>
            <w:r>
              <w:rPr>
                <w:rFonts w:ascii="Times New Roman" w:hAnsi="Times New Roman"/>
                <w:b/>
                <w:i w:val="0"/>
                <w:color w:val="000000"/>
                <w:sz w:val="22"/>
              </w:rPr>
              <w:t>Citation</w:t>
            </w:r>
          </w:p>
        </w:tc>
      </w:tr>
      <w:tr>
        <w:tc>
          <w:tcPr>
            <w:tcW w:type="dxa" w:w="2351"/>
          </w:tcPr>
          <w:p>
            <w:r>
              <w:rPr>
                <w:rFonts w:ascii="Times New Roman" w:hAnsi="Times New Roman"/>
                <w:b w:val="0"/>
                <w:i w:val="0"/>
                <w:color w:val="000000"/>
                <w:sz w:val="22"/>
              </w:rPr>
              <w:t>2011</w:t>
            </w:r>
          </w:p>
        </w:tc>
        <w:tc>
          <w:tcPr>
            <w:tcW w:type="dxa" w:w="2351"/>
          </w:tcPr>
          <w:p>
            <w:r>
              <w:rPr>
                <w:rFonts w:ascii="Times New Roman" w:hAnsi="Times New Roman"/>
                <w:b w:val="0"/>
                <w:i w:val="0"/>
                <w:color w:val="000000"/>
                <w:sz w:val="22"/>
              </w:rPr>
              <w:t>RQ-170 Sentinel capture in Iran</w:t>
            </w:r>
          </w:p>
        </w:tc>
        <w:tc>
          <w:tcPr>
            <w:tcW w:type="dxa" w:w="2351"/>
          </w:tcPr>
          <w:p>
            <w:r>
              <w:rPr>
                <w:rFonts w:ascii="Times New Roman" w:hAnsi="Times New Roman"/>
                <w:b w:val="0"/>
                <w:i w:val="0"/>
                <w:color w:val="000000"/>
                <w:sz w:val="22"/>
              </w:rPr>
              <w:t>combined Step + Takeover</w:t>
            </w:r>
          </w:p>
        </w:tc>
        <w:tc>
          <w:tcPr>
            <w:tcW w:type="dxa" w:w="2351"/>
          </w:tcPr>
          <w:p>
            <w:r>
              <w:rPr>
                <w:rFonts w:ascii="Times New Roman" w:hAnsi="Times New Roman"/>
                <w:b w:val="0"/>
                <w:i w:val="0"/>
                <w:color w:val="000000"/>
                <w:sz w:val="22"/>
              </w:rPr>
              <w:t>[ref24]</w:t>
            </w:r>
          </w:p>
        </w:tc>
      </w:tr>
      <w:tr>
        <w:tc>
          <w:tcPr>
            <w:tcW w:type="dxa" w:w="2351"/>
          </w:tcPr>
          <w:p>
            <w:r>
              <w:rPr>
                <w:rFonts w:ascii="Times New Roman" w:hAnsi="Times New Roman"/>
                <w:b w:val="0"/>
                <w:i w:val="0"/>
                <w:color w:val="000000"/>
                <w:sz w:val="22"/>
              </w:rPr>
              <w:t>2013</w:t>
            </w:r>
          </w:p>
        </w:tc>
        <w:tc>
          <w:tcPr>
            <w:tcW w:type="dxa" w:w="2351"/>
          </w:tcPr>
          <w:p>
            <w:r>
              <w:rPr>
                <w:rFonts w:ascii="Times New Roman" w:hAnsi="Times New Roman"/>
                <w:b w:val="0"/>
                <w:i w:val="0"/>
                <w:color w:val="000000"/>
                <w:sz w:val="22"/>
              </w:rPr>
              <w:t>Humphreys yacht-hijacking demonstration</w:t>
            </w:r>
          </w:p>
        </w:tc>
        <w:tc>
          <w:tcPr>
            <w:tcW w:type="dxa" w:w="2351"/>
          </w:tcPr>
          <w:p>
            <w:r>
              <w:rPr>
                <w:rFonts w:ascii="Times New Roman" w:hAnsi="Times New Roman"/>
                <w:b w:val="0"/>
                <w:i w:val="0"/>
                <w:color w:val="000000"/>
                <w:sz w:val="22"/>
              </w:rPr>
              <w:t>Drift (gradual heading bias)</w:t>
            </w:r>
          </w:p>
        </w:tc>
        <w:tc>
          <w:tcPr>
            <w:tcW w:type="dxa" w:w="2351"/>
          </w:tcPr>
          <w:p>
            <w:r>
              <w:rPr>
                <w:rFonts w:ascii="Times New Roman" w:hAnsi="Times New Roman"/>
                <w:b w:val="0"/>
                <w:i w:val="0"/>
                <w:color w:val="000000"/>
                <w:sz w:val="22"/>
              </w:rPr>
              <w:t>[ref49]</w:t>
            </w:r>
          </w:p>
        </w:tc>
      </w:tr>
      <w:tr>
        <w:tc>
          <w:tcPr>
            <w:tcW w:type="dxa" w:w="2351"/>
          </w:tcPr>
          <w:p>
            <w:r>
              <w:rPr>
                <w:rFonts w:ascii="Times New Roman" w:hAnsi="Times New Roman"/>
                <w:b w:val="0"/>
                <w:i w:val="0"/>
                <w:color w:val="000000"/>
                <w:sz w:val="22"/>
              </w:rPr>
              <w:t>2016</w:t>
            </w:r>
          </w:p>
        </w:tc>
        <w:tc>
          <w:tcPr>
            <w:tcW w:type="dxa" w:w="2351"/>
          </w:tcPr>
          <w:p>
            <w:r>
              <w:rPr>
                <w:rFonts w:ascii="Times New Roman" w:hAnsi="Times New Roman"/>
                <w:b w:val="0"/>
                <w:i w:val="0"/>
                <w:color w:val="000000"/>
                <w:sz w:val="22"/>
              </w:rPr>
              <w:t>Black Sea maritime spoofing cluster</w:t>
            </w:r>
          </w:p>
        </w:tc>
        <w:tc>
          <w:tcPr>
            <w:tcW w:type="dxa" w:w="2351"/>
          </w:tcPr>
          <w:p>
            <w:r>
              <w:rPr>
                <w:rFonts w:ascii="Times New Roman" w:hAnsi="Times New Roman"/>
                <w:b w:val="0"/>
                <w:i w:val="0"/>
                <w:color w:val="000000"/>
                <w:sz w:val="22"/>
              </w:rPr>
              <w:t>abrupt Step (vessels reported tens of km inland)</w:t>
            </w:r>
          </w:p>
        </w:tc>
        <w:tc>
          <w:tcPr>
            <w:tcW w:type="dxa" w:w="2351"/>
          </w:tcPr>
          <w:p>
            <w:r>
              <w:rPr>
                <w:rFonts w:ascii="Times New Roman" w:hAnsi="Times New Roman"/>
                <w:b w:val="0"/>
                <w:i w:val="0"/>
                <w:color w:val="000000"/>
                <w:sz w:val="22"/>
              </w:rPr>
              <w:t>[ref50]</w:t>
            </w:r>
          </w:p>
        </w:tc>
      </w:tr>
    </w:tbl>
    <w:p>
      <w:r>
        <w:rPr>
          <w:rFonts w:ascii="Times New Roman" w:hAnsi="Times New Roman"/>
          <w:b/>
          <w:i w:val="0"/>
          <w:color w:val="0064B4"/>
          <w:sz w:val="22"/>
        </w:rPr>
        <w:t>Action:</w:t>
      </w:r>
      <w:r>
        <w:rPr>
          <w:rFonts w:ascii="Times New Roman" w:hAnsi="Times New Roman"/>
          <w:b w:val="0"/>
          <w:i w:val="0"/>
          <w:color w:val="0064B4"/>
          <w:sz w:val="22"/>
        </w:rPr>
        <w:t xml:space="preserve"> Section IV-B expanded with these three real-world incident citations.</w:t>
      </w:r>
    </w:p>
    <w:p>
      <w:r>
        <w:rPr>
          <w:rFonts w:ascii="Times New Roman" w:hAnsi="Times New Roman"/>
          <w:b/>
          <w:i w:val="0"/>
          <w:color w:val="B43C3C"/>
          <w:sz w:val="22"/>
        </w:rPr>
        <w:t>[Reviewer 3, Comment 7]</w:t>
      </w:r>
    </w:p>
    <w:p>
      <w:pPr>
        <w:ind w:left="576"/>
      </w:pPr>
      <w:r>
        <w:rPr>
          <w:rFonts w:ascii="Times New Roman" w:hAnsi="Times New Roman"/>
          <w:b w:val="0"/>
          <w:i/>
          <w:color w:val="000000"/>
          <w:sz w:val="22"/>
        </w:rPr>
        <w:t>"The scope of claims about 'high-risk' models (TCN, CNN, Transformer) is overstated."</w:t>
      </w:r>
    </w:p>
    <w:p>
      <w:r>
        <w:rPr>
          <w:rFonts w:ascii="Times New Roman" w:hAnsi="Times New Roman"/>
          <w:b/>
          <w:i w:val="0"/>
          <w:color w:val="000000"/>
          <w:sz w:val="22"/>
        </w:rPr>
        <w:t>Response:</w:t>
      </w:r>
      <w:r>
        <w:rPr>
          <w:rFonts w:ascii="Times New Roman" w:hAnsi="Times New Roman"/>
          <w:b w:val="0"/>
          <w:i w:val="0"/>
          <w:color w:val="000000"/>
          <w:sz w:val="22"/>
        </w:rPr>
        <w:t xml:space="preserve"> "High-risk" labels have been removed from the Abstract and throughout Section V. Findings are now presented as observations within the specific experimental conditions of this study — this dataset, these attack parameters, this training protocol — rather than as universal architectural properties. Section V opens with an explicit caveat that specific metric values depend on training data and hyperparameters, and that the case study demonstrates the framework's discriminative power, not universal architectural rankings.</w:t>
      </w:r>
    </w:p>
    <w:p>
      <w:r>
        <w:rPr>
          <w:rFonts w:ascii="Times New Roman" w:hAnsi="Times New Roman"/>
          <w:b/>
          <w:i w:val="0"/>
          <w:color w:val="0064B4"/>
          <w:sz w:val="22"/>
        </w:rPr>
        <w:t>Action:</w:t>
      </w:r>
      <w:r>
        <w:rPr>
          <w:rFonts w:ascii="Times New Roman" w:hAnsi="Times New Roman"/>
          <w:b w:val="0"/>
          <w:i w:val="0"/>
          <w:color w:val="0064B4"/>
          <w:sz w:val="22"/>
        </w:rPr>
        <w:t xml:space="preserve"> "High-risk" language removed from all instances in Abstract and Section V. Section V introductory paragraph added clarifying case-study scope.</w:t>
      </w:r>
    </w:p>
    <w:p/>
    <w:p>
      <w:r>
        <w:rPr>
          <w:rFonts w:ascii="Times New Roman" w:hAnsi="Times New Roman"/>
          <w:b/>
          <w:i w:val="0"/>
          <w:color w:val="000000"/>
          <w:sz w:val="26"/>
        </w:rPr>
        <w:t>Reviewer 4</w:t>
      </w:r>
    </w:p>
    <w:p>
      <w:r>
        <w:rPr>
          <w:rFonts w:ascii="Times New Roman" w:hAnsi="Times New Roman"/>
          <w:b/>
          <w:i w:val="0"/>
          <w:color w:val="B43C3C"/>
          <w:sz w:val="22"/>
        </w:rPr>
        <w:t>[Reviewer 4, Comment 1]</w:t>
      </w:r>
    </w:p>
    <w:p>
      <w:pPr>
        <w:ind w:left="576"/>
      </w:pPr>
      <w:r>
        <w:rPr>
          <w:rFonts w:ascii="Times New Roman" w:hAnsi="Times New Roman"/>
          <w:b w:val="0"/>
          <w:i/>
          <w:color w:val="000000"/>
          <w:sz w:val="22"/>
        </w:rPr>
        <w:t>"No statistical significance testing for model comparisons."</w:t>
      </w:r>
    </w:p>
    <w:p>
      <w:r>
        <w:rPr>
          <w:rFonts w:ascii="Times New Roman" w:hAnsi="Times New Roman"/>
          <w:b/>
          <w:i w:val="0"/>
          <w:color w:val="000000"/>
          <w:sz w:val="22"/>
        </w:rPr>
        <w:t>Response:</w:t>
      </w:r>
      <w:r>
        <w:rPr>
          <w:rFonts w:ascii="Times New Roman" w:hAnsi="Times New Roman"/>
          <w:b w:val="0"/>
          <w:i w:val="0"/>
          <w:color w:val="000000"/>
          <w:sz w:val="22"/>
        </w:rPr>
        <w:t xml:space="preserve"> Paired </w:t>
      </w:r>
      <w:r>
        <w:rPr>
          <w:rFonts w:ascii="Times New Roman" w:hAnsi="Times New Roman"/>
          <w:b w:val="0"/>
          <w:i/>
          <w:color w:val="000000"/>
          <w:sz w:val="22"/>
        </w:rPr>
        <w:t>t</w:t>
      </w:r>
      <w:r>
        <w:rPr>
          <w:rFonts w:ascii="Times New Roman" w:hAnsi="Times New Roman"/>
          <w:b w:val="0"/>
          <w:i w:val="0"/>
          <w:color w:val="000000"/>
          <w:sz w:val="22"/>
        </w:rPr>
        <w:t xml:space="preserve">-tests with Bonferroni correction across 21 pairs are now reported for DR@5s; the full </w:t>
      </w:r>
      <w:r>
        <w:rPr>
          <w:rFonts w:ascii="Times New Roman" w:hAnsi="Times New Roman"/>
          <w:b w:val="0"/>
          <w:i/>
          <w:color w:val="000000"/>
          <w:sz w:val="22"/>
        </w:rPr>
        <w:t>p</w:t>
      </w:r>
      <w:r>
        <w:rPr>
          <w:rFonts w:ascii="Times New Roman" w:hAnsi="Times New Roman"/>
          <w:b w:val="0"/>
          <w:i w:val="0"/>
          <w:color w:val="000000"/>
          <w:sz w:val="22"/>
        </w:rPr>
        <w:t>-value matrix is inlined in our response to Reviewer 1, Comment 5. At the corrected threshold α = 0.05/21 ≈ 0.00238, five pairs involving TCN are statistically significant (CNN/TCN, LSTM/TCN, BiLSTM/TCN, GRU/TCN, CNN-LSTM/TCN), confirming that TCN's lower DR@5s reflects a genuine architectural difference and not seed variance.</w:t>
      </w:r>
    </w:p>
    <w:p>
      <w:r>
        <w:rPr>
          <w:rFonts w:ascii="Times New Roman" w:hAnsi="Times New Roman"/>
          <w:b/>
          <w:i w:val="0"/>
          <w:color w:val="0064B4"/>
          <w:sz w:val="22"/>
        </w:rPr>
        <w:t>Action:</w:t>
      </w:r>
      <w:r>
        <w:rPr>
          <w:rFonts w:ascii="Times New Roman" w:hAnsi="Times New Roman"/>
          <w:b w:val="0"/>
          <w:i w:val="0"/>
          <w:color w:val="0064B4"/>
          <w:sz w:val="22"/>
        </w:rPr>
        <w:t xml:space="preserve"> Pairwise test table added to Section V; statistical methodology described in Section IV-D.</w:t>
      </w:r>
    </w:p>
    <w:p>
      <w:r>
        <w:rPr>
          <w:rFonts w:ascii="Times New Roman" w:hAnsi="Times New Roman"/>
          <w:b/>
          <w:i w:val="0"/>
          <w:color w:val="B43C3C"/>
          <w:sz w:val="22"/>
        </w:rPr>
        <w:t>[Reviewer 4, Comment 2]</w:t>
      </w:r>
    </w:p>
    <w:p>
      <w:pPr>
        <w:ind w:left="576"/>
      </w:pPr>
      <w:r>
        <w:rPr>
          <w:rFonts w:ascii="Times New Roman" w:hAnsi="Times New Roman"/>
          <w:b w:val="0"/>
          <w:i/>
          <w:color w:val="000000"/>
          <w:sz w:val="22"/>
        </w:rPr>
        <w:t>"Attack parameter sensitivity (step magnitude, drift duration, delay, takeover gain) is not evaluated."</w:t>
      </w:r>
    </w:p>
    <w:p>
      <w:r>
        <w:rPr>
          <w:rFonts w:ascii="Times New Roman" w:hAnsi="Times New Roman"/>
          <w:b/>
          <w:i w:val="0"/>
          <w:color w:val="000000"/>
          <w:sz w:val="22"/>
        </w:rPr>
        <w:t>Response:</w:t>
      </w:r>
      <w:r>
        <w:rPr>
          <w:rFonts w:ascii="Times New Roman" w:hAnsi="Times New Roman"/>
          <w:b w:val="0"/>
          <w:i w:val="0"/>
          <w:color w:val="000000"/>
          <w:sz w:val="22"/>
        </w:rPr>
        <w:t xml:space="preserve"> Per-attack-type results across all seven architectures are reported in the table below; attack parameters are drawn from the full ranges defined in Section IV-B (step magnitude </w:t>
      </w:r>
      <w:r>
        <w:rPr>
          <w:rFonts w:ascii="Times New Roman" w:hAnsi="Times New Roman"/>
          <w:b w:val="0"/>
          <w:i/>
          <w:color w:val="000000"/>
          <w:sz w:val="22"/>
        </w:rPr>
        <w:t>M</w:t>
      </w:r>
      <w:r>
        <w:rPr>
          <w:rFonts w:ascii="Times New Roman" w:hAnsi="Times New Roman"/>
          <w:b w:val="0"/>
          <w:i w:val="0"/>
          <w:color w:val="000000"/>
          <w:sz w:val="22"/>
        </w:rPr>
        <w:t xml:space="preserve"> ∈ {5, 15, 30} m, drift duration </w:t>
      </w:r>
      <w:r>
        <w:rPr>
          <w:rFonts w:ascii="Times New Roman" w:hAnsi="Times New Roman"/>
          <w:b w:val="0"/>
          <w:i/>
          <w:color w:val="000000"/>
          <w:sz w:val="22"/>
        </w:rPr>
        <w:t>T</w:t>
      </w:r>
      <w:r>
        <w:rPr>
          <w:rFonts w:ascii="Times New Roman" w:hAnsi="Times New Roman"/>
          <w:b w:val="0"/>
          <w:i w:val="0"/>
          <w:color w:val="000000"/>
          <w:sz w:val="22"/>
        </w:rPr>
        <w:t>_drift ∈ {5, 10, 20} s, delay δ ∈ {1, 3, 5} s, takeover gain α ∈ {0.3, 0.5, 0.7}), so each cell aggregates over the parameter range for the corresponding family.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Model</w:t>
            </w:r>
          </w:p>
        </w:tc>
        <w:tc>
          <w:tcPr>
            <w:tcW w:type="dxa" w:w="1881"/>
          </w:tcPr>
          <w:p>
            <w:r>
              <w:rPr>
                <w:rFonts w:ascii="Times New Roman" w:hAnsi="Times New Roman"/>
                <w:b/>
                <w:i w:val="0"/>
                <w:color w:val="000000"/>
                <w:sz w:val="22"/>
              </w:rPr>
              <w:t>Step</w:t>
            </w:r>
          </w:p>
        </w:tc>
        <w:tc>
          <w:tcPr>
            <w:tcW w:type="dxa" w:w="1881"/>
          </w:tcPr>
          <w:p>
            <w:r>
              <w:rPr>
                <w:rFonts w:ascii="Times New Roman" w:hAnsi="Times New Roman"/>
                <w:b/>
                <w:i w:val="0"/>
                <w:color w:val="000000"/>
                <w:sz w:val="22"/>
              </w:rPr>
              <w:t>Drift</w:t>
            </w:r>
          </w:p>
        </w:tc>
        <w:tc>
          <w:tcPr>
            <w:tcW w:type="dxa" w:w="1881"/>
          </w:tcPr>
          <w:p>
            <w:r>
              <w:rPr>
                <w:rFonts w:ascii="Times New Roman" w:hAnsi="Times New Roman"/>
                <w:b/>
                <w:i w:val="0"/>
                <w:color w:val="000000"/>
                <w:sz w:val="22"/>
              </w:rPr>
              <w:t>Delay</w:t>
            </w:r>
          </w:p>
        </w:tc>
        <w:tc>
          <w:tcPr>
            <w:tcW w:type="dxa" w:w="1881"/>
          </w:tcPr>
          <w:p>
            <w:r>
              <w:rPr>
                <w:rFonts w:ascii="Times New Roman" w:hAnsi="Times New Roman"/>
                <w:b/>
                <w:i w:val="0"/>
                <w:color w:val="000000"/>
                <w:sz w:val="22"/>
              </w:rPr>
              <w:t>Takeover</w:t>
            </w:r>
          </w:p>
        </w:tc>
      </w:tr>
      <w:tr>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0.967</w:t>
            </w:r>
          </w:p>
        </w:tc>
        <w:tc>
          <w:tcPr>
            <w:tcW w:type="dxa" w:w="1881"/>
          </w:tcPr>
          <w:p>
            <w:r>
              <w:rPr>
                <w:rFonts w:ascii="Times New Roman" w:hAnsi="Times New Roman"/>
                <w:b w:val="0"/>
                <w:i w:val="0"/>
                <w:color w:val="000000"/>
                <w:sz w:val="22"/>
              </w:rPr>
              <w:t>0.897</w:t>
            </w:r>
          </w:p>
        </w:tc>
        <w:tc>
          <w:tcPr>
            <w:tcW w:type="dxa" w:w="1881"/>
          </w:tcPr>
          <w:p>
            <w:r>
              <w:rPr>
                <w:rFonts w:ascii="Times New Roman" w:hAnsi="Times New Roman"/>
                <w:b w:val="0"/>
                <w:i w:val="0"/>
                <w:color w:val="000000"/>
                <w:sz w:val="22"/>
              </w:rPr>
              <w:t>0.989</w:t>
            </w:r>
          </w:p>
        </w:tc>
        <w:tc>
          <w:tcPr>
            <w:tcW w:type="dxa" w:w="1881"/>
          </w:tcPr>
          <w:p>
            <w:r>
              <w:rPr>
                <w:rFonts w:ascii="Times New Roman" w:hAnsi="Times New Roman"/>
                <w:b w:val="0"/>
                <w:i w:val="0"/>
                <w:color w:val="000000"/>
                <w:sz w:val="22"/>
              </w:rPr>
              <w:t>1.000</w:t>
            </w:r>
          </w:p>
        </w:tc>
      </w:tr>
      <w:tr>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0.971</w:t>
            </w:r>
          </w:p>
        </w:tc>
        <w:tc>
          <w:tcPr>
            <w:tcW w:type="dxa" w:w="1881"/>
          </w:tcPr>
          <w:p>
            <w:r>
              <w:rPr>
                <w:rFonts w:ascii="Times New Roman" w:hAnsi="Times New Roman"/>
                <w:b w:val="0"/>
                <w:i w:val="0"/>
                <w:color w:val="000000"/>
                <w:sz w:val="22"/>
              </w:rPr>
              <w:t>0.894</w:t>
            </w:r>
          </w:p>
        </w:tc>
        <w:tc>
          <w:tcPr>
            <w:tcW w:type="dxa" w:w="1881"/>
          </w:tcPr>
          <w:p>
            <w:r>
              <w:rPr>
                <w:rFonts w:ascii="Times New Roman" w:hAnsi="Times New Roman"/>
                <w:b w:val="0"/>
                <w:i w:val="0"/>
                <w:color w:val="000000"/>
                <w:sz w:val="22"/>
              </w:rPr>
              <w:t>0.904</w:t>
            </w:r>
          </w:p>
        </w:tc>
        <w:tc>
          <w:tcPr>
            <w:tcW w:type="dxa" w:w="1881"/>
          </w:tcPr>
          <w:p>
            <w:r>
              <w:rPr>
                <w:rFonts w:ascii="Times New Roman" w:hAnsi="Times New Roman"/>
                <w:b w:val="0"/>
                <w:i w:val="0"/>
                <w:color w:val="000000"/>
                <w:sz w:val="22"/>
              </w:rPr>
              <w:t>0.984</w:t>
            </w:r>
          </w:p>
        </w:tc>
      </w:tr>
      <w:tr>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0.950</w:t>
            </w:r>
          </w:p>
        </w:tc>
        <w:tc>
          <w:tcPr>
            <w:tcW w:type="dxa" w:w="1881"/>
          </w:tcPr>
          <w:p>
            <w:r>
              <w:rPr>
                <w:rFonts w:ascii="Times New Roman" w:hAnsi="Times New Roman"/>
                <w:b w:val="0"/>
                <w:i w:val="0"/>
                <w:color w:val="000000"/>
                <w:sz w:val="22"/>
              </w:rPr>
              <w:t>0.903</w:t>
            </w:r>
          </w:p>
        </w:tc>
        <w:tc>
          <w:tcPr>
            <w:tcW w:type="dxa" w:w="1881"/>
          </w:tcPr>
          <w:p>
            <w:r>
              <w:rPr>
                <w:rFonts w:ascii="Times New Roman" w:hAnsi="Times New Roman"/>
                <w:b w:val="0"/>
                <w:i w:val="0"/>
                <w:color w:val="000000"/>
                <w:sz w:val="22"/>
              </w:rPr>
              <w:t>0.879</w:t>
            </w:r>
          </w:p>
        </w:tc>
        <w:tc>
          <w:tcPr>
            <w:tcW w:type="dxa" w:w="1881"/>
          </w:tcPr>
          <w:p>
            <w:r>
              <w:rPr>
                <w:rFonts w:ascii="Times New Roman" w:hAnsi="Times New Roman"/>
                <w:b w:val="0"/>
                <w:i w:val="0"/>
                <w:color w:val="000000"/>
                <w:sz w:val="22"/>
              </w:rPr>
              <w:t>0.984</w:t>
            </w:r>
          </w:p>
        </w:tc>
      </w:tr>
      <w:tr>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0.954</w:t>
            </w:r>
          </w:p>
        </w:tc>
        <w:tc>
          <w:tcPr>
            <w:tcW w:type="dxa" w:w="1881"/>
          </w:tcPr>
          <w:p>
            <w:r>
              <w:rPr>
                <w:rFonts w:ascii="Times New Roman" w:hAnsi="Times New Roman"/>
                <w:b w:val="0"/>
                <w:i w:val="0"/>
                <w:color w:val="000000"/>
                <w:sz w:val="22"/>
              </w:rPr>
              <w:t>0.919</w:t>
            </w:r>
          </w:p>
        </w:tc>
        <w:tc>
          <w:tcPr>
            <w:tcW w:type="dxa" w:w="1881"/>
          </w:tcPr>
          <w:p>
            <w:r>
              <w:rPr>
                <w:rFonts w:ascii="Times New Roman" w:hAnsi="Times New Roman"/>
                <w:b w:val="0"/>
                <w:i w:val="0"/>
                <w:color w:val="000000"/>
                <w:sz w:val="22"/>
              </w:rPr>
              <w:t>0.925</w:t>
            </w:r>
          </w:p>
        </w:tc>
        <w:tc>
          <w:tcPr>
            <w:tcW w:type="dxa" w:w="1881"/>
          </w:tcPr>
          <w:p>
            <w:r>
              <w:rPr>
                <w:rFonts w:ascii="Times New Roman" w:hAnsi="Times New Roman"/>
                <w:b w:val="0"/>
                <w:i w:val="0"/>
                <w:color w:val="000000"/>
                <w:sz w:val="22"/>
              </w:rPr>
              <w:t>0.990</w:t>
            </w:r>
          </w:p>
        </w:tc>
      </w:tr>
      <w:tr>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0.992</w:t>
            </w:r>
          </w:p>
        </w:tc>
        <w:tc>
          <w:tcPr>
            <w:tcW w:type="dxa" w:w="1881"/>
          </w:tcPr>
          <w:p>
            <w:r>
              <w:rPr>
                <w:rFonts w:ascii="Times New Roman" w:hAnsi="Times New Roman"/>
                <w:b w:val="0"/>
                <w:i w:val="0"/>
                <w:color w:val="000000"/>
                <w:sz w:val="22"/>
              </w:rPr>
              <w:t>0.869</w:t>
            </w:r>
          </w:p>
        </w:tc>
        <w:tc>
          <w:tcPr>
            <w:tcW w:type="dxa" w:w="1881"/>
          </w:tcPr>
          <w:p>
            <w:r>
              <w:rPr>
                <w:rFonts w:ascii="Times New Roman" w:hAnsi="Times New Roman"/>
                <w:b w:val="0"/>
                <w:i w:val="0"/>
                <w:color w:val="000000"/>
                <w:sz w:val="22"/>
              </w:rPr>
              <w:t>0.989</w:t>
            </w:r>
          </w:p>
        </w:tc>
        <w:tc>
          <w:tcPr>
            <w:tcW w:type="dxa" w:w="1881"/>
          </w:tcPr>
          <w:p>
            <w:r>
              <w:rPr>
                <w:rFonts w:ascii="Times New Roman" w:hAnsi="Times New Roman"/>
                <w:b w:val="0"/>
                <w:i w:val="0"/>
                <w:color w:val="000000"/>
                <w:sz w:val="22"/>
              </w:rPr>
              <w:t>0.997</w:t>
            </w:r>
          </w:p>
        </w:tc>
      </w:tr>
      <w:tr>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0.637</w:t>
            </w:r>
          </w:p>
        </w:tc>
        <w:tc>
          <w:tcPr>
            <w:tcW w:type="dxa" w:w="1881"/>
          </w:tcPr>
          <w:p>
            <w:r>
              <w:rPr>
                <w:rFonts w:ascii="Times New Roman" w:hAnsi="Times New Roman"/>
                <w:b w:val="0"/>
                <w:i w:val="0"/>
                <w:color w:val="000000"/>
                <w:sz w:val="22"/>
              </w:rPr>
              <w:t>0.463</w:t>
            </w:r>
          </w:p>
        </w:tc>
        <w:tc>
          <w:tcPr>
            <w:tcW w:type="dxa" w:w="1881"/>
          </w:tcPr>
          <w:p>
            <w:r>
              <w:rPr>
                <w:rFonts w:ascii="Times New Roman" w:hAnsi="Times New Roman"/>
                <w:b w:val="0"/>
                <w:i w:val="0"/>
                <w:color w:val="000000"/>
                <w:sz w:val="22"/>
              </w:rPr>
              <w:t>0.961</w:t>
            </w:r>
          </w:p>
        </w:tc>
        <w:tc>
          <w:tcPr>
            <w:tcW w:type="dxa" w:w="1881"/>
          </w:tcPr>
          <w:p>
            <w:r>
              <w:rPr>
                <w:rFonts w:ascii="Times New Roman" w:hAnsi="Times New Roman"/>
                <w:b w:val="0"/>
                <w:i w:val="0"/>
                <w:color w:val="000000"/>
                <w:sz w:val="22"/>
              </w:rPr>
              <w:t>0.961</w:t>
            </w:r>
          </w:p>
        </w:tc>
      </w:tr>
      <w:tr>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0.871</w:t>
            </w:r>
          </w:p>
        </w:tc>
        <w:tc>
          <w:tcPr>
            <w:tcW w:type="dxa" w:w="1881"/>
          </w:tcPr>
          <w:p>
            <w:r>
              <w:rPr>
                <w:rFonts w:ascii="Times New Roman" w:hAnsi="Times New Roman"/>
                <w:b w:val="0"/>
                <w:i w:val="0"/>
                <w:color w:val="000000"/>
                <w:sz w:val="22"/>
              </w:rPr>
              <w:t>0.831</w:t>
            </w:r>
          </w:p>
        </w:tc>
        <w:tc>
          <w:tcPr>
            <w:tcW w:type="dxa" w:w="1881"/>
          </w:tcPr>
          <w:p>
            <w:r>
              <w:rPr>
                <w:rFonts w:ascii="Times New Roman" w:hAnsi="Times New Roman"/>
                <w:b w:val="0"/>
                <w:i w:val="0"/>
                <w:color w:val="000000"/>
                <w:sz w:val="22"/>
              </w:rPr>
              <w:t>0.971</w:t>
            </w:r>
          </w:p>
        </w:tc>
        <w:tc>
          <w:tcPr>
            <w:tcW w:type="dxa" w:w="1881"/>
          </w:tcPr>
          <w:p>
            <w:r>
              <w:rPr>
                <w:rFonts w:ascii="Times New Roman" w:hAnsi="Times New Roman"/>
                <w:b w:val="0"/>
                <w:i w:val="0"/>
                <w:color w:val="000000"/>
                <w:sz w:val="22"/>
              </w:rPr>
              <w:t>1.000</w:t>
            </w:r>
          </w:p>
        </w:tc>
      </w:tr>
    </w:tbl>
    <w:p>
      <w:r>
        <w:rPr>
          <w:rFonts w:ascii="Times New Roman" w:hAnsi="Times New Roman"/>
          <w:b w:val="0"/>
          <w:i w:val="0"/>
          <w:color w:val="000000"/>
          <w:sz w:val="22"/>
        </w:rPr>
        <w:t>The architecture × attack-family matrix already surfaces interactions that the aggregate DR@5s masks. The most notable case is TCN: its DR@5s on Drift is 0.463 versus 0.961 on Takeover, a 50-percentage-point asymmetry between gradually-evolving and abruptly-introduced attack patterns. A second pattern is the precision–recall divergence on Delay, where CNN, CNN-LSTM, and Transformer achieve DR@5s ≥ 0.97 while BiLSTM falls to 0.879.</w:t>
      </w:r>
    </w:p>
    <w:p>
      <w:r>
        <w:rPr>
          <w:rFonts w:ascii="Times New Roman" w:hAnsi="Times New Roman"/>
          <w:b w:val="0"/>
          <w:i w:val="0"/>
          <w:color w:val="000000"/>
          <w:sz w:val="22"/>
        </w:rPr>
        <w:t xml:space="preserve">We did consider running a fully-isolated one-axis-at-a-time sweep (Step </w:t>
      </w:r>
      <w:r>
        <w:rPr>
          <w:rFonts w:ascii="Times New Roman" w:hAnsi="Times New Roman"/>
          <w:b w:val="0"/>
          <w:i/>
          <w:color w:val="000000"/>
          <w:sz w:val="22"/>
        </w:rPr>
        <w:t>M</w:t>
      </w:r>
      <w:r>
        <w:rPr>
          <w:rFonts w:ascii="Times New Roman" w:hAnsi="Times New Roman"/>
          <w:b w:val="0"/>
          <w:i w:val="0"/>
          <w:color w:val="000000"/>
          <w:sz w:val="22"/>
        </w:rPr>
        <w:t xml:space="preserve"> held at five values, Drift </w:t>
      </w:r>
      <w:r>
        <w:rPr>
          <w:rFonts w:ascii="Times New Roman" w:hAnsi="Times New Roman"/>
          <w:b w:val="0"/>
          <w:i/>
          <w:color w:val="000000"/>
          <w:sz w:val="22"/>
        </w:rPr>
        <w:t>T</w:t>
      </w:r>
      <w:r>
        <w:rPr>
          <w:rFonts w:ascii="Times New Roman" w:hAnsi="Times New Roman"/>
          <w:b w:val="0"/>
          <w:i w:val="0"/>
          <w:color w:val="000000"/>
          <w:sz w:val="22"/>
        </w:rPr>
        <w:t>_drift at four, Delay δ at three, Takeover α at three, with all others held at default), which would require regenerating the attack-injected test set per parameter cell and re-evaluating all seven architectures × five seeds per cell. The extra compute exceeds the revision budget, so we mark this isolated-axis sweep as future work and rely on the aggregate-over-range table above as representative coverage. We make this scope choice explicit in Section VI-C rather than understate the limitation.</w:t>
      </w:r>
    </w:p>
    <w:p>
      <w:r>
        <w:rPr>
          <w:rFonts w:ascii="Times New Roman" w:hAnsi="Times New Roman"/>
          <w:b/>
          <w:i w:val="0"/>
          <w:color w:val="0064B4"/>
          <w:sz w:val="22"/>
        </w:rPr>
        <w:t>Action:</w:t>
      </w:r>
      <w:r>
        <w:rPr>
          <w:rFonts w:ascii="Times New Roman" w:hAnsi="Times New Roman"/>
          <w:b w:val="0"/>
          <w:i w:val="0"/>
          <w:color w:val="0064B4"/>
          <w:sz w:val="22"/>
        </w:rPr>
        <w:t xml:space="preserve"> Section V-E (Per-Attack-Type Performance) added with the table above; Section VI-C now explicitly lists the isolated-axis sweep as future work.</w:t>
      </w:r>
    </w:p>
    <w:p>
      <w:r>
        <w:rPr>
          <w:rFonts w:ascii="Times New Roman" w:hAnsi="Times New Roman"/>
          <w:b/>
          <w:i w:val="0"/>
          <w:color w:val="B43C3C"/>
          <w:sz w:val="22"/>
        </w:rPr>
        <w:t>[Reviewer 4, Comment 3]</w:t>
      </w:r>
    </w:p>
    <w:p>
      <w:pPr>
        <w:ind w:left="576"/>
      </w:pPr>
      <w:r>
        <w:rPr>
          <w:rFonts w:ascii="Times New Roman" w:hAnsi="Times New Roman"/>
          <w:b w:val="0"/>
          <w:i/>
          <w:color w:val="000000"/>
          <w:sz w:val="22"/>
        </w:rPr>
        <w:t>"Window size and step size are fixed without justification or sensitivity analysis."</w:t>
      </w:r>
    </w:p>
    <w:p>
      <w:r>
        <w:rPr>
          <w:rFonts w:ascii="Times New Roman" w:hAnsi="Times New Roman"/>
          <w:b/>
          <w:i w:val="0"/>
          <w:color w:val="000000"/>
          <w:sz w:val="22"/>
        </w:rPr>
        <w:t>Response:</w:t>
      </w:r>
      <w:r>
        <w:rPr>
          <w:rFonts w:ascii="Times New Roman" w:hAnsi="Times New Roman"/>
          <w:b w:val="0"/>
          <w:i w:val="0"/>
          <w:color w:val="000000"/>
          <w:sz w:val="22"/>
        </w:rPr>
        <w:t xml:space="preserve"> Window length </w:t>
      </w:r>
      <w:r>
        <w:rPr>
          <w:rFonts w:ascii="Times New Roman" w:hAnsi="Times New Roman"/>
          <w:b w:val="0"/>
          <w:i/>
          <w:color w:val="000000"/>
          <w:sz w:val="22"/>
        </w:rPr>
        <w:t>L</w:t>
      </w:r>
      <w:r>
        <w:rPr>
          <w:rFonts w:ascii="Times New Roman" w:hAnsi="Times New Roman"/>
          <w:b w:val="0"/>
          <w:i w:val="0"/>
          <w:color w:val="000000"/>
          <w:sz w:val="22"/>
        </w:rPr>
        <w:t xml:space="preserve"> = 50 samples (5.0 s at 10 Hz) is justified in Section IV-C by the detection budget itself: </w:t>
      </w:r>
      <w:r>
        <w:rPr>
          <w:rFonts w:ascii="Times New Roman" w:hAnsi="Times New Roman"/>
          <w:b w:val="0"/>
          <w:i/>
          <w:color w:val="000000"/>
          <w:sz w:val="22"/>
        </w:rPr>
        <w:t>L</w:t>
      </w:r>
      <w:r>
        <w:rPr>
          <w:rFonts w:ascii="Times New Roman" w:hAnsi="Times New Roman"/>
          <w:b w:val="0"/>
          <w:i w:val="0"/>
          <w:color w:val="000000"/>
          <w:sz w:val="22"/>
        </w:rPr>
        <w:t xml:space="preserve"> ≈ Δ</w:t>
      </w:r>
      <w:r>
        <w:rPr>
          <w:rFonts w:ascii="Times New Roman" w:hAnsi="Times New Roman"/>
          <w:b w:val="0"/>
          <w:i/>
          <w:color w:val="000000"/>
          <w:sz w:val="22"/>
        </w:rPr>
        <w:t>t</w:t>
      </w:r>
      <w:r>
        <w:rPr>
          <w:rFonts w:ascii="Times New Roman" w:hAnsi="Times New Roman"/>
          <w:b w:val="0"/>
          <w:i w:val="0"/>
          <w:color w:val="000000"/>
          <w:sz w:val="22"/>
        </w:rPr>
        <w:t xml:space="preserve"> · </w:t>
      </w:r>
      <w:r>
        <w:rPr>
          <w:rFonts w:ascii="Times New Roman" w:hAnsi="Times New Roman"/>
          <w:b w:val="0"/>
          <w:i/>
          <w:color w:val="000000"/>
          <w:sz w:val="22"/>
        </w:rPr>
        <w:t>f</w:t>
      </w:r>
      <w:r>
        <w:rPr>
          <w:rFonts w:ascii="Times New Roman" w:hAnsi="Times New Roman"/>
          <w:b w:val="0"/>
          <w:i w:val="0"/>
          <w:color w:val="000000"/>
          <w:sz w:val="22"/>
        </w:rPr>
        <w:t xml:space="preserve">_s = 5 × 10 = 50 ensures each window spans the full detection horizon. Step size </w:t>
      </w:r>
      <w:r>
        <w:rPr>
          <w:rFonts w:ascii="Times New Roman" w:hAnsi="Times New Roman"/>
          <w:b w:val="0"/>
          <w:i/>
          <w:color w:val="000000"/>
          <w:sz w:val="22"/>
        </w:rPr>
        <w:t>S</w:t>
      </w:r>
      <w:r>
        <w:rPr>
          <w:rFonts w:ascii="Times New Roman" w:hAnsi="Times New Roman"/>
          <w:b w:val="0"/>
          <w:i w:val="0"/>
          <w:color w:val="000000"/>
          <w:sz w:val="22"/>
        </w:rPr>
        <w:t xml:space="preserve"> = 5 samples (0.5 s) balances temporal resolution against compute cost. The 9-cell sensitivity sweep (DR@5s grid inlined in our response to Reviewer 1, Comment 6) shows DR@5s varying only 0.924–0.965 across the entire grid, confirming robustness of the architectural conclusions.</w:t>
      </w:r>
    </w:p>
    <w:p>
      <w:r>
        <w:rPr>
          <w:rFonts w:ascii="Times New Roman" w:hAnsi="Times New Roman"/>
          <w:b/>
          <w:i w:val="0"/>
          <w:color w:val="0064B4"/>
          <w:sz w:val="22"/>
        </w:rPr>
        <w:t>Action:</w:t>
      </w:r>
      <w:r>
        <w:rPr>
          <w:rFonts w:ascii="Times New Roman" w:hAnsi="Times New Roman"/>
          <w:b w:val="0"/>
          <w:i w:val="0"/>
          <w:color w:val="0064B4"/>
          <w:sz w:val="22"/>
        </w:rPr>
        <w:t xml:space="preserve"> Justification sentence added to Section IV-C; ablation results in Section V-D.</w:t>
      </w:r>
    </w:p>
    <w:p>
      <w:r>
        <w:rPr>
          <w:rFonts w:ascii="Times New Roman" w:hAnsi="Times New Roman"/>
          <w:b/>
          <w:i w:val="0"/>
          <w:color w:val="B43C3C"/>
          <w:sz w:val="22"/>
        </w:rPr>
        <w:t>[Reviewer 4, Comment 4]</w:t>
      </w:r>
    </w:p>
    <w:p>
      <w:pPr>
        <w:ind w:left="576"/>
      </w:pPr>
      <w:r>
        <w:rPr>
          <w:rFonts w:ascii="Times New Roman" w:hAnsi="Times New Roman"/>
          <w:b w:val="0"/>
          <w:i/>
          <w:color w:val="000000"/>
          <w:sz w:val="22"/>
        </w:rPr>
        <w:t>"The paper lacks a discussion of generalisability of the framework beyond the specific UAV spoofing task."</w:t>
      </w:r>
    </w:p>
    <w:p>
      <w:r>
        <w:rPr>
          <w:rFonts w:ascii="Times New Roman" w:hAnsi="Times New Roman"/>
          <w:b/>
          <w:i w:val="0"/>
          <w:color w:val="000000"/>
          <w:sz w:val="22"/>
        </w:rPr>
        <w:t>Response:</w:t>
      </w:r>
      <w:r>
        <w:rPr>
          <w:rFonts w:ascii="Times New Roman" w:hAnsi="Times New Roman"/>
          <w:b w:val="0"/>
          <w:i w:val="0"/>
          <w:color w:val="000000"/>
          <w:sz w:val="22"/>
        </w:rPr>
        <w:t xml:space="preserve"> Section VI-A (Generality of the Framework) discusses three properties enabling detector-agnostic and task-agnostic use: (i) decoupling from the sliding-window assumption — DR@Δt, ADD, and MTBFA are defined over any causal timestamped decision sequence, not over per-window predictions specifically; (ii) portability to other event-detection domains including industrial fault prediction (ANSI/ISA-18.2 alarm management), medical monitoring, and network intrusion detection [ref10]; and (iii) the case-study framing — specific metric values are dataset-dependent, but the framework's ability to reveal detectors that pass conventional metrics yet fail operational time-aware standards is invariant.</w:t>
      </w:r>
    </w:p>
    <w:p>
      <w:r>
        <w:rPr>
          <w:rFonts w:ascii="Times New Roman" w:hAnsi="Times New Roman"/>
          <w:b/>
          <w:i w:val="0"/>
          <w:color w:val="0064B4"/>
          <w:sz w:val="22"/>
        </w:rPr>
        <w:t>Action:</w:t>
      </w:r>
      <w:r>
        <w:rPr>
          <w:rFonts w:ascii="Times New Roman" w:hAnsi="Times New Roman"/>
          <w:b w:val="0"/>
          <w:i w:val="0"/>
          <w:color w:val="0064B4"/>
          <w:sz w:val="22"/>
        </w:rPr>
        <w:t xml:space="preserve"> Section VI (Discussion) added with Section VI-A (Generality of the Framework), Section VI-B (What the Cross-Distribution Evaluation Tells Us), and Section VI-C (Limitations and Future Work).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